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E9" w:rsidRPr="002C6E80" w:rsidRDefault="002F6AE9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2C6E80">
        <w:rPr>
          <w:b/>
          <w:sz w:val="24"/>
          <w:szCs w:val="24"/>
        </w:rPr>
        <w:t>Plano Independent School District</w:t>
      </w:r>
    </w:p>
    <w:p w:rsidR="002F6AE9" w:rsidRPr="002C6E80" w:rsidRDefault="002F6AE9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2C6E80">
        <w:rPr>
          <w:b/>
          <w:sz w:val="24"/>
          <w:szCs w:val="24"/>
        </w:rPr>
        <w:t>School Health</w:t>
      </w:r>
    </w:p>
    <w:p w:rsidR="00FA4FFB" w:rsidRPr="002C6E80" w:rsidRDefault="00C9427B" w:rsidP="002F6AE9">
      <w:pPr>
        <w:spacing w:after="0" w:line="240" w:lineRule="auto"/>
        <w:jc w:val="center"/>
        <w:rPr>
          <w:b/>
          <w:sz w:val="24"/>
          <w:szCs w:val="24"/>
        </w:rPr>
      </w:pPr>
      <w:r w:rsidRPr="002C6E80">
        <w:rPr>
          <w:b/>
          <w:sz w:val="24"/>
          <w:szCs w:val="24"/>
        </w:rPr>
        <w:t>Blood Glucose Monitoring</w:t>
      </w:r>
      <w:r w:rsidR="00356CFF" w:rsidRPr="002C6E80">
        <w:rPr>
          <w:b/>
          <w:sz w:val="24"/>
          <w:szCs w:val="24"/>
        </w:rPr>
        <w:t xml:space="preserve"> </w:t>
      </w:r>
      <w:r w:rsidR="001357CB" w:rsidRPr="002C6E80">
        <w:rPr>
          <w:b/>
          <w:sz w:val="24"/>
          <w:szCs w:val="24"/>
        </w:rPr>
        <w:t>Procedural Guideline</w:t>
      </w:r>
    </w:p>
    <w:p w:rsidR="00BC2150" w:rsidRDefault="00BC2150" w:rsidP="00BC2150">
      <w:pPr>
        <w:jc w:val="center"/>
        <w:rPr>
          <w:b/>
        </w:rPr>
      </w:pPr>
    </w:p>
    <w:p w:rsidR="002C6E80" w:rsidRDefault="002C6E80" w:rsidP="002C6E80">
      <w:pPr>
        <w:spacing w:after="0" w:line="240" w:lineRule="auto"/>
        <w:rPr>
          <w:b/>
          <w:sz w:val="24"/>
          <w:szCs w:val="24"/>
        </w:rPr>
      </w:pPr>
      <w:r w:rsidRPr="002C6E80">
        <w:rPr>
          <w:b/>
          <w:sz w:val="24"/>
          <w:szCs w:val="24"/>
        </w:rPr>
        <w:t>Purpose</w:t>
      </w:r>
    </w:p>
    <w:p w:rsidR="006D38AB" w:rsidRPr="002C6E80" w:rsidRDefault="009D6EA5" w:rsidP="002C6E80">
      <w:pPr>
        <w:spacing w:after="0" w:line="240" w:lineRule="auto"/>
        <w:rPr>
          <w:b/>
          <w:sz w:val="24"/>
          <w:szCs w:val="24"/>
        </w:rPr>
      </w:pPr>
      <w:r>
        <w:t>To measure the amount of glucose in the blood to assess student’s needs for:</w:t>
      </w:r>
    </w:p>
    <w:p w:rsidR="006D38AB" w:rsidRDefault="009D6EA5" w:rsidP="002C6E80">
      <w:pPr>
        <w:pStyle w:val="ListParagraph"/>
        <w:numPr>
          <w:ilvl w:val="0"/>
          <w:numId w:val="21"/>
        </w:numPr>
        <w:spacing w:after="0" w:line="240" w:lineRule="auto"/>
      </w:pPr>
      <w:r>
        <w:t>Hypoglycemia (low blood sugar)</w:t>
      </w:r>
    </w:p>
    <w:p w:rsidR="009D6EA5" w:rsidRDefault="009D6EA5" w:rsidP="002C6E80">
      <w:pPr>
        <w:pStyle w:val="ListParagraph"/>
        <w:numPr>
          <w:ilvl w:val="0"/>
          <w:numId w:val="21"/>
        </w:numPr>
        <w:spacing w:after="0" w:line="240" w:lineRule="auto"/>
      </w:pPr>
      <w:r>
        <w:t>Hyperglycemia (high blood sugar)</w:t>
      </w:r>
    </w:p>
    <w:p w:rsidR="009D6EA5" w:rsidRDefault="009D6EA5" w:rsidP="002C6E80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Insulin </w:t>
      </w:r>
    </w:p>
    <w:p w:rsidR="009D6EA5" w:rsidRDefault="009D6EA5" w:rsidP="002C6E80">
      <w:pPr>
        <w:pStyle w:val="ListParagraph"/>
        <w:numPr>
          <w:ilvl w:val="0"/>
          <w:numId w:val="21"/>
        </w:numPr>
        <w:spacing w:after="0" w:line="240" w:lineRule="auto"/>
      </w:pPr>
      <w:r>
        <w:t>Dietary needs</w:t>
      </w:r>
    </w:p>
    <w:p w:rsidR="002C6E80" w:rsidRDefault="002C6E80" w:rsidP="002C6E80">
      <w:pPr>
        <w:pStyle w:val="ListParagraph"/>
        <w:spacing w:after="0" w:line="240" w:lineRule="auto"/>
      </w:pPr>
    </w:p>
    <w:p w:rsidR="006D38AB" w:rsidRPr="002C6E80" w:rsidRDefault="006D38AB" w:rsidP="002C6E80">
      <w:pPr>
        <w:spacing w:after="0" w:line="240" w:lineRule="auto"/>
        <w:rPr>
          <w:b/>
          <w:sz w:val="24"/>
          <w:szCs w:val="24"/>
        </w:rPr>
      </w:pPr>
      <w:r w:rsidRPr="002C6E80">
        <w:rPr>
          <w:b/>
          <w:sz w:val="24"/>
          <w:szCs w:val="24"/>
        </w:rPr>
        <w:t>Equipment and Supplies</w:t>
      </w:r>
    </w:p>
    <w:p w:rsidR="006D38AB" w:rsidRDefault="006D38AB" w:rsidP="002C6E80">
      <w:pPr>
        <w:pStyle w:val="ListParagraph"/>
        <w:numPr>
          <w:ilvl w:val="0"/>
          <w:numId w:val="19"/>
        </w:numPr>
        <w:spacing w:after="0" w:line="240" w:lineRule="auto"/>
      </w:pPr>
      <w:r>
        <w:t>Alcohol preps (optional</w:t>
      </w:r>
      <w:r w:rsidR="009D6EA5">
        <w:t>)</w:t>
      </w:r>
    </w:p>
    <w:p w:rsidR="006D38AB" w:rsidRDefault="006D38AB" w:rsidP="002C6E80">
      <w:pPr>
        <w:pStyle w:val="ListParagraph"/>
        <w:numPr>
          <w:ilvl w:val="0"/>
          <w:numId w:val="19"/>
        </w:numPr>
        <w:spacing w:after="0" w:line="240" w:lineRule="auto"/>
      </w:pPr>
      <w:r>
        <w:t>Finger lancing device</w:t>
      </w:r>
    </w:p>
    <w:p w:rsidR="006D38AB" w:rsidRDefault="006D38AB" w:rsidP="002C6E80">
      <w:pPr>
        <w:pStyle w:val="ListParagraph"/>
        <w:numPr>
          <w:ilvl w:val="0"/>
          <w:numId w:val="19"/>
        </w:numPr>
        <w:spacing w:after="0" w:line="240" w:lineRule="auto"/>
      </w:pPr>
      <w:r>
        <w:t>Blood glucose meter</w:t>
      </w:r>
    </w:p>
    <w:p w:rsidR="006D38AB" w:rsidRDefault="006D38AB" w:rsidP="002C6E80">
      <w:pPr>
        <w:pStyle w:val="ListParagraph"/>
        <w:numPr>
          <w:ilvl w:val="0"/>
          <w:numId w:val="19"/>
        </w:numPr>
        <w:spacing w:after="0" w:line="240" w:lineRule="auto"/>
      </w:pPr>
      <w:r>
        <w:t>Blood glucose testing strips</w:t>
      </w:r>
    </w:p>
    <w:p w:rsidR="006D38AB" w:rsidRDefault="006D38AB" w:rsidP="002C6E80">
      <w:pPr>
        <w:pStyle w:val="ListParagraph"/>
        <w:numPr>
          <w:ilvl w:val="0"/>
          <w:numId w:val="19"/>
        </w:numPr>
        <w:spacing w:after="0" w:line="240" w:lineRule="auto"/>
      </w:pPr>
      <w:r>
        <w:t>Cotton balls or tissue</w:t>
      </w:r>
    </w:p>
    <w:p w:rsidR="006D38AB" w:rsidRDefault="006D38AB" w:rsidP="002C6E80">
      <w:pPr>
        <w:pStyle w:val="ListParagraph"/>
        <w:numPr>
          <w:ilvl w:val="0"/>
          <w:numId w:val="19"/>
        </w:numPr>
        <w:spacing w:after="0" w:line="240" w:lineRule="auto"/>
      </w:pPr>
      <w:r>
        <w:t>Gloves</w:t>
      </w:r>
    </w:p>
    <w:p w:rsidR="00FA4FFB" w:rsidRDefault="006D38AB" w:rsidP="002C6E80">
      <w:pPr>
        <w:pStyle w:val="ListParagraph"/>
        <w:numPr>
          <w:ilvl w:val="0"/>
          <w:numId w:val="19"/>
        </w:numPr>
        <w:spacing w:after="0" w:line="240" w:lineRule="auto"/>
      </w:pPr>
      <w:r>
        <w:t>Sharps container</w:t>
      </w:r>
    </w:p>
    <w:p w:rsidR="002C6E80" w:rsidRPr="009D6EA5" w:rsidRDefault="002C6E80" w:rsidP="002C6E80">
      <w:pPr>
        <w:pStyle w:val="ListParagraph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140"/>
        <w:gridCol w:w="4698"/>
      </w:tblGrid>
      <w:tr w:rsidR="009D6EA5" w:rsidTr="009D6EA5">
        <w:trPr>
          <w:trHeight w:val="332"/>
        </w:trPr>
        <w:tc>
          <w:tcPr>
            <w:tcW w:w="738" w:type="dxa"/>
          </w:tcPr>
          <w:p w:rsidR="009D6EA5" w:rsidRDefault="009D6EA5" w:rsidP="00BC2150">
            <w:pPr>
              <w:rPr>
                <w:b/>
              </w:rPr>
            </w:pPr>
          </w:p>
        </w:tc>
        <w:tc>
          <w:tcPr>
            <w:tcW w:w="4140" w:type="dxa"/>
          </w:tcPr>
          <w:p w:rsidR="009D6EA5" w:rsidRDefault="009D6EA5" w:rsidP="009D6E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Essential Steps</w:t>
            </w:r>
          </w:p>
        </w:tc>
        <w:tc>
          <w:tcPr>
            <w:tcW w:w="4698" w:type="dxa"/>
          </w:tcPr>
          <w:p w:rsidR="009D6EA5" w:rsidRDefault="009D6EA5" w:rsidP="009D6EA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Key Points and Precautions</w:t>
            </w:r>
          </w:p>
        </w:tc>
      </w:tr>
      <w:tr w:rsidR="009D6EA5" w:rsidTr="009D6EA5">
        <w:tc>
          <w:tcPr>
            <w:tcW w:w="738" w:type="dxa"/>
          </w:tcPr>
          <w:p w:rsidR="009D6EA5" w:rsidRPr="009D6EA5" w:rsidRDefault="009D6EA5" w:rsidP="009D6EA5">
            <w:pPr>
              <w:spacing w:before="120" w:after="120"/>
            </w:pPr>
            <w:r w:rsidRPr="009D6EA5">
              <w:t>1)</w:t>
            </w:r>
          </w:p>
        </w:tc>
        <w:tc>
          <w:tcPr>
            <w:tcW w:w="4140" w:type="dxa"/>
          </w:tcPr>
          <w:p w:rsidR="009D6EA5" w:rsidRPr="009D6EA5" w:rsidRDefault="009D6EA5" w:rsidP="009D6EA5">
            <w:pPr>
              <w:spacing w:before="120" w:after="120"/>
            </w:pPr>
            <w:r>
              <w:t>Wash hands and area to be tested with soap and water.  Put on gloves.  Student’s hands must be washed as well.  This is sufficient for prepping the site; however, alcohol may be used if soap and water are not available.  (The site selected must be dry before pricking.)</w:t>
            </w:r>
          </w:p>
        </w:tc>
        <w:tc>
          <w:tcPr>
            <w:tcW w:w="4698" w:type="dxa"/>
          </w:tcPr>
          <w:p w:rsidR="009D6EA5" w:rsidRPr="009D6EA5" w:rsidRDefault="009D6EA5" w:rsidP="009D6EA5">
            <w:pPr>
              <w:spacing w:before="120" w:after="120"/>
            </w:pPr>
            <w:r>
              <w:t>Alcohol may cause toughening of the skin or burning sensation.  If moisture (water or alcohol) remains on the skin it may alter test results.</w:t>
            </w:r>
          </w:p>
        </w:tc>
      </w:tr>
      <w:tr w:rsidR="009D6EA5" w:rsidTr="009D6EA5">
        <w:tc>
          <w:tcPr>
            <w:tcW w:w="738" w:type="dxa"/>
          </w:tcPr>
          <w:p w:rsidR="009D6EA5" w:rsidRPr="009D6EA5" w:rsidRDefault="009D6EA5" w:rsidP="009D6EA5">
            <w:pPr>
              <w:spacing w:before="120" w:after="120"/>
            </w:pPr>
            <w:r>
              <w:t>2)</w:t>
            </w:r>
          </w:p>
        </w:tc>
        <w:tc>
          <w:tcPr>
            <w:tcW w:w="4140" w:type="dxa"/>
          </w:tcPr>
          <w:p w:rsidR="009D6EA5" w:rsidRDefault="009D6EA5" w:rsidP="009D6EA5">
            <w:pPr>
              <w:spacing w:before="120" w:after="120"/>
            </w:pPr>
            <w:r>
              <w:t>Place glucose test strip into meter according to manufacturer’s instructions.  Verify correct code strip.</w:t>
            </w:r>
          </w:p>
        </w:tc>
        <w:tc>
          <w:tcPr>
            <w:tcW w:w="4698" w:type="dxa"/>
          </w:tcPr>
          <w:p w:rsidR="009D6EA5" w:rsidRDefault="00BC2D73" w:rsidP="003775DB">
            <w:pPr>
              <w:spacing w:before="120" w:after="120"/>
            </w:pPr>
            <w:r>
              <w:t xml:space="preserve">Read meter instructions, some meters do not </w:t>
            </w:r>
            <w:r w:rsidR="003775DB">
              <w:t>require code strips.</w:t>
            </w:r>
          </w:p>
        </w:tc>
      </w:tr>
      <w:tr w:rsidR="009D6EA5" w:rsidTr="009D6EA5">
        <w:tc>
          <w:tcPr>
            <w:tcW w:w="738" w:type="dxa"/>
          </w:tcPr>
          <w:p w:rsidR="009D6EA5" w:rsidRDefault="009D6EA5" w:rsidP="009D6EA5">
            <w:pPr>
              <w:spacing w:before="120" w:after="120"/>
            </w:pPr>
            <w:r>
              <w:t>3)</w:t>
            </w:r>
          </w:p>
        </w:tc>
        <w:tc>
          <w:tcPr>
            <w:tcW w:w="4140" w:type="dxa"/>
          </w:tcPr>
          <w:p w:rsidR="009D6EA5" w:rsidRDefault="009D6EA5" w:rsidP="009D6EA5">
            <w:pPr>
              <w:spacing w:before="120" w:after="120"/>
            </w:pPr>
            <w:r>
              <w:t>Prepare lancing device according to manufacturer’s instructions.</w:t>
            </w:r>
          </w:p>
        </w:tc>
        <w:tc>
          <w:tcPr>
            <w:tcW w:w="4698" w:type="dxa"/>
          </w:tcPr>
          <w:p w:rsidR="009D6EA5" w:rsidRDefault="009D6EA5" w:rsidP="009D6EA5">
            <w:pPr>
              <w:spacing w:before="120" w:after="120"/>
            </w:pPr>
          </w:p>
        </w:tc>
      </w:tr>
      <w:tr w:rsidR="009D6EA5" w:rsidTr="009D6EA5">
        <w:tc>
          <w:tcPr>
            <w:tcW w:w="738" w:type="dxa"/>
          </w:tcPr>
          <w:p w:rsidR="009D6EA5" w:rsidRDefault="009D6EA5" w:rsidP="009D6EA5">
            <w:pPr>
              <w:spacing w:before="120" w:after="120"/>
            </w:pPr>
            <w:r>
              <w:t>4)</w:t>
            </w:r>
          </w:p>
        </w:tc>
        <w:tc>
          <w:tcPr>
            <w:tcW w:w="4140" w:type="dxa"/>
          </w:tcPr>
          <w:p w:rsidR="009D6EA5" w:rsidRDefault="009D6EA5" w:rsidP="009D6EA5">
            <w:pPr>
              <w:spacing w:before="120" w:after="120"/>
            </w:pPr>
            <w:r>
              <w:t>Select a site.  If using finger, use the sides of fingertips.  Hang the arm below the level of the heart for 30 seconds to increase blood flow.</w:t>
            </w:r>
          </w:p>
        </w:tc>
        <w:tc>
          <w:tcPr>
            <w:tcW w:w="4698" w:type="dxa"/>
          </w:tcPr>
          <w:p w:rsidR="009D6EA5" w:rsidRDefault="009D6EA5" w:rsidP="009D6EA5">
            <w:pPr>
              <w:spacing w:before="120" w:after="120"/>
            </w:pPr>
            <w:r>
              <w:t>The tips and pads of the fingertips are more sensitive.  The sides of the fingers should be used.  Other sites can be used such as the forearm</w:t>
            </w:r>
            <w:r w:rsidR="00226C82">
              <w:t xml:space="preserve"> if approved by manufacturer, but should not be use</w:t>
            </w:r>
            <w:r w:rsidR="00471FD1">
              <w:t>d</w:t>
            </w:r>
            <w:r w:rsidR="00226C82">
              <w:t xml:space="preserve"> if suspected hypoglycemia.</w:t>
            </w:r>
          </w:p>
        </w:tc>
      </w:tr>
      <w:tr w:rsidR="00226C82" w:rsidTr="009D6EA5">
        <w:tc>
          <w:tcPr>
            <w:tcW w:w="738" w:type="dxa"/>
          </w:tcPr>
          <w:p w:rsidR="00226C82" w:rsidRDefault="00226C82" w:rsidP="009D6EA5">
            <w:pPr>
              <w:spacing w:before="120" w:after="120"/>
            </w:pPr>
            <w:bookmarkStart w:id="0" w:name="_GoBack"/>
            <w:r>
              <w:t>5)</w:t>
            </w:r>
          </w:p>
        </w:tc>
        <w:tc>
          <w:tcPr>
            <w:tcW w:w="4140" w:type="dxa"/>
          </w:tcPr>
          <w:p w:rsidR="00226C82" w:rsidRDefault="00471FD1" w:rsidP="009D6EA5">
            <w:pPr>
              <w:spacing w:before="120" w:after="120"/>
            </w:pPr>
            <w:r>
              <w:t xml:space="preserve">Puncture the site with the lancing device.  Gently squeeze the finger so that blood can be absorbed into the test strip with a </w:t>
            </w:r>
            <w:r>
              <w:lastRenderedPageBreak/>
              <w:t>wicking motion.</w:t>
            </w:r>
          </w:p>
        </w:tc>
        <w:tc>
          <w:tcPr>
            <w:tcW w:w="4698" w:type="dxa"/>
          </w:tcPr>
          <w:p w:rsidR="00226C82" w:rsidRDefault="00226C82" w:rsidP="009D6EA5">
            <w:pPr>
              <w:spacing w:before="120" w:after="120"/>
            </w:pPr>
          </w:p>
        </w:tc>
      </w:tr>
      <w:bookmarkEnd w:id="0"/>
      <w:tr w:rsidR="00471FD1" w:rsidTr="009D6EA5">
        <w:tc>
          <w:tcPr>
            <w:tcW w:w="738" w:type="dxa"/>
          </w:tcPr>
          <w:p w:rsidR="00471FD1" w:rsidRDefault="00471FD1" w:rsidP="009D6EA5">
            <w:pPr>
              <w:spacing w:before="120" w:after="120"/>
            </w:pPr>
            <w:r>
              <w:lastRenderedPageBreak/>
              <w:t>6)</w:t>
            </w:r>
          </w:p>
        </w:tc>
        <w:tc>
          <w:tcPr>
            <w:tcW w:w="4140" w:type="dxa"/>
          </w:tcPr>
          <w:p w:rsidR="00471FD1" w:rsidRDefault="00471FD1" w:rsidP="009D6EA5">
            <w:pPr>
              <w:spacing w:before="120" w:after="120"/>
            </w:pPr>
            <w:r>
              <w:t>Place blood on test strip and complete instructions according to manufacturer’s instructions.</w:t>
            </w:r>
          </w:p>
        </w:tc>
        <w:tc>
          <w:tcPr>
            <w:tcW w:w="4698" w:type="dxa"/>
          </w:tcPr>
          <w:p w:rsidR="00471FD1" w:rsidRDefault="00471FD1" w:rsidP="009D6EA5">
            <w:pPr>
              <w:spacing w:before="120" w:after="120"/>
            </w:pPr>
          </w:p>
        </w:tc>
      </w:tr>
      <w:tr w:rsidR="00471FD1" w:rsidTr="009D6EA5">
        <w:tc>
          <w:tcPr>
            <w:tcW w:w="738" w:type="dxa"/>
          </w:tcPr>
          <w:p w:rsidR="00471FD1" w:rsidRDefault="00471FD1" w:rsidP="009D6EA5">
            <w:pPr>
              <w:spacing w:before="120" w:after="120"/>
            </w:pPr>
            <w:r>
              <w:t>7)</w:t>
            </w:r>
          </w:p>
        </w:tc>
        <w:tc>
          <w:tcPr>
            <w:tcW w:w="4140" w:type="dxa"/>
          </w:tcPr>
          <w:p w:rsidR="00471FD1" w:rsidRDefault="00471FD1" w:rsidP="009D6EA5">
            <w:pPr>
              <w:spacing w:before="120" w:after="120"/>
            </w:pPr>
            <w:r>
              <w:t>Dispose of test strip and tissue or cotton in lined wastebasket.  Dispose of lancet in Sharps container.</w:t>
            </w:r>
          </w:p>
        </w:tc>
        <w:tc>
          <w:tcPr>
            <w:tcW w:w="4698" w:type="dxa"/>
          </w:tcPr>
          <w:p w:rsidR="00471FD1" w:rsidRDefault="00471FD1" w:rsidP="009D6EA5">
            <w:pPr>
              <w:spacing w:before="120" w:after="120"/>
            </w:pPr>
            <w:r>
              <w:t>Compress lanced area with tissue or cotton ball until bleeding stops.</w:t>
            </w:r>
          </w:p>
        </w:tc>
      </w:tr>
      <w:tr w:rsidR="00471FD1" w:rsidTr="009D6EA5">
        <w:tc>
          <w:tcPr>
            <w:tcW w:w="738" w:type="dxa"/>
          </w:tcPr>
          <w:p w:rsidR="00471FD1" w:rsidRDefault="00471FD1" w:rsidP="009D6EA5">
            <w:pPr>
              <w:spacing w:before="120" w:after="120"/>
            </w:pPr>
            <w:r>
              <w:t xml:space="preserve">8) </w:t>
            </w:r>
          </w:p>
        </w:tc>
        <w:tc>
          <w:tcPr>
            <w:tcW w:w="4140" w:type="dxa"/>
          </w:tcPr>
          <w:p w:rsidR="00471FD1" w:rsidRDefault="00471FD1" w:rsidP="009D6EA5">
            <w:pPr>
              <w:spacing w:before="120" w:after="120"/>
            </w:pPr>
            <w:r>
              <w:t>Remove and dispose of gloves, wash hands.</w:t>
            </w:r>
          </w:p>
        </w:tc>
        <w:tc>
          <w:tcPr>
            <w:tcW w:w="4698" w:type="dxa"/>
          </w:tcPr>
          <w:p w:rsidR="00471FD1" w:rsidRDefault="00471FD1" w:rsidP="009D6EA5">
            <w:pPr>
              <w:spacing w:before="120" w:after="120"/>
            </w:pPr>
          </w:p>
        </w:tc>
      </w:tr>
      <w:tr w:rsidR="00471FD1" w:rsidTr="009D6EA5">
        <w:tc>
          <w:tcPr>
            <w:tcW w:w="738" w:type="dxa"/>
          </w:tcPr>
          <w:p w:rsidR="00471FD1" w:rsidRDefault="00471FD1" w:rsidP="009D6EA5">
            <w:pPr>
              <w:spacing w:before="120" w:after="120"/>
            </w:pPr>
            <w:r>
              <w:t>9)</w:t>
            </w:r>
          </w:p>
        </w:tc>
        <w:tc>
          <w:tcPr>
            <w:tcW w:w="4140" w:type="dxa"/>
          </w:tcPr>
          <w:p w:rsidR="00471FD1" w:rsidRDefault="00471FD1" w:rsidP="009D6EA5">
            <w:pPr>
              <w:spacing w:before="120" w:after="120"/>
            </w:pPr>
            <w:r>
              <w:t>Record results on blood glucose log.</w:t>
            </w:r>
          </w:p>
        </w:tc>
        <w:tc>
          <w:tcPr>
            <w:tcW w:w="4698" w:type="dxa"/>
          </w:tcPr>
          <w:p w:rsidR="00471FD1" w:rsidRDefault="00471FD1" w:rsidP="009D6EA5">
            <w:pPr>
              <w:spacing w:before="120" w:after="120"/>
            </w:pPr>
            <w:r>
              <w:t>Refer to doctor’s orders for management of blood glucose results.</w:t>
            </w:r>
          </w:p>
        </w:tc>
      </w:tr>
    </w:tbl>
    <w:p w:rsidR="009D6EA5" w:rsidRDefault="009D6EA5" w:rsidP="00BC2150">
      <w:pPr>
        <w:rPr>
          <w:b/>
        </w:rPr>
      </w:pPr>
    </w:p>
    <w:p w:rsidR="00FA4FFB" w:rsidRPr="00FA4FFB" w:rsidRDefault="00FA4FFB" w:rsidP="00010556">
      <w:pPr>
        <w:ind w:left="1080"/>
        <w:contextualSpacing/>
      </w:pPr>
    </w:p>
    <w:p w:rsidR="004F7B05" w:rsidRDefault="004F7B05" w:rsidP="00010556">
      <w:pPr>
        <w:ind w:left="1080"/>
        <w:contextualSpacing/>
      </w:pPr>
    </w:p>
    <w:p w:rsidR="00895770" w:rsidRDefault="00895770" w:rsidP="00895770">
      <w:pPr>
        <w:pStyle w:val="ListParagraph"/>
      </w:pPr>
    </w:p>
    <w:p w:rsidR="00895770" w:rsidRDefault="00895770" w:rsidP="00895770">
      <w:pPr>
        <w:pStyle w:val="ListParagraph"/>
      </w:pPr>
    </w:p>
    <w:p w:rsidR="00895770" w:rsidRDefault="00895770" w:rsidP="00895770">
      <w:pPr>
        <w:pStyle w:val="ListParagraph"/>
      </w:pPr>
    </w:p>
    <w:p w:rsidR="00895770" w:rsidRDefault="00895770" w:rsidP="00895770">
      <w:pPr>
        <w:pStyle w:val="ListParagraph"/>
      </w:pPr>
    </w:p>
    <w:p w:rsidR="00895770" w:rsidRDefault="00895770" w:rsidP="00895770">
      <w:pPr>
        <w:pStyle w:val="ListParagraph"/>
      </w:pPr>
    </w:p>
    <w:p w:rsidR="00895770" w:rsidRDefault="00895770" w:rsidP="00895770">
      <w:pPr>
        <w:pStyle w:val="ListParagraph"/>
      </w:pPr>
    </w:p>
    <w:p w:rsidR="00895770" w:rsidRDefault="00895770" w:rsidP="00895770">
      <w:pPr>
        <w:pStyle w:val="ListParagraph"/>
      </w:pPr>
    </w:p>
    <w:p w:rsidR="008120C9" w:rsidRDefault="008120C9" w:rsidP="00895770">
      <w:pPr>
        <w:pStyle w:val="ListParagraph"/>
      </w:pPr>
    </w:p>
    <w:p w:rsidR="008120C9" w:rsidRDefault="008120C9" w:rsidP="00895770">
      <w:pPr>
        <w:pStyle w:val="ListParagraph"/>
      </w:pPr>
    </w:p>
    <w:p w:rsidR="008120C9" w:rsidRDefault="008120C9" w:rsidP="00895770">
      <w:pPr>
        <w:pStyle w:val="ListParagraph"/>
      </w:pPr>
    </w:p>
    <w:p w:rsidR="008120C9" w:rsidRDefault="008120C9" w:rsidP="00895770">
      <w:pPr>
        <w:pStyle w:val="ListParagraph"/>
      </w:pPr>
    </w:p>
    <w:p w:rsidR="008120C9" w:rsidRDefault="008120C9" w:rsidP="00895770">
      <w:pPr>
        <w:pStyle w:val="ListParagraph"/>
      </w:pPr>
    </w:p>
    <w:p w:rsidR="002F6AE9" w:rsidRDefault="002F6AE9" w:rsidP="00895770">
      <w:pPr>
        <w:pStyle w:val="ListParagraph"/>
      </w:pPr>
    </w:p>
    <w:p w:rsidR="002F6AE9" w:rsidRDefault="002F6AE9" w:rsidP="00895770">
      <w:pPr>
        <w:pStyle w:val="ListParagraph"/>
      </w:pPr>
    </w:p>
    <w:p w:rsidR="00C4330A" w:rsidRDefault="00C4330A" w:rsidP="00E14206">
      <w:pPr>
        <w:pStyle w:val="ListParagraph"/>
        <w:rPr>
          <w:b/>
        </w:rPr>
      </w:pPr>
    </w:p>
    <w:sectPr w:rsidR="00C4330A" w:rsidSect="002C6E8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D73" w:rsidRDefault="00BC2D73" w:rsidP="00AE6EDD">
      <w:pPr>
        <w:spacing w:after="0" w:line="240" w:lineRule="auto"/>
      </w:pPr>
      <w:r>
        <w:separator/>
      </w:r>
    </w:p>
  </w:endnote>
  <w:endnote w:type="continuationSeparator" w:id="0">
    <w:p w:rsidR="00BC2D73" w:rsidRDefault="00BC2D73" w:rsidP="00AE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50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2D73" w:rsidRDefault="00BC2D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E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7CB" w:rsidRPr="001357CB" w:rsidRDefault="001357CB">
    <w:pPr>
      <w:pStyle w:val="Footer"/>
      <w:rPr>
        <w:sz w:val="18"/>
        <w:szCs w:val="18"/>
      </w:rPr>
    </w:pPr>
    <w:r w:rsidRPr="001357CB">
      <w:rPr>
        <w:sz w:val="18"/>
        <w:szCs w:val="18"/>
      </w:rPr>
      <w:t>©Plano Independent School District 2013</w:t>
    </w:r>
  </w:p>
  <w:p w:rsidR="00BC2D73" w:rsidRPr="001357CB" w:rsidRDefault="001357CB">
    <w:pPr>
      <w:pStyle w:val="Footer"/>
      <w:rPr>
        <w:sz w:val="18"/>
        <w:szCs w:val="18"/>
      </w:rPr>
    </w:pPr>
    <w:r w:rsidRPr="001357CB">
      <w:rPr>
        <w:sz w:val="18"/>
        <w:szCs w:val="18"/>
      </w:rPr>
      <w:t xml:space="preserve">             Blood Glucose Monitoring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D73" w:rsidRDefault="00BC2D73" w:rsidP="00AE6EDD">
      <w:pPr>
        <w:spacing w:after="0" w:line="240" w:lineRule="auto"/>
      </w:pPr>
      <w:r>
        <w:separator/>
      </w:r>
    </w:p>
  </w:footnote>
  <w:footnote w:type="continuationSeparator" w:id="0">
    <w:p w:rsidR="00BC2D73" w:rsidRDefault="00BC2D73" w:rsidP="00AE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E80" w:rsidRDefault="002C6E80">
    <w:pPr>
      <w:pStyle w:val="Header"/>
    </w:pPr>
    <w:r>
      <w:t>Blood Glucose Monitoring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E52"/>
    <w:multiLevelType w:val="hybridMultilevel"/>
    <w:tmpl w:val="CF6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CEA"/>
    <w:multiLevelType w:val="hybridMultilevel"/>
    <w:tmpl w:val="346429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D5051"/>
    <w:multiLevelType w:val="hybridMultilevel"/>
    <w:tmpl w:val="28BAB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3074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B10D0"/>
    <w:multiLevelType w:val="hybridMultilevel"/>
    <w:tmpl w:val="7A0CA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6A12"/>
    <w:multiLevelType w:val="hybridMultilevel"/>
    <w:tmpl w:val="5A20F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F4DBE"/>
    <w:multiLevelType w:val="hybridMultilevel"/>
    <w:tmpl w:val="7A601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860EC"/>
    <w:multiLevelType w:val="hybridMultilevel"/>
    <w:tmpl w:val="44A84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5DE5"/>
    <w:multiLevelType w:val="hybridMultilevel"/>
    <w:tmpl w:val="6DE2E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D1469"/>
    <w:multiLevelType w:val="hybridMultilevel"/>
    <w:tmpl w:val="6F0CA0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723F60"/>
    <w:multiLevelType w:val="hybridMultilevel"/>
    <w:tmpl w:val="76CCECA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CE3EA7"/>
    <w:multiLevelType w:val="hybridMultilevel"/>
    <w:tmpl w:val="EE247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34929"/>
    <w:multiLevelType w:val="hybridMultilevel"/>
    <w:tmpl w:val="C72C82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766A"/>
    <w:multiLevelType w:val="hybridMultilevel"/>
    <w:tmpl w:val="42EA93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C550F"/>
    <w:multiLevelType w:val="hybridMultilevel"/>
    <w:tmpl w:val="B0342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A2AE2"/>
    <w:multiLevelType w:val="hybridMultilevel"/>
    <w:tmpl w:val="C0D42C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10342"/>
    <w:multiLevelType w:val="hybridMultilevel"/>
    <w:tmpl w:val="115424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B5F8D"/>
    <w:multiLevelType w:val="hybridMultilevel"/>
    <w:tmpl w:val="F8A6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E67DE"/>
    <w:multiLevelType w:val="hybridMultilevel"/>
    <w:tmpl w:val="FBCC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96308"/>
    <w:multiLevelType w:val="hybridMultilevel"/>
    <w:tmpl w:val="F742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837AF"/>
    <w:multiLevelType w:val="hybridMultilevel"/>
    <w:tmpl w:val="800CC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18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19"/>
  </w:num>
  <w:num w:numId="12">
    <w:abstractNumId w:val="9"/>
  </w:num>
  <w:num w:numId="13">
    <w:abstractNumId w:val="16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20"/>
  </w:num>
  <w:num w:numId="19">
    <w:abstractNumId w:val="14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50"/>
    <w:rsid w:val="00010556"/>
    <w:rsid w:val="000743C3"/>
    <w:rsid w:val="000A1866"/>
    <w:rsid w:val="000A496C"/>
    <w:rsid w:val="001357CB"/>
    <w:rsid w:val="00226C82"/>
    <w:rsid w:val="0028477D"/>
    <w:rsid w:val="002C6E80"/>
    <w:rsid w:val="002F6AE9"/>
    <w:rsid w:val="00305291"/>
    <w:rsid w:val="003153EA"/>
    <w:rsid w:val="00356CFF"/>
    <w:rsid w:val="003775DB"/>
    <w:rsid w:val="003C74A9"/>
    <w:rsid w:val="003F628E"/>
    <w:rsid w:val="004157C9"/>
    <w:rsid w:val="00471FD1"/>
    <w:rsid w:val="0048425F"/>
    <w:rsid w:val="004C1C8D"/>
    <w:rsid w:val="004F7B05"/>
    <w:rsid w:val="0050190E"/>
    <w:rsid w:val="00511229"/>
    <w:rsid w:val="00533485"/>
    <w:rsid w:val="005343CA"/>
    <w:rsid w:val="005E0981"/>
    <w:rsid w:val="005F2171"/>
    <w:rsid w:val="006B2C94"/>
    <w:rsid w:val="006B5BE8"/>
    <w:rsid w:val="006C6D7E"/>
    <w:rsid w:val="006D38AB"/>
    <w:rsid w:val="007E4BD6"/>
    <w:rsid w:val="0080752B"/>
    <w:rsid w:val="00810693"/>
    <w:rsid w:val="008120C9"/>
    <w:rsid w:val="00856CCA"/>
    <w:rsid w:val="008942C3"/>
    <w:rsid w:val="00895770"/>
    <w:rsid w:val="008F0334"/>
    <w:rsid w:val="009D6EA5"/>
    <w:rsid w:val="00A711C0"/>
    <w:rsid w:val="00AC5442"/>
    <w:rsid w:val="00AE6EDD"/>
    <w:rsid w:val="00B24D70"/>
    <w:rsid w:val="00BA2E1F"/>
    <w:rsid w:val="00BC2150"/>
    <w:rsid w:val="00BC2D73"/>
    <w:rsid w:val="00C4330A"/>
    <w:rsid w:val="00C9427B"/>
    <w:rsid w:val="00CD76E9"/>
    <w:rsid w:val="00D27671"/>
    <w:rsid w:val="00D721E7"/>
    <w:rsid w:val="00DE03D1"/>
    <w:rsid w:val="00E14206"/>
    <w:rsid w:val="00E44364"/>
    <w:rsid w:val="00E705D1"/>
    <w:rsid w:val="00F144C6"/>
    <w:rsid w:val="00F36C59"/>
    <w:rsid w:val="00FA0F78"/>
    <w:rsid w:val="00FA4FFB"/>
    <w:rsid w:val="00FA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EDD"/>
  </w:style>
  <w:style w:type="paragraph" w:styleId="Footer">
    <w:name w:val="footer"/>
    <w:basedOn w:val="Normal"/>
    <w:link w:val="FooterChar"/>
    <w:uiPriority w:val="99"/>
    <w:unhideWhenUsed/>
    <w:rsid w:val="00AE6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EDD"/>
  </w:style>
  <w:style w:type="paragraph" w:styleId="BalloonText">
    <w:name w:val="Balloon Text"/>
    <w:basedOn w:val="Normal"/>
    <w:link w:val="BalloonTextChar"/>
    <w:uiPriority w:val="99"/>
    <w:semiHidden/>
    <w:unhideWhenUsed/>
    <w:rsid w:val="00AE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E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C54CA-1161-4448-8418-EE25574A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 Lam</dc:creator>
  <cp:lastModifiedBy>Megan Schuler</cp:lastModifiedBy>
  <cp:revision>3</cp:revision>
  <cp:lastPrinted>2013-02-21T14:52:00Z</cp:lastPrinted>
  <dcterms:created xsi:type="dcterms:W3CDTF">2013-03-07T16:19:00Z</dcterms:created>
  <dcterms:modified xsi:type="dcterms:W3CDTF">2013-03-15T15:20:00Z</dcterms:modified>
</cp:coreProperties>
</file>