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206AB" w14:textId="4423AD0A" w:rsidR="008A2696" w:rsidRDefault="001F5CBA" w:rsidP="008A2696">
      <w:pPr>
        <w:spacing w:after="0" w:line="240" w:lineRule="auto"/>
        <w:rPr>
          <w:rFonts w:cs="Times New Roman"/>
          <w:b/>
          <w:szCs w:val="32"/>
        </w:rPr>
      </w:pPr>
      <w:r>
        <w:rPr>
          <w:noProof/>
        </w:rPr>
        <w:drawing>
          <wp:inline distT="0" distB="0" distL="0" distR="0" wp14:anchorId="4F69041A" wp14:editId="03AB8D8F">
            <wp:extent cx="3461526" cy="667512"/>
            <wp:effectExtent l="0" t="0" r="5715" b="0"/>
            <wp:docPr id="5" name="Picture 5" descr="https://www.dshs.texas.gov/images/HHSDSH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shs.texas.gov/images/HHSDSHS-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1526" cy="667512"/>
                    </a:xfrm>
                    <a:prstGeom prst="rect">
                      <a:avLst/>
                    </a:prstGeom>
                    <a:noFill/>
                    <a:ln>
                      <a:noFill/>
                    </a:ln>
                  </pic:spPr>
                </pic:pic>
              </a:graphicData>
            </a:graphic>
          </wp:inline>
        </w:drawing>
      </w:r>
    </w:p>
    <w:p w14:paraId="776C3765" w14:textId="77777777" w:rsidR="008A2696" w:rsidRDefault="008A2696" w:rsidP="008A2696">
      <w:pPr>
        <w:pStyle w:val="NoSpacing"/>
        <w:rPr>
          <w:b/>
        </w:rPr>
      </w:pPr>
    </w:p>
    <w:p w14:paraId="0D96228B" w14:textId="77777777" w:rsidR="008A2696" w:rsidRDefault="008A2696" w:rsidP="008A2696">
      <w:pPr>
        <w:pStyle w:val="NoSpacing"/>
        <w:rPr>
          <w:b/>
        </w:rPr>
      </w:pPr>
    </w:p>
    <w:p w14:paraId="53B7E3EB" w14:textId="77777777" w:rsidR="008A2696" w:rsidRDefault="008A2696" w:rsidP="008A2696">
      <w:pPr>
        <w:pStyle w:val="NoSpacing"/>
        <w:rPr>
          <w:b/>
        </w:rPr>
      </w:pPr>
    </w:p>
    <w:p w14:paraId="50AF9BC4" w14:textId="77777777" w:rsidR="008A2696" w:rsidRDefault="008A2696" w:rsidP="008A2696">
      <w:pPr>
        <w:pStyle w:val="NoSpacing"/>
        <w:rPr>
          <w:b/>
        </w:rPr>
      </w:pPr>
    </w:p>
    <w:p w14:paraId="7BF78F88" w14:textId="77777777" w:rsidR="008A2696" w:rsidRDefault="008A2696" w:rsidP="008A2696">
      <w:pPr>
        <w:pStyle w:val="NoSpacing"/>
        <w:rPr>
          <w:b/>
        </w:rPr>
      </w:pPr>
    </w:p>
    <w:p w14:paraId="634A52BC" w14:textId="77777777" w:rsidR="008A2696" w:rsidRDefault="008A2696" w:rsidP="008A2696">
      <w:pPr>
        <w:pStyle w:val="NoSpacing"/>
        <w:rPr>
          <w:b/>
        </w:rPr>
      </w:pPr>
    </w:p>
    <w:p w14:paraId="3554D9BA" w14:textId="77777777" w:rsidR="008A2696" w:rsidRDefault="008A2696" w:rsidP="008A2696">
      <w:pPr>
        <w:pStyle w:val="NoSpacing"/>
        <w:rPr>
          <w:b/>
        </w:rPr>
      </w:pPr>
    </w:p>
    <w:p w14:paraId="13318FD6" w14:textId="77777777" w:rsidR="008A2696" w:rsidRDefault="008A2696" w:rsidP="008A2696">
      <w:pPr>
        <w:pStyle w:val="NoSpacing"/>
        <w:rPr>
          <w:b/>
        </w:rPr>
      </w:pPr>
    </w:p>
    <w:p w14:paraId="6F67C15B" w14:textId="77777777" w:rsidR="008A2696" w:rsidRDefault="008A2696" w:rsidP="008A2696">
      <w:pPr>
        <w:pStyle w:val="NoSpacing"/>
        <w:rPr>
          <w:b/>
        </w:rPr>
      </w:pPr>
    </w:p>
    <w:p w14:paraId="7A71BE3C" w14:textId="77777777" w:rsidR="008A2696" w:rsidRDefault="008A2696" w:rsidP="008A2696">
      <w:pPr>
        <w:pStyle w:val="NoSpacing"/>
        <w:rPr>
          <w:b/>
        </w:rPr>
      </w:pPr>
    </w:p>
    <w:p w14:paraId="789BFF80" w14:textId="77777777" w:rsidR="008A2696" w:rsidRDefault="008A2696" w:rsidP="008A2696">
      <w:pPr>
        <w:pStyle w:val="NoSpacing"/>
        <w:rPr>
          <w:b/>
        </w:rPr>
      </w:pPr>
    </w:p>
    <w:p w14:paraId="13A5CD82" w14:textId="77777777" w:rsidR="008A2696" w:rsidRDefault="008A2696" w:rsidP="008A2696">
      <w:pPr>
        <w:pStyle w:val="NoSpacing"/>
        <w:rPr>
          <w:b/>
        </w:rPr>
      </w:pPr>
    </w:p>
    <w:p w14:paraId="5AC9BF61" w14:textId="77777777" w:rsidR="008A2696" w:rsidRDefault="008A2696" w:rsidP="008A2696">
      <w:pPr>
        <w:pStyle w:val="NoSpacing"/>
        <w:rPr>
          <w:b/>
        </w:rPr>
      </w:pPr>
    </w:p>
    <w:p w14:paraId="08BFCD33" w14:textId="77777777" w:rsidR="008A2696" w:rsidRDefault="008A2696" w:rsidP="008A2696">
      <w:pPr>
        <w:pStyle w:val="NoSpacing"/>
        <w:rPr>
          <w:b/>
        </w:rPr>
      </w:pPr>
    </w:p>
    <w:p w14:paraId="412FD2A7" w14:textId="77777777" w:rsidR="008A2696" w:rsidRDefault="008A2696" w:rsidP="008A2696">
      <w:pPr>
        <w:pStyle w:val="NoSpacing"/>
        <w:rPr>
          <w:b/>
        </w:rPr>
      </w:pPr>
    </w:p>
    <w:p w14:paraId="62B12230" w14:textId="77777777" w:rsidR="008A2696" w:rsidRDefault="008A2696" w:rsidP="008A2696">
      <w:pPr>
        <w:pStyle w:val="NoSpacing"/>
        <w:rPr>
          <w:b/>
        </w:rPr>
      </w:pPr>
    </w:p>
    <w:p w14:paraId="40797D41" w14:textId="63628972" w:rsidR="008A2696" w:rsidRPr="00066B7E" w:rsidRDefault="00720EE5" w:rsidP="008A2696">
      <w:pPr>
        <w:pStyle w:val="NoSpacing"/>
        <w:jc w:val="center"/>
        <w:rPr>
          <w:rFonts w:ascii="Rockwell" w:hAnsi="Rockwell"/>
          <w:b/>
          <w:sz w:val="44"/>
          <w:szCs w:val="48"/>
        </w:rPr>
      </w:pPr>
      <w:r w:rsidRPr="00066B7E">
        <w:rPr>
          <w:rFonts w:ascii="Rockwell" w:hAnsi="Rockwell"/>
          <w:b/>
          <w:sz w:val="44"/>
          <w:szCs w:val="48"/>
        </w:rPr>
        <w:t>Texas Department of State Health Services</w:t>
      </w:r>
    </w:p>
    <w:p w14:paraId="0FC6FD15" w14:textId="49A63F48" w:rsidR="008A2696" w:rsidRPr="00ED208F" w:rsidRDefault="008A2696" w:rsidP="008A2696">
      <w:pPr>
        <w:pStyle w:val="NoSpacing"/>
        <w:jc w:val="center"/>
        <w:rPr>
          <w:b/>
          <w:sz w:val="48"/>
          <w:szCs w:val="48"/>
        </w:rPr>
      </w:pPr>
      <w:r w:rsidRPr="00ED208F">
        <w:rPr>
          <w:b/>
          <w:sz w:val="40"/>
          <w:szCs w:val="48"/>
        </w:rPr>
        <w:t>Housing Oppo</w:t>
      </w:r>
      <w:r w:rsidR="002515A5" w:rsidRPr="00ED208F">
        <w:rPr>
          <w:b/>
          <w:sz w:val="40"/>
          <w:szCs w:val="48"/>
        </w:rPr>
        <w:t>rtunities for Persons with AIDS</w:t>
      </w:r>
    </w:p>
    <w:p w14:paraId="5FE7D9A1" w14:textId="5A621FDE" w:rsidR="008A2696" w:rsidRPr="00ED208F" w:rsidRDefault="008A2696" w:rsidP="008A2696">
      <w:pPr>
        <w:pStyle w:val="NoSpacing"/>
        <w:jc w:val="center"/>
        <w:rPr>
          <w:b/>
          <w:sz w:val="52"/>
          <w:szCs w:val="48"/>
        </w:rPr>
      </w:pPr>
      <w:r w:rsidRPr="00ED208F">
        <w:rPr>
          <w:b/>
          <w:color w:val="5B9BD5" w:themeColor="accent1"/>
          <w:sz w:val="36"/>
          <w:szCs w:val="48"/>
        </w:rPr>
        <w:t>Program Manual</w:t>
      </w:r>
    </w:p>
    <w:p w14:paraId="5C94EEDF" w14:textId="42130EA1" w:rsidR="008A2696" w:rsidRPr="00ED208F" w:rsidRDefault="008A2696" w:rsidP="008A2696">
      <w:pPr>
        <w:pStyle w:val="NoSpacing"/>
        <w:jc w:val="center"/>
        <w:rPr>
          <w:b/>
          <w:sz w:val="32"/>
          <w:szCs w:val="28"/>
        </w:rPr>
      </w:pPr>
      <w:r w:rsidRPr="00ED208F">
        <w:rPr>
          <w:b/>
          <w:sz w:val="32"/>
          <w:szCs w:val="28"/>
        </w:rPr>
        <w:t>0</w:t>
      </w:r>
      <w:r w:rsidR="004A3479">
        <w:rPr>
          <w:b/>
          <w:sz w:val="32"/>
          <w:szCs w:val="28"/>
        </w:rPr>
        <w:t>9</w:t>
      </w:r>
      <w:r w:rsidRPr="00ED208F">
        <w:rPr>
          <w:b/>
          <w:sz w:val="32"/>
          <w:szCs w:val="28"/>
        </w:rPr>
        <w:t>/</w:t>
      </w:r>
      <w:r w:rsidR="004A3479">
        <w:rPr>
          <w:b/>
          <w:sz w:val="32"/>
          <w:szCs w:val="28"/>
        </w:rPr>
        <w:t>01</w:t>
      </w:r>
      <w:r w:rsidRPr="00ED208F">
        <w:rPr>
          <w:b/>
          <w:sz w:val="32"/>
          <w:szCs w:val="28"/>
        </w:rPr>
        <w:t>/</w:t>
      </w:r>
      <w:r w:rsidR="00BB5F5F">
        <w:rPr>
          <w:b/>
          <w:sz w:val="32"/>
          <w:szCs w:val="28"/>
        </w:rPr>
        <w:t>2</w:t>
      </w:r>
      <w:r w:rsidR="00A23571">
        <w:rPr>
          <w:b/>
          <w:sz w:val="32"/>
          <w:szCs w:val="28"/>
        </w:rPr>
        <w:t>4</w:t>
      </w:r>
    </w:p>
    <w:p w14:paraId="282C8200" w14:textId="77777777" w:rsidR="008A2696" w:rsidRPr="008A2696" w:rsidRDefault="008A2696" w:rsidP="008A2696">
      <w:pPr>
        <w:spacing w:after="0" w:line="240" w:lineRule="auto"/>
        <w:rPr>
          <w:rFonts w:cs="Times New Roman"/>
          <w:b/>
          <w:szCs w:val="32"/>
        </w:rPr>
      </w:pPr>
    </w:p>
    <w:p w14:paraId="33114ADF" w14:textId="77777777" w:rsidR="00487242" w:rsidRDefault="00487242" w:rsidP="008A2696">
      <w:pPr>
        <w:spacing w:after="0" w:line="240" w:lineRule="auto"/>
        <w:rPr>
          <w:rFonts w:cs="Times New Roman"/>
          <w:b/>
          <w:color w:val="2E74B5" w:themeColor="accent1" w:themeShade="BF"/>
          <w:sz w:val="32"/>
          <w:szCs w:val="32"/>
        </w:rPr>
        <w:sectPr w:rsidR="00487242" w:rsidSect="008444E0">
          <w:footerReference w:type="default" r:id="rId9"/>
          <w:footerReference w:type="first" r:id="rId10"/>
          <w:pgSz w:w="12240" w:h="15840"/>
          <w:pgMar w:top="720" w:right="720" w:bottom="720" w:left="720" w:header="504" w:footer="504" w:gutter="0"/>
          <w:pgBorders w:offsetFrom="page">
            <w:top w:val="single" w:sz="4" w:space="24" w:color="BFBFBF" w:themeColor="background1" w:themeShade="BF"/>
            <w:left w:val="single" w:sz="4" w:space="24" w:color="BFBFBF" w:themeColor="background1" w:themeShade="BF"/>
            <w:bottom w:val="single" w:sz="4" w:space="24" w:color="BFBFBF" w:themeColor="background1" w:themeShade="BF"/>
            <w:right w:val="single" w:sz="4" w:space="24" w:color="BFBFBF" w:themeColor="background1" w:themeShade="BF"/>
          </w:pgBorders>
          <w:pgNumType w:start="0"/>
          <w:cols w:space="720"/>
          <w:titlePg/>
          <w:docGrid w:linePitch="360"/>
        </w:sectPr>
      </w:pPr>
    </w:p>
    <w:sdt>
      <w:sdtPr>
        <w:rPr>
          <w:b/>
          <w:bCs/>
          <w:sz w:val="20"/>
        </w:rPr>
        <w:id w:val="-2045983146"/>
        <w:docPartObj>
          <w:docPartGallery w:val="Table of Contents"/>
          <w:docPartUnique/>
        </w:docPartObj>
      </w:sdtPr>
      <w:sdtEndPr>
        <w:rPr>
          <w:b w:val="0"/>
          <w:bCs w:val="0"/>
          <w:noProof/>
          <w:sz w:val="22"/>
        </w:rPr>
      </w:sdtEndPr>
      <w:sdtContent>
        <w:p w14:paraId="021A4D0F" w14:textId="77777777" w:rsidR="00B109D9" w:rsidRPr="004F1682" w:rsidRDefault="00F24BC0" w:rsidP="00ED208F">
          <w:pPr>
            <w:spacing w:after="0" w:line="240" w:lineRule="auto"/>
            <w:rPr>
              <w:sz w:val="20"/>
            </w:rPr>
          </w:pPr>
          <w:r w:rsidRPr="00066B7E">
            <w:rPr>
              <w:b/>
              <w:color w:val="5B9BD5" w:themeColor="accent1"/>
              <w:sz w:val="44"/>
            </w:rPr>
            <w:t>CONTENTS</w:t>
          </w:r>
        </w:p>
        <w:p w14:paraId="0CF3EC1C" w14:textId="5D3C0256" w:rsidR="00495AE2" w:rsidRDefault="00B109D9">
          <w:pPr>
            <w:pStyle w:val="TOC1"/>
            <w:rPr>
              <w:noProof/>
              <w:lang w:eastAsia="en-US"/>
            </w:rPr>
          </w:pPr>
          <w:r w:rsidRPr="004F1682">
            <w:fldChar w:fldCharType="begin"/>
          </w:r>
          <w:r w:rsidRPr="00B55267">
            <w:instrText xml:space="preserve"> TOC \o "1-3" \h \z \u </w:instrText>
          </w:r>
          <w:r w:rsidRPr="004F1682">
            <w:fldChar w:fldCharType="separate"/>
          </w:r>
          <w:hyperlink w:anchor="_Toc140755455" w:history="1">
            <w:r w:rsidR="00495AE2" w:rsidRPr="00B96D20">
              <w:rPr>
                <w:rStyle w:val="Hyperlink"/>
                <w:noProof/>
              </w:rPr>
              <w:t>Section 1. Purpose and Use of the Manual</w:t>
            </w:r>
            <w:r w:rsidR="00495AE2">
              <w:rPr>
                <w:noProof/>
                <w:webHidden/>
              </w:rPr>
              <w:tab/>
            </w:r>
            <w:r w:rsidR="00495AE2">
              <w:rPr>
                <w:noProof/>
                <w:webHidden/>
              </w:rPr>
              <w:fldChar w:fldCharType="begin"/>
            </w:r>
            <w:r w:rsidR="00495AE2">
              <w:rPr>
                <w:noProof/>
                <w:webHidden/>
              </w:rPr>
              <w:instrText xml:space="preserve"> PAGEREF _Toc140755455 \h </w:instrText>
            </w:r>
            <w:r w:rsidR="00495AE2">
              <w:rPr>
                <w:noProof/>
                <w:webHidden/>
              </w:rPr>
            </w:r>
            <w:r w:rsidR="00495AE2">
              <w:rPr>
                <w:noProof/>
                <w:webHidden/>
              </w:rPr>
              <w:fldChar w:fldCharType="separate"/>
            </w:r>
            <w:r w:rsidR="00495AE2">
              <w:rPr>
                <w:noProof/>
                <w:webHidden/>
              </w:rPr>
              <w:t>1</w:t>
            </w:r>
            <w:r w:rsidR="00495AE2">
              <w:rPr>
                <w:noProof/>
                <w:webHidden/>
              </w:rPr>
              <w:fldChar w:fldCharType="end"/>
            </w:r>
          </w:hyperlink>
        </w:p>
        <w:p w14:paraId="04B5942A" w14:textId="63032433" w:rsidR="00495AE2" w:rsidRDefault="00A66919">
          <w:pPr>
            <w:pStyle w:val="TOC1"/>
            <w:rPr>
              <w:noProof/>
              <w:lang w:eastAsia="en-US"/>
            </w:rPr>
          </w:pPr>
          <w:hyperlink w:anchor="_Toc140755456" w:history="1">
            <w:r w:rsidR="00495AE2" w:rsidRPr="00B96D20">
              <w:rPr>
                <w:rStyle w:val="Hyperlink"/>
                <w:noProof/>
              </w:rPr>
              <w:t>Section 2. Program Rules</w:t>
            </w:r>
            <w:r w:rsidR="00495AE2">
              <w:rPr>
                <w:noProof/>
                <w:webHidden/>
              </w:rPr>
              <w:tab/>
            </w:r>
            <w:r w:rsidR="00495AE2">
              <w:rPr>
                <w:noProof/>
                <w:webHidden/>
              </w:rPr>
              <w:fldChar w:fldCharType="begin"/>
            </w:r>
            <w:r w:rsidR="00495AE2">
              <w:rPr>
                <w:noProof/>
                <w:webHidden/>
              </w:rPr>
              <w:instrText xml:space="preserve"> PAGEREF _Toc140755456 \h </w:instrText>
            </w:r>
            <w:r w:rsidR="00495AE2">
              <w:rPr>
                <w:noProof/>
                <w:webHidden/>
              </w:rPr>
            </w:r>
            <w:r w:rsidR="00495AE2">
              <w:rPr>
                <w:noProof/>
                <w:webHidden/>
              </w:rPr>
              <w:fldChar w:fldCharType="separate"/>
            </w:r>
            <w:r w:rsidR="00495AE2">
              <w:rPr>
                <w:noProof/>
                <w:webHidden/>
              </w:rPr>
              <w:t>1</w:t>
            </w:r>
            <w:r w:rsidR="00495AE2">
              <w:rPr>
                <w:noProof/>
                <w:webHidden/>
              </w:rPr>
              <w:fldChar w:fldCharType="end"/>
            </w:r>
          </w:hyperlink>
        </w:p>
        <w:p w14:paraId="4501C641" w14:textId="5A863A7A" w:rsidR="00495AE2" w:rsidRDefault="00A66919">
          <w:pPr>
            <w:pStyle w:val="TOC1"/>
            <w:rPr>
              <w:noProof/>
              <w:lang w:eastAsia="en-US"/>
            </w:rPr>
          </w:pPr>
          <w:hyperlink w:anchor="_Toc140755457" w:history="1">
            <w:r w:rsidR="00495AE2" w:rsidRPr="00B96D20">
              <w:rPr>
                <w:rStyle w:val="Hyperlink"/>
                <w:noProof/>
              </w:rPr>
              <w:t>Section 3. Program Definitions</w:t>
            </w:r>
            <w:r w:rsidR="00495AE2">
              <w:rPr>
                <w:noProof/>
                <w:webHidden/>
              </w:rPr>
              <w:tab/>
            </w:r>
            <w:r w:rsidR="00495AE2">
              <w:rPr>
                <w:noProof/>
                <w:webHidden/>
              </w:rPr>
              <w:fldChar w:fldCharType="begin"/>
            </w:r>
            <w:r w:rsidR="00495AE2">
              <w:rPr>
                <w:noProof/>
                <w:webHidden/>
              </w:rPr>
              <w:instrText xml:space="preserve"> PAGEREF _Toc140755457 \h </w:instrText>
            </w:r>
            <w:r w:rsidR="00495AE2">
              <w:rPr>
                <w:noProof/>
                <w:webHidden/>
              </w:rPr>
            </w:r>
            <w:r w:rsidR="00495AE2">
              <w:rPr>
                <w:noProof/>
                <w:webHidden/>
              </w:rPr>
              <w:fldChar w:fldCharType="separate"/>
            </w:r>
            <w:r w:rsidR="00495AE2">
              <w:rPr>
                <w:noProof/>
                <w:webHidden/>
              </w:rPr>
              <w:t>2</w:t>
            </w:r>
            <w:r w:rsidR="00495AE2">
              <w:rPr>
                <w:noProof/>
                <w:webHidden/>
              </w:rPr>
              <w:fldChar w:fldCharType="end"/>
            </w:r>
          </w:hyperlink>
        </w:p>
        <w:p w14:paraId="701F91E3" w14:textId="158768B8" w:rsidR="00495AE2" w:rsidRDefault="00A66919">
          <w:pPr>
            <w:pStyle w:val="TOC1"/>
            <w:rPr>
              <w:noProof/>
              <w:lang w:eastAsia="en-US"/>
            </w:rPr>
          </w:pPr>
          <w:hyperlink w:anchor="_Toc140755458" w:history="1">
            <w:r w:rsidR="00495AE2" w:rsidRPr="00B96D20">
              <w:rPr>
                <w:rStyle w:val="Hyperlink"/>
                <w:noProof/>
              </w:rPr>
              <w:t>Section 4. Program Purpose, Administration, and Overview</w:t>
            </w:r>
            <w:r w:rsidR="00495AE2">
              <w:rPr>
                <w:noProof/>
                <w:webHidden/>
              </w:rPr>
              <w:tab/>
            </w:r>
            <w:r w:rsidR="00495AE2">
              <w:rPr>
                <w:noProof/>
                <w:webHidden/>
              </w:rPr>
              <w:fldChar w:fldCharType="begin"/>
            </w:r>
            <w:r w:rsidR="00495AE2">
              <w:rPr>
                <w:noProof/>
                <w:webHidden/>
              </w:rPr>
              <w:instrText xml:space="preserve"> PAGEREF _Toc140755458 \h </w:instrText>
            </w:r>
            <w:r w:rsidR="00495AE2">
              <w:rPr>
                <w:noProof/>
                <w:webHidden/>
              </w:rPr>
            </w:r>
            <w:r w:rsidR="00495AE2">
              <w:rPr>
                <w:noProof/>
                <w:webHidden/>
              </w:rPr>
              <w:fldChar w:fldCharType="separate"/>
            </w:r>
            <w:r w:rsidR="00495AE2">
              <w:rPr>
                <w:noProof/>
                <w:webHidden/>
              </w:rPr>
              <w:t>7</w:t>
            </w:r>
            <w:r w:rsidR="00495AE2">
              <w:rPr>
                <w:noProof/>
                <w:webHidden/>
              </w:rPr>
              <w:fldChar w:fldCharType="end"/>
            </w:r>
          </w:hyperlink>
        </w:p>
        <w:p w14:paraId="062CAF59" w14:textId="2BDB265A" w:rsidR="00495AE2" w:rsidRDefault="00A66919">
          <w:pPr>
            <w:pStyle w:val="TOC1"/>
            <w:rPr>
              <w:noProof/>
              <w:lang w:eastAsia="en-US"/>
            </w:rPr>
          </w:pPr>
          <w:hyperlink w:anchor="_Toc140755459" w:history="1">
            <w:r w:rsidR="00495AE2" w:rsidRPr="00B96D20">
              <w:rPr>
                <w:rStyle w:val="Hyperlink"/>
                <w:noProof/>
              </w:rPr>
              <w:t>Section 5. Administrative Agency and Project Sponsor Roles and Responsibilities</w:t>
            </w:r>
            <w:r w:rsidR="00495AE2">
              <w:rPr>
                <w:noProof/>
                <w:webHidden/>
              </w:rPr>
              <w:tab/>
            </w:r>
            <w:r w:rsidR="00495AE2">
              <w:rPr>
                <w:noProof/>
                <w:webHidden/>
              </w:rPr>
              <w:fldChar w:fldCharType="begin"/>
            </w:r>
            <w:r w:rsidR="00495AE2">
              <w:rPr>
                <w:noProof/>
                <w:webHidden/>
              </w:rPr>
              <w:instrText xml:space="preserve"> PAGEREF _Toc140755459 \h </w:instrText>
            </w:r>
            <w:r w:rsidR="00495AE2">
              <w:rPr>
                <w:noProof/>
                <w:webHidden/>
              </w:rPr>
            </w:r>
            <w:r w:rsidR="00495AE2">
              <w:rPr>
                <w:noProof/>
                <w:webHidden/>
              </w:rPr>
              <w:fldChar w:fldCharType="separate"/>
            </w:r>
            <w:r w:rsidR="00495AE2">
              <w:rPr>
                <w:noProof/>
                <w:webHidden/>
              </w:rPr>
              <w:t>8</w:t>
            </w:r>
            <w:r w:rsidR="00495AE2">
              <w:rPr>
                <w:noProof/>
                <w:webHidden/>
              </w:rPr>
              <w:fldChar w:fldCharType="end"/>
            </w:r>
          </w:hyperlink>
        </w:p>
        <w:p w14:paraId="7B4FA2CC" w14:textId="205B7939" w:rsidR="00495AE2" w:rsidRDefault="00A66919">
          <w:pPr>
            <w:pStyle w:val="TOC1"/>
            <w:rPr>
              <w:noProof/>
              <w:lang w:eastAsia="en-US"/>
            </w:rPr>
          </w:pPr>
          <w:hyperlink w:anchor="_Toc140755460" w:history="1">
            <w:r w:rsidR="00495AE2" w:rsidRPr="00B96D20">
              <w:rPr>
                <w:rStyle w:val="Hyperlink"/>
                <w:noProof/>
              </w:rPr>
              <w:t>Section 6. Confidentiality</w:t>
            </w:r>
            <w:r w:rsidR="00495AE2">
              <w:rPr>
                <w:noProof/>
                <w:webHidden/>
              </w:rPr>
              <w:tab/>
            </w:r>
            <w:r w:rsidR="00495AE2">
              <w:rPr>
                <w:noProof/>
                <w:webHidden/>
              </w:rPr>
              <w:fldChar w:fldCharType="begin"/>
            </w:r>
            <w:r w:rsidR="00495AE2">
              <w:rPr>
                <w:noProof/>
                <w:webHidden/>
              </w:rPr>
              <w:instrText xml:space="preserve"> PAGEREF _Toc140755460 \h </w:instrText>
            </w:r>
            <w:r w:rsidR="00495AE2">
              <w:rPr>
                <w:noProof/>
                <w:webHidden/>
              </w:rPr>
            </w:r>
            <w:r w:rsidR="00495AE2">
              <w:rPr>
                <w:noProof/>
                <w:webHidden/>
              </w:rPr>
              <w:fldChar w:fldCharType="separate"/>
            </w:r>
            <w:r w:rsidR="00495AE2">
              <w:rPr>
                <w:noProof/>
                <w:webHidden/>
              </w:rPr>
              <w:t>10</w:t>
            </w:r>
            <w:r w:rsidR="00495AE2">
              <w:rPr>
                <w:noProof/>
                <w:webHidden/>
              </w:rPr>
              <w:fldChar w:fldCharType="end"/>
            </w:r>
          </w:hyperlink>
        </w:p>
        <w:p w14:paraId="39257887" w14:textId="602667F5" w:rsidR="00495AE2" w:rsidRDefault="00A66919">
          <w:pPr>
            <w:pStyle w:val="TOC1"/>
            <w:rPr>
              <w:noProof/>
              <w:lang w:eastAsia="en-US"/>
            </w:rPr>
          </w:pPr>
          <w:hyperlink w:anchor="_Toc140755461" w:history="1">
            <w:r w:rsidR="00495AE2" w:rsidRPr="00B96D20">
              <w:rPr>
                <w:rStyle w:val="Hyperlink"/>
                <w:noProof/>
              </w:rPr>
              <w:t>Section 7. Ensuring Access to the Program</w:t>
            </w:r>
            <w:r w:rsidR="00495AE2">
              <w:rPr>
                <w:noProof/>
                <w:webHidden/>
              </w:rPr>
              <w:tab/>
            </w:r>
            <w:r w:rsidR="00495AE2">
              <w:rPr>
                <w:noProof/>
                <w:webHidden/>
              </w:rPr>
              <w:fldChar w:fldCharType="begin"/>
            </w:r>
            <w:r w:rsidR="00495AE2">
              <w:rPr>
                <w:noProof/>
                <w:webHidden/>
              </w:rPr>
              <w:instrText xml:space="preserve"> PAGEREF _Toc140755461 \h </w:instrText>
            </w:r>
            <w:r w:rsidR="00495AE2">
              <w:rPr>
                <w:noProof/>
                <w:webHidden/>
              </w:rPr>
            </w:r>
            <w:r w:rsidR="00495AE2">
              <w:rPr>
                <w:noProof/>
                <w:webHidden/>
              </w:rPr>
              <w:fldChar w:fldCharType="separate"/>
            </w:r>
            <w:r w:rsidR="00495AE2">
              <w:rPr>
                <w:noProof/>
                <w:webHidden/>
              </w:rPr>
              <w:t>12</w:t>
            </w:r>
            <w:r w:rsidR="00495AE2">
              <w:rPr>
                <w:noProof/>
                <w:webHidden/>
              </w:rPr>
              <w:fldChar w:fldCharType="end"/>
            </w:r>
          </w:hyperlink>
        </w:p>
        <w:p w14:paraId="6D8D95CD" w14:textId="7CCB5C62" w:rsidR="00495AE2" w:rsidRDefault="00A66919">
          <w:pPr>
            <w:pStyle w:val="TOC1"/>
            <w:rPr>
              <w:noProof/>
              <w:lang w:eastAsia="en-US"/>
            </w:rPr>
          </w:pPr>
          <w:hyperlink w:anchor="_Toc140755462" w:history="1">
            <w:r w:rsidR="00495AE2" w:rsidRPr="00B96D20">
              <w:rPr>
                <w:rStyle w:val="Hyperlink"/>
                <w:noProof/>
              </w:rPr>
              <w:t>Section 8. Fair Housing, Nondiscrimination, and Equal Opportunity</w:t>
            </w:r>
            <w:r w:rsidR="00495AE2">
              <w:rPr>
                <w:noProof/>
                <w:webHidden/>
              </w:rPr>
              <w:tab/>
            </w:r>
            <w:r w:rsidR="00495AE2">
              <w:rPr>
                <w:noProof/>
                <w:webHidden/>
              </w:rPr>
              <w:fldChar w:fldCharType="begin"/>
            </w:r>
            <w:r w:rsidR="00495AE2">
              <w:rPr>
                <w:noProof/>
                <w:webHidden/>
              </w:rPr>
              <w:instrText xml:space="preserve"> PAGEREF _Toc140755462 \h </w:instrText>
            </w:r>
            <w:r w:rsidR="00495AE2">
              <w:rPr>
                <w:noProof/>
                <w:webHidden/>
              </w:rPr>
            </w:r>
            <w:r w:rsidR="00495AE2">
              <w:rPr>
                <w:noProof/>
                <w:webHidden/>
              </w:rPr>
              <w:fldChar w:fldCharType="separate"/>
            </w:r>
            <w:r w:rsidR="00495AE2">
              <w:rPr>
                <w:noProof/>
                <w:webHidden/>
              </w:rPr>
              <w:t>13</w:t>
            </w:r>
            <w:r w:rsidR="00495AE2">
              <w:rPr>
                <w:noProof/>
                <w:webHidden/>
              </w:rPr>
              <w:fldChar w:fldCharType="end"/>
            </w:r>
          </w:hyperlink>
        </w:p>
        <w:p w14:paraId="6BB8D39A" w14:textId="7AC667B0" w:rsidR="00495AE2" w:rsidRDefault="00A66919">
          <w:pPr>
            <w:pStyle w:val="TOC1"/>
            <w:rPr>
              <w:noProof/>
              <w:lang w:eastAsia="en-US"/>
            </w:rPr>
          </w:pPr>
          <w:hyperlink w:anchor="_Toc140755463" w:history="1">
            <w:r w:rsidR="00495AE2" w:rsidRPr="00B96D20">
              <w:rPr>
                <w:rStyle w:val="Hyperlink"/>
                <w:noProof/>
              </w:rPr>
              <w:t>Section 9. Violence Against Women Act Requirements</w:t>
            </w:r>
            <w:r w:rsidR="00495AE2">
              <w:rPr>
                <w:noProof/>
                <w:webHidden/>
              </w:rPr>
              <w:tab/>
            </w:r>
            <w:r w:rsidR="00495AE2">
              <w:rPr>
                <w:noProof/>
                <w:webHidden/>
              </w:rPr>
              <w:fldChar w:fldCharType="begin"/>
            </w:r>
            <w:r w:rsidR="00495AE2">
              <w:rPr>
                <w:noProof/>
                <w:webHidden/>
              </w:rPr>
              <w:instrText xml:space="preserve"> PAGEREF _Toc140755463 \h </w:instrText>
            </w:r>
            <w:r w:rsidR="00495AE2">
              <w:rPr>
                <w:noProof/>
                <w:webHidden/>
              </w:rPr>
            </w:r>
            <w:r w:rsidR="00495AE2">
              <w:rPr>
                <w:noProof/>
                <w:webHidden/>
              </w:rPr>
              <w:fldChar w:fldCharType="separate"/>
            </w:r>
            <w:r w:rsidR="00495AE2">
              <w:rPr>
                <w:noProof/>
                <w:webHidden/>
              </w:rPr>
              <w:t>14</w:t>
            </w:r>
            <w:r w:rsidR="00495AE2">
              <w:rPr>
                <w:noProof/>
                <w:webHidden/>
              </w:rPr>
              <w:fldChar w:fldCharType="end"/>
            </w:r>
          </w:hyperlink>
        </w:p>
        <w:p w14:paraId="2C9ABE25" w14:textId="289BD2E3" w:rsidR="00495AE2" w:rsidRDefault="00A66919">
          <w:pPr>
            <w:pStyle w:val="TOC1"/>
            <w:rPr>
              <w:noProof/>
              <w:lang w:eastAsia="en-US"/>
            </w:rPr>
          </w:pPr>
          <w:hyperlink w:anchor="_Toc140755464" w:history="1">
            <w:r w:rsidR="00495AE2" w:rsidRPr="00B96D20">
              <w:rPr>
                <w:rStyle w:val="Hyperlink"/>
                <w:noProof/>
              </w:rPr>
              <w:t>Section 10. Housing Quality Standards</w:t>
            </w:r>
            <w:r w:rsidR="00495AE2">
              <w:rPr>
                <w:noProof/>
                <w:webHidden/>
              </w:rPr>
              <w:tab/>
            </w:r>
            <w:r w:rsidR="00495AE2">
              <w:rPr>
                <w:noProof/>
                <w:webHidden/>
              </w:rPr>
              <w:fldChar w:fldCharType="begin"/>
            </w:r>
            <w:r w:rsidR="00495AE2">
              <w:rPr>
                <w:noProof/>
                <w:webHidden/>
              </w:rPr>
              <w:instrText xml:space="preserve"> PAGEREF _Toc140755464 \h </w:instrText>
            </w:r>
            <w:r w:rsidR="00495AE2">
              <w:rPr>
                <w:noProof/>
                <w:webHidden/>
              </w:rPr>
            </w:r>
            <w:r w:rsidR="00495AE2">
              <w:rPr>
                <w:noProof/>
                <w:webHidden/>
              </w:rPr>
              <w:fldChar w:fldCharType="separate"/>
            </w:r>
            <w:r w:rsidR="00495AE2">
              <w:rPr>
                <w:noProof/>
                <w:webHidden/>
              </w:rPr>
              <w:t>18</w:t>
            </w:r>
            <w:r w:rsidR="00495AE2">
              <w:rPr>
                <w:noProof/>
                <w:webHidden/>
              </w:rPr>
              <w:fldChar w:fldCharType="end"/>
            </w:r>
          </w:hyperlink>
        </w:p>
        <w:p w14:paraId="477D6D61" w14:textId="25CE8F6A" w:rsidR="00495AE2" w:rsidRDefault="00A66919">
          <w:pPr>
            <w:pStyle w:val="TOC1"/>
            <w:rPr>
              <w:noProof/>
              <w:lang w:eastAsia="en-US"/>
            </w:rPr>
          </w:pPr>
          <w:hyperlink w:anchor="_Toc140755465" w:history="1">
            <w:r w:rsidR="00495AE2" w:rsidRPr="00B96D20">
              <w:rPr>
                <w:rStyle w:val="Hyperlink"/>
                <w:noProof/>
              </w:rPr>
              <w:t>Section 11. Linkage with Other Affordable Housing Programs</w:t>
            </w:r>
            <w:r w:rsidR="00495AE2">
              <w:rPr>
                <w:noProof/>
                <w:webHidden/>
              </w:rPr>
              <w:tab/>
            </w:r>
            <w:r w:rsidR="00495AE2">
              <w:rPr>
                <w:noProof/>
                <w:webHidden/>
              </w:rPr>
              <w:fldChar w:fldCharType="begin"/>
            </w:r>
            <w:r w:rsidR="00495AE2">
              <w:rPr>
                <w:noProof/>
                <w:webHidden/>
              </w:rPr>
              <w:instrText xml:space="preserve"> PAGEREF _Toc140755465 \h </w:instrText>
            </w:r>
            <w:r w:rsidR="00495AE2">
              <w:rPr>
                <w:noProof/>
                <w:webHidden/>
              </w:rPr>
            </w:r>
            <w:r w:rsidR="00495AE2">
              <w:rPr>
                <w:noProof/>
                <w:webHidden/>
              </w:rPr>
              <w:fldChar w:fldCharType="separate"/>
            </w:r>
            <w:r w:rsidR="00495AE2">
              <w:rPr>
                <w:noProof/>
                <w:webHidden/>
              </w:rPr>
              <w:t>20</w:t>
            </w:r>
            <w:r w:rsidR="00495AE2">
              <w:rPr>
                <w:noProof/>
                <w:webHidden/>
              </w:rPr>
              <w:fldChar w:fldCharType="end"/>
            </w:r>
          </w:hyperlink>
        </w:p>
        <w:p w14:paraId="31D9F735" w14:textId="3682943F" w:rsidR="00495AE2" w:rsidRDefault="00A66919">
          <w:pPr>
            <w:pStyle w:val="TOC1"/>
            <w:rPr>
              <w:noProof/>
              <w:lang w:eastAsia="en-US"/>
            </w:rPr>
          </w:pPr>
          <w:hyperlink w:anchor="_Toc140755466" w:history="1">
            <w:r w:rsidR="00495AE2" w:rsidRPr="00B96D20">
              <w:rPr>
                <w:rStyle w:val="Hyperlink"/>
                <w:noProof/>
              </w:rPr>
              <w:t>Section 12. Program Forms</w:t>
            </w:r>
            <w:r w:rsidR="00495AE2">
              <w:rPr>
                <w:noProof/>
                <w:webHidden/>
              </w:rPr>
              <w:tab/>
            </w:r>
            <w:r w:rsidR="00495AE2">
              <w:rPr>
                <w:noProof/>
                <w:webHidden/>
              </w:rPr>
              <w:fldChar w:fldCharType="begin"/>
            </w:r>
            <w:r w:rsidR="00495AE2">
              <w:rPr>
                <w:noProof/>
                <w:webHidden/>
              </w:rPr>
              <w:instrText xml:space="preserve"> PAGEREF _Toc140755466 \h </w:instrText>
            </w:r>
            <w:r w:rsidR="00495AE2">
              <w:rPr>
                <w:noProof/>
                <w:webHidden/>
              </w:rPr>
            </w:r>
            <w:r w:rsidR="00495AE2">
              <w:rPr>
                <w:noProof/>
                <w:webHidden/>
              </w:rPr>
              <w:fldChar w:fldCharType="separate"/>
            </w:r>
            <w:r w:rsidR="00495AE2">
              <w:rPr>
                <w:noProof/>
                <w:webHidden/>
              </w:rPr>
              <w:t>21</w:t>
            </w:r>
            <w:r w:rsidR="00495AE2">
              <w:rPr>
                <w:noProof/>
                <w:webHidden/>
              </w:rPr>
              <w:fldChar w:fldCharType="end"/>
            </w:r>
          </w:hyperlink>
        </w:p>
        <w:p w14:paraId="11ED8559" w14:textId="074F8F58" w:rsidR="00495AE2" w:rsidRDefault="00A66919">
          <w:pPr>
            <w:pStyle w:val="TOC1"/>
            <w:rPr>
              <w:noProof/>
              <w:lang w:eastAsia="en-US"/>
            </w:rPr>
          </w:pPr>
          <w:hyperlink w:anchor="_Toc140755467" w:history="1">
            <w:r w:rsidR="00495AE2" w:rsidRPr="00B96D20">
              <w:rPr>
                <w:rStyle w:val="Hyperlink"/>
                <w:noProof/>
              </w:rPr>
              <w:t>Section 13. Program Eligibility</w:t>
            </w:r>
            <w:r w:rsidR="00495AE2">
              <w:rPr>
                <w:noProof/>
                <w:webHidden/>
              </w:rPr>
              <w:tab/>
            </w:r>
            <w:r w:rsidR="00495AE2">
              <w:rPr>
                <w:noProof/>
                <w:webHidden/>
              </w:rPr>
              <w:fldChar w:fldCharType="begin"/>
            </w:r>
            <w:r w:rsidR="00495AE2">
              <w:rPr>
                <w:noProof/>
                <w:webHidden/>
              </w:rPr>
              <w:instrText xml:space="preserve"> PAGEREF _Toc140755467 \h </w:instrText>
            </w:r>
            <w:r w:rsidR="00495AE2">
              <w:rPr>
                <w:noProof/>
                <w:webHidden/>
              </w:rPr>
            </w:r>
            <w:r w:rsidR="00495AE2">
              <w:rPr>
                <w:noProof/>
                <w:webHidden/>
              </w:rPr>
              <w:fldChar w:fldCharType="separate"/>
            </w:r>
            <w:r w:rsidR="00495AE2">
              <w:rPr>
                <w:noProof/>
                <w:webHidden/>
              </w:rPr>
              <w:t>22</w:t>
            </w:r>
            <w:r w:rsidR="00495AE2">
              <w:rPr>
                <w:noProof/>
                <w:webHidden/>
              </w:rPr>
              <w:fldChar w:fldCharType="end"/>
            </w:r>
          </w:hyperlink>
        </w:p>
        <w:p w14:paraId="602159AF" w14:textId="09DCDA22" w:rsidR="00495AE2" w:rsidRDefault="00A66919">
          <w:pPr>
            <w:pStyle w:val="TOC1"/>
            <w:rPr>
              <w:noProof/>
              <w:lang w:eastAsia="en-US"/>
            </w:rPr>
          </w:pPr>
          <w:hyperlink w:anchor="_Toc140755468" w:history="1">
            <w:r w:rsidR="00495AE2" w:rsidRPr="00B96D20">
              <w:rPr>
                <w:rStyle w:val="Hyperlink"/>
                <w:noProof/>
              </w:rPr>
              <w:t>Section 14. Program Activities</w:t>
            </w:r>
            <w:r w:rsidR="00495AE2">
              <w:rPr>
                <w:noProof/>
                <w:webHidden/>
              </w:rPr>
              <w:tab/>
            </w:r>
            <w:r w:rsidR="00495AE2">
              <w:rPr>
                <w:noProof/>
                <w:webHidden/>
              </w:rPr>
              <w:fldChar w:fldCharType="begin"/>
            </w:r>
            <w:r w:rsidR="00495AE2">
              <w:rPr>
                <w:noProof/>
                <w:webHidden/>
              </w:rPr>
              <w:instrText xml:space="preserve"> PAGEREF _Toc140755468 \h </w:instrText>
            </w:r>
            <w:r w:rsidR="00495AE2">
              <w:rPr>
                <w:noProof/>
                <w:webHidden/>
              </w:rPr>
            </w:r>
            <w:r w:rsidR="00495AE2">
              <w:rPr>
                <w:noProof/>
                <w:webHidden/>
              </w:rPr>
              <w:fldChar w:fldCharType="separate"/>
            </w:r>
            <w:r w:rsidR="00495AE2">
              <w:rPr>
                <w:noProof/>
                <w:webHidden/>
              </w:rPr>
              <w:t>25</w:t>
            </w:r>
            <w:r w:rsidR="00495AE2">
              <w:rPr>
                <w:noProof/>
                <w:webHidden/>
              </w:rPr>
              <w:fldChar w:fldCharType="end"/>
            </w:r>
          </w:hyperlink>
        </w:p>
        <w:p w14:paraId="7A7A6ACF" w14:textId="6A01E43D" w:rsidR="00495AE2" w:rsidRDefault="00A66919">
          <w:pPr>
            <w:pStyle w:val="TOC2"/>
            <w:rPr>
              <w:rFonts w:cstheme="minorBidi"/>
              <w:lang w:eastAsia="en-US"/>
            </w:rPr>
          </w:pPr>
          <w:hyperlink w:anchor="_Toc140755469" w:history="1">
            <w:r w:rsidR="00495AE2" w:rsidRPr="00B96D20">
              <w:rPr>
                <w:rStyle w:val="Hyperlink"/>
              </w:rPr>
              <w:t>Housing Assistance and Supportive Services</w:t>
            </w:r>
            <w:r w:rsidR="00495AE2">
              <w:rPr>
                <w:webHidden/>
              </w:rPr>
              <w:tab/>
            </w:r>
            <w:r w:rsidR="00495AE2">
              <w:rPr>
                <w:webHidden/>
              </w:rPr>
              <w:fldChar w:fldCharType="begin"/>
            </w:r>
            <w:r w:rsidR="00495AE2">
              <w:rPr>
                <w:webHidden/>
              </w:rPr>
              <w:instrText xml:space="preserve"> PAGEREF _Toc140755469 \h </w:instrText>
            </w:r>
            <w:r w:rsidR="00495AE2">
              <w:rPr>
                <w:webHidden/>
              </w:rPr>
            </w:r>
            <w:r w:rsidR="00495AE2">
              <w:rPr>
                <w:webHidden/>
              </w:rPr>
              <w:fldChar w:fldCharType="separate"/>
            </w:r>
            <w:r w:rsidR="00495AE2">
              <w:rPr>
                <w:webHidden/>
              </w:rPr>
              <w:t>25</w:t>
            </w:r>
            <w:r w:rsidR="00495AE2">
              <w:rPr>
                <w:webHidden/>
              </w:rPr>
              <w:fldChar w:fldCharType="end"/>
            </w:r>
          </w:hyperlink>
        </w:p>
        <w:p w14:paraId="4560780B" w14:textId="1F0A8CE7" w:rsidR="00495AE2" w:rsidRDefault="00A66919">
          <w:pPr>
            <w:pStyle w:val="TOC3"/>
            <w:tabs>
              <w:tab w:val="right" w:leader="dot" w:pos="10790"/>
            </w:tabs>
            <w:rPr>
              <w:noProof/>
              <w:lang w:eastAsia="en-US"/>
            </w:rPr>
          </w:pPr>
          <w:hyperlink w:anchor="_Toc140755470" w:history="1">
            <w:r w:rsidR="00495AE2" w:rsidRPr="00B96D20">
              <w:rPr>
                <w:rStyle w:val="Hyperlink"/>
                <w:noProof/>
              </w:rPr>
              <w:t>Tenant-Based Rental Assistance (TBRA) Services</w:t>
            </w:r>
            <w:r w:rsidR="00495AE2">
              <w:rPr>
                <w:noProof/>
                <w:webHidden/>
              </w:rPr>
              <w:tab/>
            </w:r>
            <w:r w:rsidR="00495AE2">
              <w:rPr>
                <w:noProof/>
                <w:webHidden/>
              </w:rPr>
              <w:fldChar w:fldCharType="begin"/>
            </w:r>
            <w:r w:rsidR="00495AE2">
              <w:rPr>
                <w:noProof/>
                <w:webHidden/>
              </w:rPr>
              <w:instrText xml:space="preserve"> PAGEREF _Toc140755470 \h </w:instrText>
            </w:r>
            <w:r w:rsidR="00495AE2">
              <w:rPr>
                <w:noProof/>
                <w:webHidden/>
              </w:rPr>
            </w:r>
            <w:r w:rsidR="00495AE2">
              <w:rPr>
                <w:noProof/>
                <w:webHidden/>
              </w:rPr>
              <w:fldChar w:fldCharType="separate"/>
            </w:r>
            <w:r w:rsidR="00495AE2">
              <w:rPr>
                <w:noProof/>
                <w:webHidden/>
              </w:rPr>
              <w:t>28</w:t>
            </w:r>
            <w:r w:rsidR="00495AE2">
              <w:rPr>
                <w:noProof/>
                <w:webHidden/>
              </w:rPr>
              <w:fldChar w:fldCharType="end"/>
            </w:r>
          </w:hyperlink>
        </w:p>
        <w:p w14:paraId="20EA06C1" w14:textId="27457BCA" w:rsidR="00495AE2" w:rsidRDefault="00A66919">
          <w:pPr>
            <w:pStyle w:val="TOC3"/>
            <w:tabs>
              <w:tab w:val="right" w:leader="dot" w:pos="10790"/>
            </w:tabs>
            <w:rPr>
              <w:noProof/>
              <w:lang w:eastAsia="en-US"/>
            </w:rPr>
          </w:pPr>
          <w:hyperlink w:anchor="_Toc140755471" w:history="1">
            <w:r w:rsidR="00495AE2" w:rsidRPr="00B96D20">
              <w:rPr>
                <w:rStyle w:val="Hyperlink"/>
                <w:noProof/>
              </w:rPr>
              <w:t>Short-Term Rent, Mortgage, and Utility (STRMU) Services</w:t>
            </w:r>
            <w:r w:rsidR="00495AE2">
              <w:rPr>
                <w:noProof/>
                <w:webHidden/>
              </w:rPr>
              <w:tab/>
            </w:r>
            <w:r w:rsidR="00495AE2">
              <w:rPr>
                <w:noProof/>
                <w:webHidden/>
              </w:rPr>
              <w:fldChar w:fldCharType="begin"/>
            </w:r>
            <w:r w:rsidR="00495AE2">
              <w:rPr>
                <w:noProof/>
                <w:webHidden/>
              </w:rPr>
              <w:instrText xml:space="preserve"> PAGEREF _Toc140755471 \h </w:instrText>
            </w:r>
            <w:r w:rsidR="00495AE2">
              <w:rPr>
                <w:noProof/>
                <w:webHidden/>
              </w:rPr>
            </w:r>
            <w:r w:rsidR="00495AE2">
              <w:rPr>
                <w:noProof/>
                <w:webHidden/>
              </w:rPr>
              <w:fldChar w:fldCharType="separate"/>
            </w:r>
            <w:r w:rsidR="00495AE2">
              <w:rPr>
                <w:noProof/>
                <w:webHidden/>
              </w:rPr>
              <w:t>32</w:t>
            </w:r>
            <w:r w:rsidR="00495AE2">
              <w:rPr>
                <w:noProof/>
                <w:webHidden/>
              </w:rPr>
              <w:fldChar w:fldCharType="end"/>
            </w:r>
          </w:hyperlink>
        </w:p>
        <w:p w14:paraId="4D11DBE6" w14:textId="008E076C" w:rsidR="00495AE2" w:rsidRDefault="00A66919">
          <w:pPr>
            <w:pStyle w:val="TOC3"/>
            <w:tabs>
              <w:tab w:val="right" w:leader="dot" w:pos="10790"/>
            </w:tabs>
            <w:rPr>
              <w:noProof/>
              <w:lang w:eastAsia="en-US"/>
            </w:rPr>
          </w:pPr>
          <w:hyperlink w:anchor="_Toc140755472" w:history="1">
            <w:r w:rsidR="00495AE2" w:rsidRPr="00B96D20">
              <w:rPr>
                <w:rStyle w:val="Hyperlink"/>
                <w:noProof/>
              </w:rPr>
              <w:t>Facility-Based Housing Assistance (FBHA) Services</w:t>
            </w:r>
            <w:r w:rsidR="00495AE2">
              <w:rPr>
                <w:noProof/>
                <w:webHidden/>
              </w:rPr>
              <w:tab/>
            </w:r>
            <w:r w:rsidR="00495AE2">
              <w:rPr>
                <w:noProof/>
                <w:webHidden/>
              </w:rPr>
              <w:fldChar w:fldCharType="begin"/>
            </w:r>
            <w:r w:rsidR="00495AE2">
              <w:rPr>
                <w:noProof/>
                <w:webHidden/>
              </w:rPr>
              <w:instrText xml:space="preserve"> PAGEREF _Toc140755472 \h </w:instrText>
            </w:r>
            <w:r w:rsidR="00495AE2">
              <w:rPr>
                <w:noProof/>
                <w:webHidden/>
              </w:rPr>
            </w:r>
            <w:r w:rsidR="00495AE2">
              <w:rPr>
                <w:noProof/>
                <w:webHidden/>
              </w:rPr>
              <w:fldChar w:fldCharType="separate"/>
            </w:r>
            <w:r w:rsidR="00495AE2">
              <w:rPr>
                <w:noProof/>
                <w:webHidden/>
              </w:rPr>
              <w:t>37</w:t>
            </w:r>
            <w:r w:rsidR="00495AE2">
              <w:rPr>
                <w:noProof/>
                <w:webHidden/>
              </w:rPr>
              <w:fldChar w:fldCharType="end"/>
            </w:r>
          </w:hyperlink>
        </w:p>
        <w:p w14:paraId="412DF2D4" w14:textId="1656539A" w:rsidR="00495AE2" w:rsidRDefault="00A66919">
          <w:pPr>
            <w:pStyle w:val="TOC3"/>
            <w:tabs>
              <w:tab w:val="right" w:leader="dot" w:pos="10790"/>
            </w:tabs>
            <w:rPr>
              <w:noProof/>
              <w:lang w:eastAsia="en-US"/>
            </w:rPr>
          </w:pPr>
          <w:hyperlink w:anchor="_Toc140755473" w:history="1">
            <w:r w:rsidR="00495AE2" w:rsidRPr="00B96D20">
              <w:rPr>
                <w:rStyle w:val="Hyperlink"/>
                <w:noProof/>
              </w:rPr>
              <w:t>Permanent Housing Placement (PHP) Services</w:t>
            </w:r>
            <w:r w:rsidR="00495AE2">
              <w:rPr>
                <w:noProof/>
                <w:webHidden/>
              </w:rPr>
              <w:tab/>
            </w:r>
            <w:r w:rsidR="00495AE2">
              <w:rPr>
                <w:noProof/>
                <w:webHidden/>
              </w:rPr>
              <w:fldChar w:fldCharType="begin"/>
            </w:r>
            <w:r w:rsidR="00495AE2">
              <w:rPr>
                <w:noProof/>
                <w:webHidden/>
              </w:rPr>
              <w:instrText xml:space="preserve"> PAGEREF _Toc140755473 \h </w:instrText>
            </w:r>
            <w:r w:rsidR="00495AE2">
              <w:rPr>
                <w:noProof/>
                <w:webHidden/>
              </w:rPr>
            </w:r>
            <w:r w:rsidR="00495AE2">
              <w:rPr>
                <w:noProof/>
                <w:webHidden/>
              </w:rPr>
              <w:fldChar w:fldCharType="separate"/>
            </w:r>
            <w:r w:rsidR="00495AE2">
              <w:rPr>
                <w:noProof/>
                <w:webHidden/>
              </w:rPr>
              <w:t>47</w:t>
            </w:r>
            <w:r w:rsidR="00495AE2">
              <w:rPr>
                <w:noProof/>
                <w:webHidden/>
              </w:rPr>
              <w:fldChar w:fldCharType="end"/>
            </w:r>
          </w:hyperlink>
        </w:p>
        <w:p w14:paraId="1AC9748D" w14:textId="12AEE3C8" w:rsidR="00495AE2" w:rsidRDefault="00A66919">
          <w:pPr>
            <w:pStyle w:val="TOC3"/>
            <w:tabs>
              <w:tab w:val="right" w:leader="dot" w:pos="10790"/>
            </w:tabs>
            <w:rPr>
              <w:noProof/>
              <w:lang w:eastAsia="en-US"/>
            </w:rPr>
          </w:pPr>
          <w:hyperlink w:anchor="_Toc140755474" w:history="1">
            <w:r w:rsidR="00495AE2" w:rsidRPr="00B96D20">
              <w:rPr>
                <w:rStyle w:val="Hyperlink"/>
                <w:noProof/>
              </w:rPr>
              <w:t>Housing Case Management (HCM) Services</w:t>
            </w:r>
            <w:r w:rsidR="00495AE2">
              <w:rPr>
                <w:noProof/>
                <w:webHidden/>
              </w:rPr>
              <w:tab/>
            </w:r>
            <w:r w:rsidR="00495AE2">
              <w:rPr>
                <w:noProof/>
                <w:webHidden/>
              </w:rPr>
              <w:fldChar w:fldCharType="begin"/>
            </w:r>
            <w:r w:rsidR="00495AE2">
              <w:rPr>
                <w:noProof/>
                <w:webHidden/>
              </w:rPr>
              <w:instrText xml:space="preserve"> PAGEREF _Toc140755474 \h </w:instrText>
            </w:r>
            <w:r w:rsidR="00495AE2">
              <w:rPr>
                <w:noProof/>
                <w:webHidden/>
              </w:rPr>
            </w:r>
            <w:r w:rsidR="00495AE2">
              <w:rPr>
                <w:noProof/>
                <w:webHidden/>
              </w:rPr>
              <w:fldChar w:fldCharType="separate"/>
            </w:r>
            <w:r w:rsidR="00495AE2">
              <w:rPr>
                <w:noProof/>
                <w:webHidden/>
              </w:rPr>
              <w:t>49</w:t>
            </w:r>
            <w:r w:rsidR="00495AE2">
              <w:rPr>
                <w:noProof/>
                <w:webHidden/>
              </w:rPr>
              <w:fldChar w:fldCharType="end"/>
            </w:r>
          </w:hyperlink>
        </w:p>
        <w:p w14:paraId="3D890E47" w14:textId="224B4B81" w:rsidR="00495AE2" w:rsidRDefault="00A66919">
          <w:pPr>
            <w:pStyle w:val="TOC2"/>
            <w:rPr>
              <w:rFonts w:cstheme="minorBidi"/>
              <w:lang w:eastAsia="en-US"/>
            </w:rPr>
          </w:pPr>
          <w:hyperlink w:anchor="_Toc140755475" w:history="1">
            <w:r w:rsidR="00495AE2" w:rsidRPr="00B96D20">
              <w:rPr>
                <w:rStyle w:val="Hyperlink"/>
              </w:rPr>
              <w:t>Housing Information Services (HIS)</w:t>
            </w:r>
            <w:r w:rsidR="00495AE2">
              <w:rPr>
                <w:webHidden/>
              </w:rPr>
              <w:tab/>
            </w:r>
            <w:r w:rsidR="00495AE2">
              <w:rPr>
                <w:webHidden/>
              </w:rPr>
              <w:fldChar w:fldCharType="begin"/>
            </w:r>
            <w:r w:rsidR="00495AE2">
              <w:rPr>
                <w:webHidden/>
              </w:rPr>
              <w:instrText xml:space="preserve"> PAGEREF _Toc140755475 \h </w:instrText>
            </w:r>
            <w:r w:rsidR="00495AE2">
              <w:rPr>
                <w:webHidden/>
              </w:rPr>
            </w:r>
            <w:r w:rsidR="00495AE2">
              <w:rPr>
                <w:webHidden/>
              </w:rPr>
              <w:fldChar w:fldCharType="separate"/>
            </w:r>
            <w:r w:rsidR="00495AE2">
              <w:rPr>
                <w:webHidden/>
              </w:rPr>
              <w:t>51</w:t>
            </w:r>
            <w:r w:rsidR="00495AE2">
              <w:rPr>
                <w:webHidden/>
              </w:rPr>
              <w:fldChar w:fldCharType="end"/>
            </w:r>
          </w:hyperlink>
        </w:p>
        <w:p w14:paraId="4DF59774" w14:textId="5C6A3CF5" w:rsidR="00495AE2" w:rsidRDefault="00A66919">
          <w:pPr>
            <w:pStyle w:val="TOC2"/>
            <w:rPr>
              <w:rFonts w:cstheme="minorBidi"/>
              <w:lang w:eastAsia="en-US"/>
            </w:rPr>
          </w:pPr>
          <w:hyperlink w:anchor="_Toc140755476" w:history="1">
            <w:r w:rsidR="00495AE2" w:rsidRPr="00B96D20">
              <w:rPr>
                <w:rStyle w:val="Hyperlink"/>
              </w:rPr>
              <w:t>Resource Identification (RI)</w:t>
            </w:r>
            <w:r w:rsidR="00495AE2">
              <w:rPr>
                <w:webHidden/>
              </w:rPr>
              <w:tab/>
            </w:r>
            <w:r w:rsidR="00495AE2">
              <w:rPr>
                <w:webHidden/>
              </w:rPr>
              <w:fldChar w:fldCharType="begin"/>
            </w:r>
            <w:r w:rsidR="00495AE2">
              <w:rPr>
                <w:webHidden/>
              </w:rPr>
              <w:instrText xml:space="preserve"> PAGEREF _Toc140755476 \h </w:instrText>
            </w:r>
            <w:r w:rsidR="00495AE2">
              <w:rPr>
                <w:webHidden/>
              </w:rPr>
            </w:r>
            <w:r w:rsidR="00495AE2">
              <w:rPr>
                <w:webHidden/>
              </w:rPr>
              <w:fldChar w:fldCharType="separate"/>
            </w:r>
            <w:r w:rsidR="00495AE2">
              <w:rPr>
                <w:webHidden/>
              </w:rPr>
              <w:t>53</w:t>
            </w:r>
            <w:r w:rsidR="00495AE2">
              <w:rPr>
                <w:webHidden/>
              </w:rPr>
              <w:fldChar w:fldCharType="end"/>
            </w:r>
          </w:hyperlink>
        </w:p>
        <w:p w14:paraId="61C018ED" w14:textId="5AF278E6" w:rsidR="00495AE2" w:rsidRDefault="00A66919">
          <w:pPr>
            <w:pStyle w:val="TOC2"/>
            <w:rPr>
              <w:rFonts w:cstheme="minorBidi"/>
              <w:lang w:eastAsia="en-US"/>
            </w:rPr>
          </w:pPr>
          <w:hyperlink w:anchor="_Toc140755477" w:history="1">
            <w:r w:rsidR="00495AE2" w:rsidRPr="00B96D20">
              <w:rPr>
                <w:rStyle w:val="Hyperlink"/>
              </w:rPr>
              <w:t>Grantee and Project Sponsor Administration</w:t>
            </w:r>
            <w:r w:rsidR="00495AE2">
              <w:rPr>
                <w:webHidden/>
              </w:rPr>
              <w:tab/>
            </w:r>
            <w:r w:rsidR="00495AE2">
              <w:rPr>
                <w:webHidden/>
              </w:rPr>
              <w:fldChar w:fldCharType="begin"/>
            </w:r>
            <w:r w:rsidR="00495AE2">
              <w:rPr>
                <w:webHidden/>
              </w:rPr>
              <w:instrText xml:space="preserve"> PAGEREF _Toc140755477 \h </w:instrText>
            </w:r>
            <w:r w:rsidR="00495AE2">
              <w:rPr>
                <w:webHidden/>
              </w:rPr>
            </w:r>
            <w:r w:rsidR="00495AE2">
              <w:rPr>
                <w:webHidden/>
              </w:rPr>
              <w:fldChar w:fldCharType="separate"/>
            </w:r>
            <w:r w:rsidR="00495AE2">
              <w:rPr>
                <w:webHidden/>
              </w:rPr>
              <w:t>54</w:t>
            </w:r>
            <w:r w:rsidR="00495AE2">
              <w:rPr>
                <w:webHidden/>
              </w:rPr>
              <w:fldChar w:fldCharType="end"/>
            </w:r>
          </w:hyperlink>
        </w:p>
        <w:p w14:paraId="2189297F" w14:textId="04400FF9" w:rsidR="00495AE2" w:rsidRDefault="00A66919">
          <w:pPr>
            <w:pStyle w:val="TOC1"/>
            <w:rPr>
              <w:noProof/>
              <w:lang w:eastAsia="en-US"/>
            </w:rPr>
          </w:pPr>
          <w:hyperlink w:anchor="_Toc140755478" w:history="1">
            <w:r w:rsidR="00495AE2" w:rsidRPr="00B96D20">
              <w:rPr>
                <w:rStyle w:val="Hyperlink"/>
                <w:noProof/>
              </w:rPr>
              <w:t>Section 15. Other Supporting Documentation</w:t>
            </w:r>
            <w:r w:rsidR="00495AE2">
              <w:rPr>
                <w:noProof/>
                <w:webHidden/>
              </w:rPr>
              <w:tab/>
            </w:r>
            <w:r w:rsidR="00495AE2">
              <w:rPr>
                <w:noProof/>
                <w:webHidden/>
              </w:rPr>
              <w:fldChar w:fldCharType="begin"/>
            </w:r>
            <w:r w:rsidR="00495AE2">
              <w:rPr>
                <w:noProof/>
                <w:webHidden/>
              </w:rPr>
              <w:instrText xml:space="preserve"> PAGEREF _Toc140755478 \h </w:instrText>
            </w:r>
            <w:r w:rsidR="00495AE2">
              <w:rPr>
                <w:noProof/>
                <w:webHidden/>
              </w:rPr>
            </w:r>
            <w:r w:rsidR="00495AE2">
              <w:rPr>
                <w:noProof/>
                <w:webHidden/>
              </w:rPr>
              <w:fldChar w:fldCharType="separate"/>
            </w:r>
            <w:r w:rsidR="00495AE2">
              <w:rPr>
                <w:noProof/>
                <w:webHidden/>
              </w:rPr>
              <w:t>56</w:t>
            </w:r>
            <w:r w:rsidR="00495AE2">
              <w:rPr>
                <w:noProof/>
                <w:webHidden/>
              </w:rPr>
              <w:fldChar w:fldCharType="end"/>
            </w:r>
          </w:hyperlink>
        </w:p>
        <w:p w14:paraId="2609A81B" w14:textId="32E8172C" w:rsidR="00495AE2" w:rsidRDefault="00A66919">
          <w:pPr>
            <w:pStyle w:val="TOC1"/>
            <w:rPr>
              <w:noProof/>
              <w:lang w:eastAsia="en-US"/>
            </w:rPr>
          </w:pPr>
          <w:hyperlink w:anchor="_Toc140755479" w:history="1">
            <w:r w:rsidR="00495AE2" w:rsidRPr="00B96D20">
              <w:rPr>
                <w:rStyle w:val="Hyperlink"/>
                <w:noProof/>
              </w:rPr>
              <w:t>Section 16. Termination</w:t>
            </w:r>
            <w:r w:rsidR="00495AE2">
              <w:rPr>
                <w:noProof/>
                <w:webHidden/>
              </w:rPr>
              <w:tab/>
            </w:r>
            <w:r w:rsidR="00495AE2">
              <w:rPr>
                <w:noProof/>
                <w:webHidden/>
              </w:rPr>
              <w:fldChar w:fldCharType="begin"/>
            </w:r>
            <w:r w:rsidR="00495AE2">
              <w:rPr>
                <w:noProof/>
                <w:webHidden/>
              </w:rPr>
              <w:instrText xml:space="preserve"> PAGEREF _Toc140755479 \h </w:instrText>
            </w:r>
            <w:r w:rsidR="00495AE2">
              <w:rPr>
                <w:noProof/>
                <w:webHidden/>
              </w:rPr>
            </w:r>
            <w:r w:rsidR="00495AE2">
              <w:rPr>
                <w:noProof/>
                <w:webHidden/>
              </w:rPr>
              <w:fldChar w:fldCharType="separate"/>
            </w:r>
            <w:r w:rsidR="00495AE2">
              <w:rPr>
                <w:noProof/>
                <w:webHidden/>
              </w:rPr>
              <w:t>56</w:t>
            </w:r>
            <w:r w:rsidR="00495AE2">
              <w:rPr>
                <w:noProof/>
                <w:webHidden/>
              </w:rPr>
              <w:fldChar w:fldCharType="end"/>
            </w:r>
          </w:hyperlink>
        </w:p>
        <w:p w14:paraId="5B82EBC6" w14:textId="309306C1" w:rsidR="00495AE2" w:rsidRDefault="00A66919">
          <w:pPr>
            <w:pStyle w:val="TOC1"/>
            <w:rPr>
              <w:noProof/>
              <w:lang w:eastAsia="en-US"/>
            </w:rPr>
          </w:pPr>
          <w:hyperlink w:anchor="_Toc140755480" w:history="1">
            <w:r w:rsidR="00495AE2" w:rsidRPr="00B96D20">
              <w:rPr>
                <w:rStyle w:val="Hyperlink"/>
                <w:noProof/>
              </w:rPr>
              <w:t>Section 17. Reasonable Absences from Assisted Housing</w:t>
            </w:r>
            <w:r w:rsidR="00495AE2">
              <w:rPr>
                <w:noProof/>
                <w:webHidden/>
              </w:rPr>
              <w:tab/>
            </w:r>
            <w:r w:rsidR="00495AE2">
              <w:rPr>
                <w:noProof/>
                <w:webHidden/>
              </w:rPr>
              <w:fldChar w:fldCharType="begin"/>
            </w:r>
            <w:r w:rsidR="00495AE2">
              <w:rPr>
                <w:noProof/>
                <w:webHidden/>
              </w:rPr>
              <w:instrText xml:space="preserve"> PAGEREF _Toc140755480 \h </w:instrText>
            </w:r>
            <w:r w:rsidR="00495AE2">
              <w:rPr>
                <w:noProof/>
                <w:webHidden/>
              </w:rPr>
            </w:r>
            <w:r w:rsidR="00495AE2">
              <w:rPr>
                <w:noProof/>
                <w:webHidden/>
              </w:rPr>
              <w:fldChar w:fldCharType="separate"/>
            </w:r>
            <w:r w:rsidR="00495AE2">
              <w:rPr>
                <w:noProof/>
                <w:webHidden/>
              </w:rPr>
              <w:t>56</w:t>
            </w:r>
            <w:r w:rsidR="00495AE2">
              <w:rPr>
                <w:noProof/>
                <w:webHidden/>
              </w:rPr>
              <w:fldChar w:fldCharType="end"/>
            </w:r>
          </w:hyperlink>
        </w:p>
        <w:p w14:paraId="489BEE36" w14:textId="1CD219D2" w:rsidR="00495AE2" w:rsidRDefault="00A66919">
          <w:pPr>
            <w:pStyle w:val="TOC1"/>
            <w:rPr>
              <w:noProof/>
              <w:lang w:eastAsia="en-US"/>
            </w:rPr>
          </w:pPr>
          <w:hyperlink w:anchor="_Toc140755481" w:history="1">
            <w:r w:rsidR="00495AE2" w:rsidRPr="00B96D20">
              <w:rPr>
                <w:rStyle w:val="Hyperlink"/>
                <w:noProof/>
              </w:rPr>
              <w:t>Section 18. Grace Periods for Surviving or Remaining Household Members</w:t>
            </w:r>
            <w:r w:rsidR="00495AE2">
              <w:rPr>
                <w:noProof/>
                <w:webHidden/>
              </w:rPr>
              <w:tab/>
            </w:r>
            <w:r w:rsidR="00495AE2">
              <w:rPr>
                <w:noProof/>
                <w:webHidden/>
              </w:rPr>
              <w:fldChar w:fldCharType="begin"/>
            </w:r>
            <w:r w:rsidR="00495AE2">
              <w:rPr>
                <w:noProof/>
                <w:webHidden/>
              </w:rPr>
              <w:instrText xml:space="preserve"> PAGEREF _Toc140755481 \h </w:instrText>
            </w:r>
            <w:r w:rsidR="00495AE2">
              <w:rPr>
                <w:noProof/>
                <w:webHidden/>
              </w:rPr>
            </w:r>
            <w:r w:rsidR="00495AE2">
              <w:rPr>
                <w:noProof/>
                <w:webHidden/>
              </w:rPr>
              <w:fldChar w:fldCharType="separate"/>
            </w:r>
            <w:r w:rsidR="00495AE2">
              <w:rPr>
                <w:noProof/>
                <w:webHidden/>
              </w:rPr>
              <w:t>57</w:t>
            </w:r>
            <w:r w:rsidR="00495AE2">
              <w:rPr>
                <w:noProof/>
                <w:webHidden/>
              </w:rPr>
              <w:fldChar w:fldCharType="end"/>
            </w:r>
          </w:hyperlink>
        </w:p>
        <w:p w14:paraId="210E5AF2" w14:textId="07E7D2A0" w:rsidR="00495AE2" w:rsidRDefault="00A66919">
          <w:pPr>
            <w:pStyle w:val="TOC1"/>
            <w:rPr>
              <w:noProof/>
              <w:lang w:eastAsia="en-US"/>
            </w:rPr>
          </w:pPr>
          <w:hyperlink w:anchor="_Toc140755482" w:history="1">
            <w:r w:rsidR="00495AE2" w:rsidRPr="00B96D20">
              <w:rPr>
                <w:rStyle w:val="Hyperlink"/>
                <w:noProof/>
              </w:rPr>
              <w:t>Section 19. Program Reporting and Reviewing Requirements</w:t>
            </w:r>
            <w:r w:rsidR="00495AE2">
              <w:rPr>
                <w:noProof/>
                <w:webHidden/>
              </w:rPr>
              <w:tab/>
            </w:r>
            <w:r w:rsidR="00495AE2">
              <w:rPr>
                <w:noProof/>
                <w:webHidden/>
              </w:rPr>
              <w:fldChar w:fldCharType="begin"/>
            </w:r>
            <w:r w:rsidR="00495AE2">
              <w:rPr>
                <w:noProof/>
                <w:webHidden/>
              </w:rPr>
              <w:instrText xml:space="preserve"> PAGEREF _Toc140755482 \h </w:instrText>
            </w:r>
            <w:r w:rsidR="00495AE2">
              <w:rPr>
                <w:noProof/>
                <w:webHidden/>
              </w:rPr>
            </w:r>
            <w:r w:rsidR="00495AE2">
              <w:rPr>
                <w:noProof/>
                <w:webHidden/>
              </w:rPr>
              <w:fldChar w:fldCharType="separate"/>
            </w:r>
            <w:r w:rsidR="00495AE2">
              <w:rPr>
                <w:noProof/>
                <w:webHidden/>
              </w:rPr>
              <w:t>58</w:t>
            </w:r>
            <w:r w:rsidR="00495AE2">
              <w:rPr>
                <w:noProof/>
                <w:webHidden/>
              </w:rPr>
              <w:fldChar w:fldCharType="end"/>
            </w:r>
          </w:hyperlink>
        </w:p>
        <w:p w14:paraId="3EC3BAC6" w14:textId="198F0793" w:rsidR="00495AE2" w:rsidRDefault="00A66919">
          <w:pPr>
            <w:pStyle w:val="TOC1"/>
            <w:rPr>
              <w:noProof/>
              <w:lang w:eastAsia="en-US"/>
            </w:rPr>
          </w:pPr>
          <w:hyperlink w:anchor="_Toc140755483" w:history="1">
            <w:r w:rsidR="00495AE2" w:rsidRPr="00B96D20">
              <w:rPr>
                <w:rStyle w:val="Hyperlink"/>
                <w:noProof/>
              </w:rPr>
              <w:t>Section 20. HUD Datasets</w:t>
            </w:r>
            <w:r w:rsidR="00495AE2">
              <w:rPr>
                <w:noProof/>
                <w:webHidden/>
              </w:rPr>
              <w:tab/>
            </w:r>
            <w:r w:rsidR="00495AE2">
              <w:rPr>
                <w:noProof/>
                <w:webHidden/>
              </w:rPr>
              <w:fldChar w:fldCharType="begin"/>
            </w:r>
            <w:r w:rsidR="00495AE2">
              <w:rPr>
                <w:noProof/>
                <w:webHidden/>
              </w:rPr>
              <w:instrText xml:space="preserve"> PAGEREF _Toc140755483 \h </w:instrText>
            </w:r>
            <w:r w:rsidR="00495AE2">
              <w:rPr>
                <w:noProof/>
                <w:webHidden/>
              </w:rPr>
            </w:r>
            <w:r w:rsidR="00495AE2">
              <w:rPr>
                <w:noProof/>
                <w:webHidden/>
              </w:rPr>
              <w:fldChar w:fldCharType="separate"/>
            </w:r>
            <w:r w:rsidR="00495AE2">
              <w:rPr>
                <w:noProof/>
                <w:webHidden/>
              </w:rPr>
              <w:t>61</w:t>
            </w:r>
            <w:r w:rsidR="00495AE2">
              <w:rPr>
                <w:noProof/>
                <w:webHidden/>
              </w:rPr>
              <w:fldChar w:fldCharType="end"/>
            </w:r>
          </w:hyperlink>
        </w:p>
        <w:p w14:paraId="75E114FE" w14:textId="6366FA50" w:rsidR="00495AE2" w:rsidRDefault="00A66919">
          <w:pPr>
            <w:pStyle w:val="TOC1"/>
            <w:rPr>
              <w:noProof/>
              <w:lang w:eastAsia="en-US"/>
            </w:rPr>
          </w:pPr>
          <w:hyperlink w:anchor="_Toc140755484" w:history="1">
            <w:r w:rsidR="00495AE2" w:rsidRPr="00B96D20">
              <w:rPr>
                <w:rStyle w:val="Hyperlink"/>
                <w:noProof/>
              </w:rPr>
              <w:t>Section 21. Program Technical Assistance and Trainings</w:t>
            </w:r>
            <w:r w:rsidR="00495AE2">
              <w:rPr>
                <w:noProof/>
                <w:webHidden/>
              </w:rPr>
              <w:tab/>
            </w:r>
            <w:r w:rsidR="00495AE2">
              <w:rPr>
                <w:noProof/>
                <w:webHidden/>
              </w:rPr>
              <w:fldChar w:fldCharType="begin"/>
            </w:r>
            <w:r w:rsidR="00495AE2">
              <w:rPr>
                <w:noProof/>
                <w:webHidden/>
              </w:rPr>
              <w:instrText xml:space="preserve"> PAGEREF _Toc140755484 \h </w:instrText>
            </w:r>
            <w:r w:rsidR="00495AE2">
              <w:rPr>
                <w:noProof/>
                <w:webHidden/>
              </w:rPr>
            </w:r>
            <w:r w:rsidR="00495AE2">
              <w:rPr>
                <w:noProof/>
                <w:webHidden/>
              </w:rPr>
              <w:fldChar w:fldCharType="separate"/>
            </w:r>
            <w:r w:rsidR="00495AE2">
              <w:rPr>
                <w:noProof/>
                <w:webHidden/>
              </w:rPr>
              <w:t>61</w:t>
            </w:r>
            <w:r w:rsidR="00495AE2">
              <w:rPr>
                <w:noProof/>
                <w:webHidden/>
              </w:rPr>
              <w:fldChar w:fldCharType="end"/>
            </w:r>
          </w:hyperlink>
        </w:p>
        <w:p w14:paraId="56EF5706" w14:textId="2ED6F13E" w:rsidR="00495AE2" w:rsidRDefault="00A66919">
          <w:pPr>
            <w:pStyle w:val="TOC1"/>
            <w:rPr>
              <w:noProof/>
              <w:lang w:eastAsia="en-US"/>
            </w:rPr>
          </w:pPr>
          <w:hyperlink w:anchor="_Toc140755485" w:history="1">
            <w:r w:rsidR="00495AE2" w:rsidRPr="00B96D20">
              <w:rPr>
                <w:rStyle w:val="Hyperlink"/>
                <w:noProof/>
              </w:rPr>
              <w:t>APPENDICES</w:t>
            </w:r>
            <w:r w:rsidR="00495AE2">
              <w:rPr>
                <w:noProof/>
                <w:webHidden/>
              </w:rPr>
              <w:tab/>
            </w:r>
            <w:r w:rsidR="00495AE2">
              <w:rPr>
                <w:noProof/>
                <w:webHidden/>
              </w:rPr>
              <w:fldChar w:fldCharType="begin"/>
            </w:r>
            <w:r w:rsidR="00495AE2">
              <w:rPr>
                <w:noProof/>
                <w:webHidden/>
              </w:rPr>
              <w:instrText xml:space="preserve"> PAGEREF _Toc140755485 \h </w:instrText>
            </w:r>
            <w:r w:rsidR="00495AE2">
              <w:rPr>
                <w:noProof/>
                <w:webHidden/>
              </w:rPr>
            </w:r>
            <w:r w:rsidR="00495AE2">
              <w:rPr>
                <w:noProof/>
                <w:webHidden/>
              </w:rPr>
              <w:fldChar w:fldCharType="separate"/>
            </w:r>
            <w:r w:rsidR="00495AE2">
              <w:rPr>
                <w:noProof/>
                <w:webHidden/>
              </w:rPr>
              <w:t>63</w:t>
            </w:r>
            <w:r w:rsidR="00495AE2">
              <w:rPr>
                <w:noProof/>
                <w:webHidden/>
              </w:rPr>
              <w:fldChar w:fldCharType="end"/>
            </w:r>
          </w:hyperlink>
        </w:p>
        <w:p w14:paraId="36EA59AC" w14:textId="04E07A32" w:rsidR="00495AE2" w:rsidRPr="00495AE2" w:rsidRDefault="00A66919">
          <w:pPr>
            <w:pStyle w:val="TOC2"/>
            <w:rPr>
              <w:rFonts w:cstheme="minorBidi"/>
              <w:lang w:eastAsia="en-US"/>
            </w:rPr>
          </w:pPr>
          <w:hyperlink w:anchor="_Toc140755486" w:history="1">
            <w:r w:rsidR="00495AE2" w:rsidRPr="00495AE2">
              <w:rPr>
                <w:rStyle w:val="Hyperlink"/>
              </w:rPr>
              <w:t>Appendix A: Using HOPWA Housing Assistance for Mobile Homes</w:t>
            </w:r>
            <w:r w:rsidR="00495AE2" w:rsidRPr="00495AE2">
              <w:rPr>
                <w:webHidden/>
              </w:rPr>
              <w:tab/>
            </w:r>
            <w:r w:rsidR="00495AE2" w:rsidRPr="00495AE2">
              <w:rPr>
                <w:webHidden/>
              </w:rPr>
              <w:fldChar w:fldCharType="begin"/>
            </w:r>
            <w:r w:rsidR="00495AE2" w:rsidRPr="00495AE2">
              <w:rPr>
                <w:webHidden/>
              </w:rPr>
              <w:instrText xml:space="preserve"> PAGEREF _Toc140755486 \h </w:instrText>
            </w:r>
            <w:r w:rsidR="00495AE2" w:rsidRPr="00495AE2">
              <w:rPr>
                <w:webHidden/>
              </w:rPr>
            </w:r>
            <w:r w:rsidR="00495AE2" w:rsidRPr="00495AE2">
              <w:rPr>
                <w:webHidden/>
              </w:rPr>
              <w:fldChar w:fldCharType="separate"/>
            </w:r>
            <w:r w:rsidR="00495AE2" w:rsidRPr="00495AE2">
              <w:rPr>
                <w:webHidden/>
              </w:rPr>
              <w:t>64</w:t>
            </w:r>
            <w:r w:rsidR="00495AE2" w:rsidRPr="00495AE2">
              <w:rPr>
                <w:webHidden/>
              </w:rPr>
              <w:fldChar w:fldCharType="end"/>
            </w:r>
          </w:hyperlink>
        </w:p>
        <w:p w14:paraId="577EE2D1" w14:textId="469CB420" w:rsidR="00495AE2" w:rsidRPr="00495AE2" w:rsidRDefault="00A66919">
          <w:pPr>
            <w:pStyle w:val="TOC2"/>
            <w:rPr>
              <w:rFonts w:cstheme="minorBidi"/>
              <w:lang w:eastAsia="en-US"/>
            </w:rPr>
          </w:pPr>
          <w:hyperlink w:anchor="_Toc140755487" w:history="1">
            <w:r w:rsidR="00495AE2" w:rsidRPr="00495AE2">
              <w:rPr>
                <w:rStyle w:val="Hyperlink"/>
              </w:rPr>
              <w:t>Appendix B: Lead Safe Housing Rules</w:t>
            </w:r>
            <w:r w:rsidR="00495AE2" w:rsidRPr="00495AE2">
              <w:rPr>
                <w:webHidden/>
              </w:rPr>
              <w:tab/>
            </w:r>
            <w:r w:rsidR="00495AE2" w:rsidRPr="00495AE2">
              <w:rPr>
                <w:webHidden/>
              </w:rPr>
              <w:fldChar w:fldCharType="begin"/>
            </w:r>
            <w:r w:rsidR="00495AE2" w:rsidRPr="00495AE2">
              <w:rPr>
                <w:webHidden/>
              </w:rPr>
              <w:instrText xml:space="preserve"> PAGEREF _Toc140755487 \h </w:instrText>
            </w:r>
            <w:r w:rsidR="00495AE2" w:rsidRPr="00495AE2">
              <w:rPr>
                <w:webHidden/>
              </w:rPr>
            </w:r>
            <w:r w:rsidR="00495AE2" w:rsidRPr="00495AE2">
              <w:rPr>
                <w:webHidden/>
              </w:rPr>
              <w:fldChar w:fldCharType="separate"/>
            </w:r>
            <w:r w:rsidR="00495AE2" w:rsidRPr="00495AE2">
              <w:rPr>
                <w:webHidden/>
              </w:rPr>
              <w:t>65</w:t>
            </w:r>
            <w:r w:rsidR="00495AE2" w:rsidRPr="00495AE2">
              <w:rPr>
                <w:webHidden/>
              </w:rPr>
              <w:fldChar w:fldCharType="end"/>
            </w:r>
          </w:hyperlink>
        </w:p>
        <w:p w14:paraId="39D042C5" w14:textId="14D51388" w:rsidR="00495AE2" w:rsidRPr="00495AE2" w:rsidRDefault="00A66919">
          <w:pPr>
            <w:pStyle w:val="TOC2"/>
            <w:rPr>
              <w:rFonts w:cstheme="minorBidi"/>
              <w:lang w:eastAsia="en-US"/>
            </w:rPr>
          </w:pPr>
          <w:hyperlink w:anchor="_Toc140755488" w:history="1">
            <w:r w:rsidR="00495AE2" w:rsidRPr="00495AE2">
              <w:rPr>
                <w:rStyle w:val="Hyperlink"/>
              </w:rPr>
              <w:t>Appendix C: Permanent Housing Placement Accounting Guidelines</w:t>
            </w:r>
            <w:r w:rsidR="00495AE2" w:rsidRPr="00495AE2">
              <w:rPr>
                <w:webHidden/>
              </w:rPr>
              <w:tab/>
            </w:r>
            <w:r w:rsidR="00495AE2" w:rsidRPr="00495AE2">
              <w:rPr>
                <w:webHidden/>
              </w:rPr>
              <w:fldChar w:fldCharType="begin"/>
            </w:r>
            <w:r w:rsidR="00495AE2" w:rsidRPr="00495AE2">
              <w:rPr>
                <w:webHidden/>
              </w:rPr>
              <w:instrText xml:space="preserve"> PAGEREF _Toc140755488 \h </w:instrText>
            </w:r>
            <w:r w:rsidR="00495AE2" w:rsidRPr="00495AE2">
              <w:rPr>
                <w:webHidden/>
              </w:rPr>
            </w:r>
            <w:r w:rsidR="00495AE2" w:rsidRPr="00495AE2">
              <w:rPr>
                <w:webHidden/>
              </w:rPr>
              <w:fldChar w:fldCharType="separate"/>
            </w:r>
            <w:r w:rsidR="00495AE2" w:rsidRPr="00495AE2">
              <w:rPr>
                <w:webHidden/>
              </w:rPr>
              <w:t>69</w:t>
            </w:r>
            <w:r w:rsidR="00495AE2" w:rsidRPr="00495AE2">
              <w:rPr>
                <w:webHidden/>
              </w:rPr>
              <w:fldChar w:fldCharType="end"/>
            </w:r>
          </w:hyperlink>
        </w:p>
        <w:p w14:paraId="059E470D" w14:textId="51F1F1A4" w:rsidR="00495AE2" w:rsidRPr="00495AE2" w:rsidRDefault="00A66919">
          <w:pPr>
            <w:pStyle w:val="TOC2"/>
            <w:rPr>
              <w:rFonts w:cstheme="minorBidi"/>
              <w:lang w:eastAsia="en-US"/>
            </w:rPr>
          </w:pPr>
          <w:hyperlink w:anchor="_Toc140755489" w:history="1">
            <w:r w:rsidR="00495AE2" w:rsidRPr="00495AE2">
              <w:rPr>
                <w:rStyle w:val="Hyperlink"/>
              </w:rPr>
              <w:t>Appendix D: Project Sponsor Permanent Housing Placement Application Form</w:t>
            </w:r>
            <w:r w:rsidR="00495AE2" w:rsidRPr="00495AE2">
              <w:rPr>
                <w:webHidden/>
              </w:rPr>
              <w:tab/>
            </w:r>
            <w:r w:rsidR="00495AE2" w:rsidRPr="00495AE2">
              <w:rPr>
                <w:webHidden/>
              </w:rPr>
              <w:fldChar w:fldCharType="begin"/>
            </w:r>
            <w:r w:rsidR="00495AE2" w:rsidRPr="00495AE2">
              <w:rPr>
                <w:webHidden/>
              </w:rPr>
              <w:instrText xml:space="preserve"> PAGEREF _Toc140755489 \h </w:instrText>
            </w:r>
            <w:r w:rsidR="00495AE2" w:rsidRPr="00495AE2">
              <w:rPr>
                <w:webHidden/>
              </w:rPr>
            </w:r>
            <w:r w:rsidR="00495AE2" w:rsidRPr="00495AE2">
              <w:rPr>
                <w:webHidden/>
              </w:rPr>
              <w:fldChar w:fldCharType="separate"/>
            </w:r>
            <w:r w:rsidR="00495AE2" w:rsidRPr="00495AE2">
              <w:rPr>
                <w:webHidden/>
              </w:rPr>
              <w:t>70</w:t>
            </w:r>
            <w:r w:rsidR="00495AE2" w:rsidRPr="00495AE2">
              <w:rPr>
                <w:webHidden/>
              </w:rPr>
              <w:fldChar w:fldCharType="end"/>
            </w:r>
          </w:hyperlink>
        </w:p>
        <w:p w14:paraId="24187C24" w14:textId="549AB9AD" w:rsidR="00495AE2" w:rsidRPr="00495AE2" w:rsidRDefault="00A66919">
          <w:pPr>
            <w:pStyle w:val="TOC2"/>
            <w:rPr>
              <w:rFonts w:cstheme="minorBidi"/>
              <w:lang w:eastAsia="en-US"/>
            </w:rPr>
          </w:pPr>
          <w:hyperlink w:anchor="_Toc140755490" w:history="1">
            <w:r w:rsidR="00495AE2" w:rsidRPr="00495AE2">
              <w:rPr>
                <w:rStyle w:val="Hyperlink"/>
              </w:rPr>
              <w:t>Appendix E: HOPWA Project Sponsor Data Sheet</w:t>
            </w:r>
            <w:r w:rsidR="00495AE2" w:rsidRPr="00495AE2">
              <w:rPr>
                <w:webHidden/>
              </w:rPr>
              <w:tab/>
            </w:r>
            <w:r w:rsidR="00495AE2" w:rsidRPr="00495AE2">
              <w:rPr>
                <w:webHidden/>
              </w:rPr>
              <w:fldChar w:fldCharType="begin"/>
            </w:r>
            <w:r w:rsidR="00495AE2" w:rsidRPr="00495AE2">
              <w:rPr>
                <w:webHidden/>
              </w:rPr>
              <w:instrText xml:space="preserve"> PAGEREF _Toc140755490 \h </w:instrText>
            </w:r>
            <w:r w:rsidR="00495AE2" w:rsidRPr="00495AE2">
              <w:rPr>
                <w:webHidden/>
              </w:rPr>
            </w:r>
            <w:r w:rsidR="00495AE2" w:rsidRPr="00495AE2">
              <w:rPr>
                <w:webHidden/>
              </w:rPr>
              <w:fldChar w:fldCharType="separate"/>
            </w:r>
            <w:r w:rsidR="00495AE2" w:rsidRPr="00495AE2">
              <w:rPr>
                <w:webHidden/>
              </w:rPr>
              <w:t>71</w:t>
            </w:r>
            <w:r w:rsidR="00495AE2" w:rsidRPr="00495AE2">
              <w:rPr>
                <w:webHidden/>
              </w:rPr>
              <w:fldChar w:fldCharType="end"/>
            </w:r>
          </w:hyperlink>
        </w:p>
        <w:p w14:paraId="5A5F3051" w14:textId="5859EAE5" w:rsidR="00495AE2" w:rsidRPr="00495AE2" w:rsidRDefault="00A66919">
          <w:pPr>
            <w:pStyle w:val="TOC2"/>
            <w:rPr>
              <w:rFonts w:cstheme="minorBidi"/>
              <w:lang w:eastAsia="en-US"/>
            </w:rPr>
          </w:pPr>
          <w:hyperlink w:anchor="_Toc140755491" w:history="1">
            <w:r w:rsidR="00495AE2" w:rsidRPr="00495AE2">
              <w:rPr>
                <w:rStyle w:val="Hyperlink"/>
              </w:rPr>
              <w:t>Appendix F: Frequently Asked Questions</w:t>
            </w:r>
            <w:r w:rsidR="00495AE2" w:rsidRPr="00495AE2">
              <w:rPr>
                <w:webHidden/>
              </w:rPr>
              <w:tab/>
            </w:r>
            <w:r w:rsidR="00495AE2" w:rsidRPr="00495AE2">
              <w:rPr>
                <w:webHidden/>
              </w:rPr>
              <w:fldChar w:fldCharType="begin"/>
            </w:r>
            <w:r w:rsidR="00495AE2" w:rsidRPr="00495AE2">
              <w:rPr>
                <w:webHidden/>
              </w:rPr>
              <w:instrText xml:space="preserve"> PAGEREF _Toc140755491 \h </w:instrText>
            </w:r>
            <w:r w:rsidR="00495AE2" w:rsidRPr="00495AE2">
              <w:rPr>
                <w:webHidden/>
              </w:rPr>
            </w:r>
            <w:r w:rsidR="00495AE2" w:rsidRPr="00495AE2">
              <w:rPr>
                <w:webHidden/>
              </w:rPr>
              <w:fldChar w:fldCharType="separate"/>
            </w:r>
            <w:r w:rsidR="00495AE2" w:rsidRPr="00495AE2">
              <w:rPr>
                <w:webHidden/>
              </w:rPr>
              <w:t>72</w:t>
            </w:r>
            <w:r w:rsidR="00495AE2" w:rsidRPr="00495AE2">
              <w:rPr>
                <w:webHidden/>
              </w:rPr>
              <w:fldChar w:fldCharType="end"/>
            </w:r>
          </w:hyperlink>
        </w:p>
        <w:p w14:paraId="10CD78F5" w14:textId="2806729D" w:rsidR="00495AE2" w:rsidRPr="00495AE2" w:rsidRDefault="00A66919">
          <w:pPr>
            <w:pStyle w:val="TOC2"/>
            <w:rPr>
              <w:rFonts w:cstheme="minorBidi"/>
              <w:lang w:eastAsia="en-US"/>
            </w:rPr>
          </w:pPr>
          <w:hyperlink w:anchor="_Toc140755492" w:history="1">
            <w:r w:rsidR="00495AE2" w:rsidRPr="00495AE2">
              <w:rPr>
                <w:rStyle w:val="Hyperlink"/>
              </w:rPr>
              <w:t>Appendix G: HIV Service Delivery Area (HSDA) Map and Counties</w:t>
            </w:r>
            <w:r w:rsidR="00495AE2" w:rsidRPr="00495AE2">
              <w:rPr>
                <w:webHidden/>
              </w:rPr>
              <w:tab/>
            </w:r>
            <w:r w:rsidR="00495AE2" w:rsidRPr="00495AE2">
              <w:rPr>
                <w:webHidden/>
              </w:rPr>
              <w:fldChar w:fldCharType="begin"/>
            </w:r>
            <w:r w:rsidR="00495AE2" w:rsidRPr="00495AE2">
              <w:rPr>
                <w:webHidden/>
              </w:rPr>
              <w:instrText xml:space="preserve"> PAGEREF _Toc140755492 \h </w:instrText>
            </w:r>
            <w:r w:rsidR="00495AE2" w:rsidRPr="00495AE2">
              <w:rPr>
                <w:webHidden/>
              </w:rPr>
            </w:r>
            <w:r w:rsidR="00495AE2" w:rsidRPr="00495AE2">
              <w:rPr>
                <w:webHidden/>
              </w:rPr>
              <w:fldChar w:fldCharType="separate"/>
            </w:r>
            <w:r w:rsidR="00495AE2" w:rsidRPr="00495AE2">
              <w:rPr>
                <w:webHidden/>
              </w:rPr>
              <w:t>82</w:t>
            </w:r>
            <w:r w:rsidR="00495AE2" w:rsidRPr="00495AE2">
              <w:rPr>
                <w:webHidden/>
              </w:rPr>
              <w:fldChar w:fldCharType="end"/>
            </w:r>
          </w:hyperlink>
        </w:p>
        <w:p w14:paraId="35A60733" w14:textId="6C16F33A" w:rsidR="00495AE2" w:rsidRPr="00495AE2" w:rsidRDefault="00A66919">
          <w:pPr>
            <w:pStyle w:val="TOC2"/>
            <w:rPr>
              <w:rFonts w:cstheme="minorBidi"/>
              <w:lang w:eastAsia="en-US"/>
            </w:rPr>
          </w:pPr>
          <w:hyperlink w:anchor="_Toc140755493" w:history="1">
            <w:r w:rsidR="00495AE2" w:rsidRPr="00495AE2">
              <w:rPr>
                <w:rStyle w:val="Hyperlink"/>
              </w:rPr>
              <w:t>Appendix H: Rental Assistance Instructions for Shared Housing Arrangements</w:t>
            </w:r>
            <w:r w:rsidR="00495AE2" w:rsidRPr="00495AE2">
              <w:rPr>
                <w:webHidden/>
              </w:rPr>
              <w:tab/>
            </w:r>
            <w:r w:rsidR="00495AE2" w:rsidRPr="00495AE2">
              <w:rPr>
                <w:webHidden/>
              </w:rPr>
              <w:fldChar w:fldCharType="begin"/>
            </w:r>
            <w:r w:rsidR="00495AE2" w:rsidRPr="00495AE2">
              <w:rPr>
                <w:webHidden/>
              </w:rPr>
              <w:instrText xml:space="preserve"> PAGEREF _Toc140755493 \h </w:instrText>
            </w:r>
            <w:r w:rsidR="00495AE2" w:rsidRPr="00495AE2">
              <w:rPr>
                <w:webHidden/>
              </w:rPr>
            </w:r>
            <w:r w:rsidR="00495AE2" w:rsidRPr="00495AE2">
              <w:rPr>
                <w:webHidden/>
              </w:rPr>
              <w:fldChar w:fldCharType="separate"/>
            </w:r>
            <w:r w:rsidR="00495AE2" w:rsidRPr="00495AE2">
              <w:rPr>
                <w:webHidden/>
              </w:rPr>
              <w:t>83</w:t>
            </w:r>
            <w:r w:rsidR="00495AE2" w:rsidRPr="00495AE2">
              <w:rPr>
                <w:webHidden/>
              </w:rPr>
              <w:fldChar w:fldCharType="end"/>
            </w:r>
          </w:hyperlink>
        </w:p>
        <w:p w14:paraId="3D6F1235" w14:textId="3CE2DEC4" w:rsidR="00495AE2" w:rsidRPr="00495AE2" w:rsidRDefault="00A66919">
          <w:pPr>
            <w:pStyle w:val="TOC2"/>
            <w:rPr>
              <w:rFonts w:cstheme="minorBidi"/>
              <w:lang w:eastAsia="en-US"/>
            </w:rPr>
          </w:pPr>
          <w:hyperlink w:anchor="_Toc140755494" w:history="1">
            <w:r w:rsidR="00495AE2" w:rsidRPr="00495AE2">
              <w:rPr>
                <w:rStyle w:val="Hyperlink"/>
              </w:rPr>
              <w:t>Appendix I: Tenant Lease Provisions</w:t>
            </w:r>
            <w:r w:rsidR="00495AE2" w:rsidRPr="00495AE2">
              <w:rPr>
                <w:webHidden/>
              </w:rPr>
              <w:tab/>
            </w:r>
            <w:r w:rsidR="00495AE2" w:rsidRPr="00495AE2">
              <w:rPr>
                <w:webHidden/>
              </w:rPr>
              <w:fldChar w:fldCharType="begin"/>
            </w:r>
            <w:r w:rsidR="00495AE2" w:rsidRPr="00495AE2">
              <w:rPr>
                <w:webHidden/>
              </w:rPr>
              <w:instrText xml:space="preserve"> PAGEREF _Toc140755494 \h </w:instrText>
            </w:r>
            <w:r w:rsidR="00495AE2" w:rsidRPr="00495AE2">
              <w:rPr>
                <w:webHidden/>
              </w:rPr>
            </w:r>
            <w:r w:rsidR="00495AE2" w:rsidRPr="00495AE2">
              <w:rPr>
                <w:webHidden/>
              </w:rPr>
              <w:fldChar w:fldCharType="separate"/>
            </w:r>
            <w:r w:rsidR="00495AE2" w:rsidRPr="00495AE2">
              <w:rPr>
                <w:webHidden/>
              </w:rPr>
              <w:t>84</w:t>
            </w:r>
            <w:r w:rsidR="00495AE2" w:rsidRPr="00495AE2">
              <w:rPr>
                <w:webHidden/>
              </w:rPr>
              <w:fldChar w:fldCharType="end"/>
            </w:r>
          </w:hyperlink>
        </w:p>
        <w:p w14:paraId="691A5D8F" w14:textId="2849F019" w:rsidR="00495AE2" w:rsidRPr="00495AE2" w:rsidRDefault="00A66919">
          <w:pPr>
            <w:pStyle w:val="TOC2"/>
            <w:rPr>
              <w:rFonts w:cstheme="minorBidi"/>
              <w:lang w:eastAsia="en-US"/>
            </w:rPr>
          </w:pPr>
          <w:hyperlink w:anchor="_Toc140755495" w:history="1">
            <w:r w:rsidR="00495AE2" w:rsidRPr="00495AE2">
              <w:rPr>
                <w:rStyle w:val="Hyperlink"/>
              </w:rPr>
              <w:t>Appendix J: “Can I Pay this Owner?”</w:t>
            </w:r>
            <w:r w:rsidR="00495AE2" w:rsidRPr="00495AE2">
              <w:rPr>
                <w:webHidden/>
              </w:rPr>
              <w:tab/>
            </w:r>
            <w:r w:rsidR="00495AE2" w:rsidRPr="00495AE2">
              <w:rPr>
                <w:webHidden/>
              </w:rPr>
              <w:fldChar w:fldCharType="begin"/>
            </w:r>
            <w:r w:rsidR="00495AE2" w:rsidRPr="00495AE2">
              <w:rPr>
                <w:webHidden/>
              </w:rPr>
              <w:instrText xml:space="preserve"> PAGEREF _Toc140755495 \h </w:instrText>
            </w:r>
            <w:r w:rsidR="00495AE2" w:rsidRPr="00495AE2">
              <w:rPr>
                <w:webHidden/>
              </w:rPr>
            </w:r>
            <w:r w:rsidR="00495AE2" w:rsidRPr="00495AE2">
              <w:rPr>
                <w:webHidden/>
              </w:rPr>
              <w:fldChar w:fldCharType="separate"/>
            </w:r>
            <w:r w:rsidR="00495AE2" w:rsidRPr="00495AE2">
              <w:rPr>
                <w:webHidden/>
              </w:rPr>
              <w:t>85</w:t>
            </w:r>
            <w:r w:rsidR="00495AE2" w:rsidRPr="00495AE2">
              <w:rPr>
                <w:webHidden/>
              </w:rPr>
              <w:fldChar w:fldCharType="end"/>
            </w:r>
          </w:hyperlink>
        </w:p>
        <w:p w14:paraId="33841CC7" w14:textId="7872589D" w:rsidR="00495AE2" w:rsidRDefault="00A66919">
          <w:pPr>
            <w:pStyle w:val="TOC2"/>
            <w:rPr>
              <w:rFonts w:cstheme="minorBidi"/>
              <w:lang w:eastAsia="en-US"/>
            </w:rPr>
          </w:pPr>
          <w:hyperlink w:anchor="_Toc140755496" w:history="1">
            <w:r w:rsidR="00495AE2" w:rsidRPr="00495AE2">
              <w:rPr>
                <w:rStyle w:val="Hyperlink"/>
              </w:rPr>
              <w:t>Appendix K: VAWA Requirements for Rental Assistance Services</w:t>
            </w:r>
            <w:r w:rsidR="00495AE2" w:rsidRPr="00495AE2">
              <w:rPr>
                <w:webHidden/>
              </w:rPr>
              <w:tab/>
            </w:r>
            <w:r w:rsidR="00495AE2" w:rsidRPr="00495AE2">
              <w:rPr>
                <w:webHidden/>
              </w:rPr>
              <w:fldChar w:fldCharType="begin"/>
            </w:r>
            <w:r w:rsidR="00495AE2" w:rsidRPr="00495AE2">
              <w:rPr>
                <w:webHidden/>
              </w:rPr>
              <w:instrText xml:space="preserve"> PAGEREF _Toc140755496 \h </w:instrText>
            </w:r>
            <w:r w:rsidR="00495AE2" w:rsidRPr="00495AE2">
              <w:rPr>
                <w:webHidden/>
              </w:rPr>
            </w:r>
            <w:r w:rsidR="00495AE2" w:rsidRPr="00495AE2">
              <w:rPr>
                <w:webHidden/>
              </w:rPr>
              <w:fldChar w:fldCharType="separate"/>
            </w:r>
            <w:r w:rsidR="00495AE2" w:rsidRPr="00495AE2">
              <w:rPr>
                <w:webHidden/>
              </w:rPr>
              <w:t>86</w:t>
            </w:r>
            <w:r w:rsidR="00495AE2" w:rsidRPr="00495AE2">
              <w:rPr>
                <w:webHidden/>
              </w:rPr>
              <w:fldChar w:fldCharType="end"/>
            </w:r>
          </w:hyperlink>
        </w:p>
        <w:p w14:paraId="3244FAA9" w14:textId="6E50D25C" w:rsidR="00487242" w:rsidRPr="00B55267" w:rsidRDefault="00B109D9" w:rsidP="00843F9B">
          <w:pPr>
            <w:sectPr w:rsidR="00487242" w:rsidRPr="00B55267" w:rsidSect="00ED208F">
              <w:pgSz w:w="12240" w:h="15840"/>
              <w:pgMar w:top="720" w:right="720" w:bottom="720" w:left="720" w:header="504" w:footer="504" w:gutter="0"/>
              <w:pgBorders w:offsetFrom="page">
                <w:top w:val="single" w:sz="4" w:space="24" w:color="BFBFBF" w:themeColor="background1" w:themeShade="BF"/>
                <w:left w:val="single" w:sz="4" w:space="24" w:color="BFBFBF" w:themeColor="background1" w:themeShade="BF"/>
                <w:bottom w:val="single" w:sz="4" w:space="24" w:color="BFBFBF" w:themeColor="background1" w:themeShade="BF"/>
                <w:right w:val="single" w:sz="4" w:space="24" w:color="BFBFBF" w:themeColor="background1" w:themeShade="BF"/>
              </w:pgBorders>
              <w:pgNumType w:fmt="lowerRoman" w:start="1"/>
              <w:cols w:space="720"/>
              <w:docGrid w:linePitch="360"/>
            </w:sectPr>
          </w:pPr>
          <w:r w:rsidRPr="004F1682">
            <w:rPr>
              <w:noProof/>
            </w:rPr>
            <w:fldChar w:fldCharType="end"/>
          </w:r>
        </w:p>
      </w:sdtContent>
    </w:sdt>
    <w:p w14:paraId="53FA9CE8" w14:textId="77777777" w:rsidR="00DB1D48" w:rsidRPr="00DB1D48" w:rsidRDefault="00DB1D48">
      <w:pPr>
        <w:rPr>
          <w:rFonts w:cs="Times New Roman"/>
          <w:bCs/>
        </w:rPr>
      </w:pPr>
      <w:r>
        <w:rPr>
          <w:rFonts w:cs="Times New Roman"/>
          <w:b/>
          <w:color w:val="5B9BD5" w:themeColor="accent1"/>
          <w:sz w:val="44"/>
          <w:szCs w:val="44"/>
        </w:rPr>
        <w:br w:type="page"/>
      </w:r>
    </w:p>
    <w:p w14:paraId="5A68DA57" w14:textId="62E05A71" w:rsidR="008A2696" w:rsidRPr="00066B7E" w:rsidRDefault="008A2696" w:rsidP="00ED208F">
      <w:pPr>
        <w:pStyle w:val="NoSpacing"/>
        <w:rPr>
          <w:rFonts w:cs="Times New Roman"/>
          <w:b/>
          <w:color w:val="5B9BD5" w:themeColor="accent1"/>
          <w:sz w:val="44"/>
          <w:szCs w:val="44"/>
        </w:rPr>
      </w:pPr>
      <w:r w:rsidRPr="00066B7E">
        <w:rPr>
          <w:rFonts w:cs="Times New Roman"/>
          <w:b/>
          <w:color w:val="5B9BD5" w:themeColor="accent1"/>
          <w:sz w:val="44"/>
          <w:szCs w:val="44"/>
        </w:rPr>
        <w:lastRenderedPageBreak/>
        <w:t>PROGRAM MANUAL</w:t>
      </w:r>
    </w:p>
    <w:p w14:paraId="315B30CA" w14:textId="27EC3A4C" w:rsidR="000B7AD0" w:rsidRPr="008A2696" w:rsidRDefault="005E368C" w:rsidP="00B109D9">
      <w:pPr>
        <w:pStyle w:val="Heading1"/>
      </w:pPr>
      <w:bookmarkStart w:id="0" w:name="_Toc140755455"/>
      <w:r w:rsidRPr="008A2696">
        <w:t xml:space="preserve">Section 1. Purpose and Use of the </w:t>
      </w:r>
      <w:r w:rsidR="004F12E9" w:rsidRPr="008A2696">
        <w:t>Manual</w:t>
      </w:r>
      <w:bookmarkEnd w:id="0"/>
    </w:p>
    <w:p w14:paraId="3086BCFC" w14:textId="6A2293D4" w:rsidR="00903C64" w:rsidRDefault="00D60DDF" w:rsidP="00DE48B8">
      <w:pPr>
        <w:pStyle w:val="NoSpacing"/>
        <w:rPr>
          <w:rFonts w:cs="Times New Roman"/>
        </w:rPr>
      </w:pPr>
      <w:r w:rsidRPr="00945928">
        <w:rPr>
          <w:rFonts w:cs="Times New Roman"/>
        </w:rPr>
        <w:t xml:space="preserve">This </w:t>
      </w:r>
      <w:r>
        <w:rPr>
          <w:rFonts w:cs="Times New Roman"/>
        </w:rPr>
        <w:t>manual</w:t>
      </w:r>
      <w:r w:rsidRPr="00945928">
        <w:rPr>
          <w:rFonts w:cs="Times New Roman"/>
        </w:rPr>
        <w:t xml:space="preserve"> contains a</w:t>
      </w:r>
      <w:r w:rsidR="00BD5ADB">
        <w:rPr>
          <w:rFonts w:cs="Times New Roman"/>
        </w:rPr>
        <w:t xml:space="preserve">n </w:t>
      </w:r>
      <w:r w:rsidRPr="00945928">
        <w:rPr>
          <w:rFonts w:cs="Times New Roman"/>
        </w:rPr>
        <w:t xml:space="preserve">overview of the </w:t>
      </w:r>
      <w:r w:rsidR="00BD5ADB" w:rsidRPr="00BD5ADB">
        <w:rPr>
          <w:rFonts w:cs="Times New Roman"/>
        </w:rPr>
        <w:t>Texas Department of State Health Services (DSHS)</w:t>
      </w:r>
      <w:r>
        <w:rPr>
          <w:rFonts w:cs="Times New Roman"/>
        </w:rPr>
        <w:t xml:space="preserve"> Housing Opportunities for Persons with AIDS (</w:t>
      </w:r>
      <w:r w:rsidRPr="00945928">
        <w:rPr>
          <w:rFonts w:cs="Times New Roman"/>
        </w:rPr>
        <w:t>HOPWA</w:t>
      </w:r>
      <w:r>
        <w:rPr>
          <w:rFonts w:cs="Times New Roman"/>
        </w:rPr>
        <w:t>) Program</w:t>
      </w:r>
      <w:r w:rsidR="00BD5ADB">
        <w:rPr>
          <w:rFonts w:cs="Times New Roman"/>
        </w:rPr>
        <w:t>. It provides guidance to DSHS Administrative Agencies</w:t>
      </w:r>
      <w:r w:rsidR="0067449C">
        <w:rPr>
          <w:rFonts w:cs="Times New Roman"/>
        </w:rPr>
        <w:t xml:space="preserve"> (AAs)</w:t>
      </w:r>
      <w:r w:rsidR="00BD5ADB">
        <w:rPr>
          <w:rFonts w:cs="Times New Roman"/>
        </w:rPr>
        <w:t xml:space="preserve"> and Project Sponsors </w:t>
      </w:r>
      <w:r w:rsidR="0067449C">
        <w:rPr>
          <w:rFonts w:cs="Times New Roman"/>
        </w:rPr>
        <w:t>regarding</w:t>
      </w:r>
      <w:r w:rsidR="00BD5ADB">
        <w:rPr>
          <w:rFonts w:cs="Times New Roman"/>
        </w:rPr>
        <w:t xml:space="preserve"> </w:t>
      </w:r>
      <w:r w:rsidR="0067449C">
        <w:rPr>
          <w:rFonts w:cs="Times New Roman"/>
        </w:rPr>
        <w:t xml:space="preserve">program requirements, allowable activities, administration, </w:t>
      </w:r>
      <w:r w:rsidR="00FE5373">
        <w:rPr>
          <w:rFonts w:cs="Times New Roman"/>
        </w:rPr>
        <w:t xml:space="preserve">and </w:t>
      </w:r>
      <w:r w:rsidR="0067449C">
        <w:rPr>
          <w:rFonts w:cs="Times New Roman"/>
        </w:rPr>
        <w:t>oversight</w:t>
      </w:r>
      <w:r>
        <w:rPr>
          <w:rFonts w:cs="Times New Roman"/>
        </w:rPr>
        <w:t xml:space="preserve">. It </w:t>
      </w:r>
      <w:r w:rsidR="00BD5ADB">
        <w:rPr>
          <w:rFonts w:cs="Times New Roman"/>
        </w:rPr>
        <w:t>does not</w:t>
      </w:r>
      <w:r>
        <w:rPr>
          <w:rFonts w:cs="Times New Roman"/>
        </w:rPr>
        <w:t xml:space="preserve"> replace</w:t>
      </w:r>
      <w:r w:rsidRPr="00945928">
        <w:rPr>
          <w:rFonts w:cs="Times New Roman"/>
        </w:rPr>
        <w:t xml:space="preserve"> existing guidance produced by </w:t>
      </w:r>
      <w:r>
        <w:rPr>
          <w:rFonts w:cs="Times New Roman"/>
        </w:rPr>
        <w:t xml:space="preserve">the U.S. Department of Housing and Urban Development (HUD). </w:t>
      </w:r>
      <w:r w:rsidR="00BD5ADB">
        <w:rPr>
          <w:rFonts w:cs="Times New Roman"/>
        </w:rPr>
        <w:t>For additional information about the HOPWA program, please visit the</w:t>
      </w:r>
      <w:r>
        <w:rPr>
          <w:rFonts w:cs="Times New Roman"/>
        </w:rPr>
        <w:t xml:space="preserve"> </w:t>
      </w:r>
      <w:hyperlink r:id="rId11" w:history="1">
        <w:r w:rsidRPr="0008357E">
          <w:rPr>
            <w:rStyle w:val="Hyperlink"/>
            <w:rFonts w:cs="Times New Roman"/>
          </w:rPr>
          <w:t>HUD Exchange HOPWA Page</w:t>
        </w:r>
      </w:hyperlink>
      <w:r>
        <w:rPr>
          <w:rFonts w:cs="Times New Roman"/>
        </w:rPr>
        <w:t>.</w:t>
      </w:r>
    </w:p>
    <w:p w14:paraId="12D57378" w14:textId="77777777" w:rsidR="003F03DD" w:rsidRPr="008026D4" w:rsidRDefault="003F03DD" w:rsidP="003F03DD">
      <w:pPr>
        <w:pStyle w:val="NoSpacing"/>
        <w:rPr>
          <w:rFonts w:cs="Times New Roman"/>
        </w:rPr>
      </w:pPr>
    </w:p>
    <w:p w14:paraId="3C0CECAF" w14:textId="44B2CA1E" w:rsidR="00FF315F" w:rsidRPr="008A2696" w:rsidRDefault="004F12E9" w:rsidP="00B109D9">
      <w:pPr>
        <w:pStyle w:val="Heading1"/>
      </w:pPr>
      <w:bookmarkStart w:id="1" w:name="_Toc140755456"/>
      <w:r w:rsidRPr="008A2696">
        <w:t xml:space="preserve">Section 2. </w:t>
      </w:r>
      <w:r w:rsidR="00FF315F" w:rsidRPr="008A2696">
        <w:t>Program Rules</w:t>
      </w:r>
      <w:bookmarkEnd w:id="1"/>
    </w:p>
    <w:p w14:paraId="083D15CC" w14:textId="22F94EEE" w:rsidR="004F12E9" w:rsidRPr="008026D4" w:rsidRDefault="004F12E9" w:rsidP="00A9663A">
      <w:pPr>
        <w:pStyle w:val="NoSpacing"/>
        <w:rPr>
          <w:rFonts w:cs="Times New Roman"/>
        </w:rPr>
      </w:pPr>
      <w:r w:rsidRPr="008026D4">
        <w:rPr>
          <w:rFonts w:cs="Times New Roman"/>
        </w:rPr>
        <w:t>The HOPWA rules in 24 Code of Federal Regulation</w:t>
      </w:r>
      <w:r w:rsidR="008E09C4">
        <w:rPr>
          <w:rFonts w:cs="Times New Roman"/>
        </w:rPr>
        <w:t>s</w:t>
      </w:r>
      <w:r w:rsidRPr="008026D4">
        <w:rPr>
          <w:rFonts w:cs="Times New Roman"/>
        </w:rPr>
        <w:t xml:space="preserve"> (CFR) </w:t>
      </w:r>
      <w:r w:rsidR="00372634" w:rsidRPr="008026D4">
        <w:rPr>
          <w:rFonts w:cs="Times New Roman"/>
        </w:rPr>
        <w:t>§</w:t>
      </w:r>
      <w:r w:rsidRPr="008026D4">
        <w:rPr>
          <w:rFonts w:cs="Times New Roman"/>
        </w:rPr>
        <w:t>574 provide general standards for eligible activities such as</w:t>
      </w:r>
      <w:r w:rsidR="007D13AB">
        <w:rPr>
          <w:rFonts w:cs="Times New Roman"/>
        </w:rPr>
        <w:t xml:space="preserve"> determining </w:t>
      </w:r>
      <w:r w:rsidR="00A41FEB">
        <w:rPr>
          <w:rFonts w:cs="Times New Roman"/>
        </w:rPr>
        <w:t xml:space="preserve">household </w:t>
      </w:r>
      <w:r w:rsidRPr="008026D4">
        <w:rPr>
          <w:rFonts w:cs="Times New Roman"/>
        </w:rPr>
        <w:t xml:space="preserve">eligibility, housing quality standards, and standards regarding </w:t>
      </w:r>
      <w:r w:rsidR="00945928">
        <w:rPr>
          <w:rFonts w:cs="Times New Roman"/>
        </w:rPr>
        <w:t>household</w:t>
      </w:r>
      <w:r w:rsidRPr="008026D4">
        <w:rPr>
          <w:rFonts w:cs="Times New Roman"/>
        </w:rPr>
        <w:t xml:space="preserve"> rent payments</w:t>
      </w:r>
      <w:r w:rsidR="008E09C4">
        <w:rPr>
          <w:rFonts w:cs="Times New Roman"/>
        </w:rPr>
        <w:t xml:space="preserve">. AAs and Project Sponsors must </w:t>
      </w:r>
      <w:r w:rsidR="00F2007A">
        <w:rPr>
          <w:rFonts w:cs="Times New Roman"/>
        </w:rPr>
        <w:t xml:space="preserve">also </w:t>
      </w:r>
      <w:r w:rsidR="008E09C4">
        <w:rPr>
          <w:rFonts w:cs="Times New Roman"/>
        </w:rPr>
        <w:t xml:space="preserve">comply with </w:t>
      </w:r>
      <w:r w:rsidR="00176B50">
        <w:rPr>
          <w:rFonts w:cs="Times New Roman"/>
        </w:rPr>
        <w:t>other</w:t>
      </w:r>
      <w:r w:rsidR="008E09C4">
        <w:rPr>
          <w:rFonts w:cs="Times New Roman"/>
        </w:rPr>
        <w:t xml:space="preserve"> </w:t>
      </w:r>
      <w:r w:rsidR="0026013D">
        <w:rPr>
          <w:rFonts w:cs="Times New Roman"/>
        </w:rPr>
        <w:t>state and federal policies, including, but not</w:t>
      </w:r>
      <w:r w:rsidR="004C55FB">
        <w:rPr>
          <w:rFonts w:cs="Times New Roman"/>
        </w:rPr>
        <w:t xml:space="preserve"> limited to</w:t>
      </w:r>
      <w:r w:rsidRPr="008026D4">
        <w:rPr>
          <w:rFonts w:cs="Times New Roman"/>
        </w:rPr>
        <w:t>:</w:t>
      </w:r>
    </w:p>
    <w:p w14:paraId="28C572E8" w14:textId="2E291BB8" w:rsidR="00241E62" w:rsidRPr="00241E62" w:rsidRDefault="00241E62" w:rsidP="000E4A24">
      <w:pPr>
        <w:pStyle w:val="NoSpacing"/>
        <w:numPr>
          <w:ilvl w:val="0"/>
          <w:numId w:val="98"/>
        </w:numPr>
        <w:ind w:left="540"/>
        <w:rPr>
          <w:rFonts w:cs="Times New Roman"/>
          <w:b/>
        </w:rPr>
      </w:pPr>
      <w:r w:rsidRPr="00066B7E">
        <w:rPr>
          <w:rFonts w:cs="Times New Roman"/>
          <w:b/>
        </w:rPr>
        <w:t>Federal Fire Prevention and Control Act, Section 31</w:t>
      </w:r>
    </w:p>
    <w:p w14:paraId="717FA793" w14:textId="60293AE6" w:rsidR="0026013D" w:rsidRPr="001D179D" w:rsidRDefault="0026013D" w:rsidP="000E4A24">
      <w:pPr>
        <w:pStyle w:val="NoSpacing"/>
        <w:numPr>
          <w:ilvl w:val="0"/>
          <w:numId w:val="98"/>
        </w:numPr>
        <w:ind w:left="540"/>
        <w:rPr>
          <w:rFonts w:cs="Times New Roman"/>
          <w:b/>
        </w:rPr>
      </w:pPr>
      <w:r w:rsidRPr="00066B7E">
        <w:rPr>
          <w:rFonts w:cs="Times New Roman"/>
          <w:b/>
        </w:rPr>
        <w:t xml:space="preserve">Texas Health and Safety Code, Chapters </w:t>
      </w:r>
      <w:r w:rsidR="001D179D" w:rsidRPr="00066B7E">
        <w:rPr>
          <w:b/>
        </w:rPr>
        <w:t>81</w:t>
      </w:r>
      <w:r w:rsidRPr="00066B7E">
        <w:rPr>
          <w:rFonts w:cs="Times New Roman"/>
          <w:b/>
        </w:rPr>
        <w:t xml:space="preserve"> and </w:t>
      </w:r>
      <w:r w:rsidR="001D179D" w:rsidRPr="00066B7E">
        <w:rPr>
          <w:b/>
        </w:rPr>
        <w:t>85</w:t>
      </w:r>
    </w:p>
    <w:p w14:paraId="3CA742E4" w14:textId="56ED87CD" w:rsidR="008E09C4" w:rsidRPr="008E09C4" w:rsidRDefault="008E09C4" w:rsidP="000E4A24">
      <w:pPr>
        <w:pStyle w:val="NoSpacing"/>
        <w:numPr>
          <w:ilvl w:val="0"/>
          <w:numId w:val="98"/>
        </w:numPr>
        <w:ind w:left="540"/>
        <w:rPr>
          <w:rFonts w:cs="Times New Roman"/>
        </w:rPr>
      </w:pPr>
      <w:r w:rsidRPr="00066B7E">
        <w:rPr>
          <w:rFonts w:cs="Times New Roman"/>
          <w:b/>
        </w:rPr>
        <w:t>2 CFR §200</w:t>
      </w:r>
      <w:r w:rsidRPr="008E09C4">
        <w:rPr>
          <w:rFonts w:cs="Times New Roman"/>
        </w:rPr>
        <w:t xml:space="preserve"> et seq. – Uniform Administrative Requirements, Cost Principles, and Audit Requirements for Federal Awards</w:t>
      </w:r>
    </w:p>
    <w:p w14:paraId="77BDFF43" w14:textId="77777777" w:rsidR="008E09C4" w:rsidRPr="008E09C4" w:rsidRDefault="008E09C4" w:rsidP="000E4A24">
      <w:pPr>
        <w:pStyle w:val="NoSpacing"/>
        <w:numPr>
          <w:ilvl w:val="0"/>
          <w:numId w:val="98"/>
        </w:numPr>
        <w:ind w:left="540"/>
        <w:rPr>
          <w:rFonts w:cs="Times New Roman"/>
        </w:rPr>
      </w:pPr>
      <w:r w:rsidRPr="00066B7E">
        <w:rPr>
          <w:rFonts w:cs="Times New Roman"/>
          <w:b/>
        </w:rPr>
        <w:t>2 CFR §2429</w:t>
      </w:r>
      <w:r w:rsidRPr="008E09C4">
        <w:rPr>
          <w:rFonts w:cs="Times New Roman"/>
        </w:rPr>
        <w:t xml:space="preserve"> et seq. – Requirements for Drug-Free Workplace (Financial Assistance)</w:t>
      </w:r>
    </w:p>
    <w:p w14:paraId="4EF6B6C2" w14:textId="77777777" w:rsidR="008E09C4" w:rsidRPr="008E09C4" w:rsidRDefault="008E09C4" w:rsidP="000E4A24">
      <w:pPr>
        <w:pStyle w:val="NoSpacing"/>
        <w:numPr>
          <w:ilvl w:val="0"/>
          <w:numId w:val="98"/>
        </w:numPr>
        <w:ind w:left="540"/>
        <w:rPr>
          <w:rFonts w:cs="Times New Roman"/>
        </w:rPr>
      </w:pPr>
      <w:r w:rsidRPr="00DA098E">
        <w:rPr>
          <w:rFonts w:cs="Times New Roman"/>
          <w:b/>
        </w:rPr>
        <w:t>24 CFR §1</w:t>
      </w:r>
      <w:r w:rsidRPr="008E09C4">
        <w:rPr>
          <w:rFonts w:cs="Times New Roman"/>
        </w:rPr>
        <w:t xml:space="preserve"> et seq. – Nondiscrimination in Federally Assisted Programs of the Department of Housing and Urban Development—Effectuation of Title VI of The Civil Rights Act of 1964</w:t>
      </w:r>
    </w:p>
    <w:p w14:paraId="69CE0F69" w14:textId="77777777" w:rsidR="008E09C4" w:rsidRPr="008E09C4" w:rsidRDefault="008E09C4" w:rsidP="000E4A24">
      <w:pPr>
        <w:pStyle w:val="NoSpacing"/>
        <w:numPr>
          <w:ilvl w:val="0"/>
          <w:numId w:val="98"/>
        </w:numPr>
        <w:ind w:left="540"/>
        <w:rPr>
          <w:rFonts w:cs="Times New Roman"/>
        </w:rPr>
      </w:pPr>
      <w:r w:rsidRPr="00066B7E">
        <w:rPr>
          <w:rFonts w:cs="Times New Roman"/>
          <w:b/>
        </w:rPr>
        <w:t>24 CFR §3</w:t>
      </w:r>
      <w:r w:rsidRPr="008E09C4">
        <w:rPr>
          <w:rFonts w:cs="Times New Roman"/>
        </w:rPr>
        <w:t xml:space="preserve"> et seq. – Nondiscrimination </w:t>
      </w:r>
      <w:proofErr w:type="gramStart"/>
      <w:r w:rsidRPr="008E09C4">
        <w:rPr>
          <w:rFonts w:cs="Times New Roman"/>
        </w:rPr>
        <w:t>on the Basis of</w:t>
      </w:r>
      <w:proofErr w:type="gramEnd"/>
      <w:r w:rsidRPr="008E09C4">
        <w:rPr>
          <w:rFonts w:cs="Times New Roman"/>
        </w:rPr>
        <w:t xml:space="preserve"> Sex in Education Programs or Activities Receiving Federal Financial Assistance</w:t>
      </w:r>
    </w:p>
    <w:p w14:paraId="21320E4E" w14:textId="77777777" w:rsidR="008E09C4" w:rsidRPr="008E09C4" w:rsidRDefault="008E09C4" w:rsidP="000E4A24">
      <w:pPr>
        <w:pStyle w:val="NoSpacing"/>
        <w:numPr>
          <w:ilvl w:val="0"/>
          <w:numId w:val="98"/>
        </w:numPr>
        <w:ind w:left="540"/>
        <w:rPr>
          <w:rFonts w:cs="Times New Roman"/>
        </w:rPr>
      </w:pPr>
      <w:r w:rsidRPr="00066B7E">
        <w:rPr>
          <w:rFonts w:cs="Times New Roman"/>
          <w:b/>
        </w:rPr>
        <w:t>24 CFR §5</w:t>
      </w:r>
      <w:r w:rsidRPr="008E09C4">
        <w:rPr>
          <w:rFonts w:cs="Times New Roman"/>
        </w:rPr>
        <w:t xml:space="preserve"> – General HUD Program Requirements; Waivers</w:t>
      </w:r>
    </w:p>
    <w:p w14:paraId="185B940A" w14:textId="77777777" w:rsidR="008E09C4" w:rsidRPr="008E09C4" w:rsidRDefault="008E09C4" w:rsidP="00066B7E">
      <w:pPr>
        <w:pStyle w:val="NoSpacing"/>
        <w:numPr>
          <w:ilvl w:val="1"/>
          <w:numId w:val="98"/>
        </w:numPr>
        <w:ind w:left="900"/>
        <w:rPr>
          <w:rFonts w:cs="Times New Roman"/>
        </w:rPr>
      </w:pPr>
      <w:r w:rsidRPr="00066B7E">
        <w:rPr>
          <w:rFonts w:cs="Times New Roman"/>
          <w:b/>
        </w:rPr>
        <w:t>Subpart A</w:t>
      </w:r>
      <w:r w:rsidRPr="008E09C4">
        <w:rPr>
          <w:rFonts w:cs="Times New Roman"/>
        </w:rPr>
        <w:t xml:space="preserve"> – Generally Applicable Definitions and Requirements; Waivers</w:t>
      </w:r>
    </w:p>
    <w:p w14:paraId="0C4B04F9" w14:textId="77777777" w:rsidR="008E09C4" w:rsidRPr="008E09C4" w:rsidRDefault="008E09C4" w:rsidP="00066B7E">
      <w:pPr>
        <w:pStyle w:val="NoSpacing"/>
        <w:numPr>
          <w:ilvl w:val="1"/>
          <w:numId w:val="98"/>
        </w:numPr>
        <w:ind w:left="900"/>
        <w:rPr>
          <w:rFonts w:cs="Times New Roman"/>
        </w:rPr>
      </w:pPr>
      <w:r w:rsidRPr="00066B7E">
        <w:rPr>
          <w:rFonts w:cs="Times New Roman"/>
          <w:b/>
        </w:rPr>
        <w:t>Subpart C</w:t>
      </w:r>
      <w:r w:rsidRPr="008E09C4">
        <w:rPr>
          <w:rFonts w:cs="Times New Roman"/>
        </w:rPr>
        <w:t xml:space="preserve"> – Pet Ownership for the Elderly or Persons with Disabilities</w:t>
      </w:r>
    </w:p>
    <w:p w14:paraId="350A86EB" w14:textId="77777777" w:rsidR="008E09C4" w:rsidRPr="008E09C4" w:rsidRDefault="008E09C4" w:rsidP="00066B7E">
      <w:pPr>
        <w:pStyle w:val="NoSpacing"/>
        <w:numPr>
          <w:ilvl w:val="1"/>
          <w:numId w:val="98"/>
        </w:numPr>
        <w:ind w:left="900"/>
        <w:rPr>
          <w:rFonts w:cs="Times New Roman"/>
        </w:rPr>
      </w:pPr>
      <w:r w:rsidRPr="00066B7E">
        <w:rPr>
          <w:rFonts w:cs="Times New Roman"/>
          <w:b/>
        </w:rPr>
        <w:t>Subpart F</w:t>
      </w:r>
      <w:r w:rsidRPr="008E09C4">
        <w:rPr>
          <w:rFonts w:cs="Times New Roman"/>
        </w:rPr>
        <w:t xml:space="preserve"> – Section 8 and Public Housing, and Other HUD Assisted Housing Serving Persons with Disabilities: Family Income and Family Payment; Occupancy Requirements for Section 8 Project-Based Assistance</w:t>
      </w:r>
    </w:p>
    <w:p w14:paraId="6FE6C3A1" w14:textId="77777777" w:rsidR="008E09C4" w:rsidRPr="008E09C4" w:rsidRDefault="008E09C4" w:rsidP="00066B7E">
      <w:pPr>
        <w:pStyle w:val="NoSpacing"/>
        <w:numPr>
          <w:ilvl w:val="2"/>
          <w:numId w:val="98"/>
        </w:numPr>
        <w:ind w:left="1080" w:hanging="180"/>
        <w:rPr>
          <w:rFonts w:cs="Times New Roman"/>
        </w:rPr>
      </w:pPr>
      <w:r w:rsidRPr="00066B7E">
        <w:rPr>
          <w:rFonts w:cs="Times New Roman"/>
          <w:b/>
        </w:rPr>
        <w:t>§5.609</w:t>
      </w:r>
      <w:r w:rsidRPr="008E09C4">
        <w:rPr>
          <w:rFonts w:cs="Times New Roman"/>
        </w:rPr>
        <w:t xml:space="preserve">   Annual income.</w:t>
      </w:r>
    </w:p>
    <w:p w14:paraId="02EBE4AA" w14:textId="77777777" w:rsidR="008E09C4" w:rsidRPr="008E09C4" w:rsidRDefault="008E09C4" w:rsidP="00066B7E">
      <w:pPr>
        <w:pStyle w:val="NoSpacing"/>
        <w:numPr>
          <w:ilvl w:val="2"/>
          <w:numId w:val="98"/>
        </w:numPr>
        <w:ind w:left="1080" w:hanging="180"/>
        <w:rPr>
          <w:rFonts w:cs="Times New Roman"/>
        </w:rPr>
      </w:pPr>
      <w:r w:rsidRPr="00066B7E">
        <w:rPr>
          <w:rFonts w:cs="Times New Roman"/>
          <w:b/>
        </w:rPr>
        <w:t>§5.611</w:t>
      </w:r>
      <w:r w:rsidRPr="008E09C4">
        <w:rPr>
          <w:rFonts w:cs="Times New Roman"/>
        </w:rPr>
        <w:t xml:space="preserve">   Adjusted income.</w:t>
      </w:r>
    </w:p>
    <w:p w14:paraId="2EAFF3E6" w14:textId="77777777" w:rsidR="008E09C4" w:rsidRPr="008E09C4" w:rsidRDefault="008E09C4" w:rsidP="00066B7E">
      <w:pPr>
        <w:pStyle w:val="NoSpacing"/>
        <w:numPr>
          <w:ilvl w:val="2"/>
          <w:numId w:val="98"/>
        </w:numPr>
        <w:ind w:left="1080" w:hanging="180"/>
        <w:rPr>
          <w:rFonts w:cs="Times New Roman"/>
        </w:rPr>
      </w:pPr>
      <w:r w:rsidRPr="00066B7E">
        <w:rPr>
          <w:rFonts w:cs="Times New Roman"/>
          <w:b/>
        </w:rPr>
        <w:t>§5.617</w:t>
      </w:r>
      <w:r w:rsidRPr="008E09C4">
        <w:rPr>
          <w:rFonts w:cs="Times New Roman"/>
        </w:rPr>
        <w:t xml:space="preserve">   Self-sufficiency incentives for persons with disabilities—Disallowance of increase in annual income.</w:t>
      </w:r>
    </w:p>
    <w:p w14:paraId="2F2C837E" w14:textId="77777777" w:rsidR="008E09C4" w:rsidRPr="008E09C4" w:rsidRDefault="008E09C4" w:rsidP="00066B7E">
      <w:pPr>
        <w:pStyle w:val="NoSpacing"/>
        <w:numPr>
          <w:ilvl w:val="1"/>
          <w:numId w:val="98"/>
        </w:numPr>
        <w:ind w:left="900"/>
        <w:rPr>
          <w:rFonts w:cs="Times New Roman"/>
        </w:rPr>
      </w:pPr>
      <w:r w:rsidRPr="00066B7E">
        <w:rPr>
          <w:rFonts w:cs="Times New Roman"/>
          <w:b/>
        </w:rPr>
        <w:t>Subpart L</w:t>
      </w:r>
      <w:r w:rsidRPr="008E09C4">
        <w:rPr>
          <w:rFonts w:cs="Times New Roman"/>
        </w:rPr>
        <w:t xml:space="preserve"> – Protection for Victims of Domestic Violence, Dating Violence, Sexual Assault, or Stalking</w:t>
      </w:r>
    </w:p>
    <w:p w14:paraId="59BD4772" w14:textId="77777777" w:rsidR="008E09C4" w:rsidRPr="008E09C4" w:rsidRDefault="008E09C4" w:rsidP="000E4A24">
      <w:pPr>
        <w:pStyle w:val="NoSpacing"/>
        <w:numPr>
          <w:ilvl w:val="0"/>
          <w:numId w:val="98"/>
        </w:numPr>
        <w:ind w:left="540"/>
        <w:rPr>
          <w:rFonts w:cs="Times New Roman"/>
        </w:rPr>
      </w:pPr>
      <w:r w:rsidRPr="00066B7E">
        <w:rPr>
          <w:rFonts w:cs="Times New Roman"/>
          <w:b/>
        </w:rPr>
        <w:t>24 CFR §6</w:t>
      </w:r>
      <w:r w:rsidRPr="008E09C4">
        <w:rPr>
          <w:rFonts w:cs="Times New Roman"/>
        </w:rPr>
        <w:t xml:space="preserve"> et seq. – Nondiscrimination in Programs and Activities Receiving Assistance Under Title I of The Housing and Community Development Act of 1974</w:t>
      </w:r>
    </w:p>
    <w:p w14:paraId="4D6AD5FA" w14:textId="77777777" w:rsidR="008E09C4" w:rsidRPr="008E09C4" w:rsidRDefault="008E09C4" w:rsidP="000E4A24">
      <w:pPr>
        <w:pStyle w:val="NoSpacing"/>
        <w:numPr>
          <w:ilvl w:val="0"/>
          <w:numId w:val="98"/>
        </w:numPr>
        <w:ind w:left="540"/>
        <w:rPr>
          <w:rFonts w:cs="Times New Roman"/>
        </w:rPr>
      </w:pPr>
      <w:r w:rsidRPr="00066B7E">
        <w:rPr>
          <w:rFonts w:cs="Times New Roman"/>
          <w:b/>
        </w:rPr>
        <w:t>24 CFR §8</w:t>
      </w:r>
      <w:r w:rsidRPr="008E09C4">
        <w:rPr>
          <w:rFonts w:cs="Times New Roman"/>
        </w:rPr>
        <w:t xml:space="preserve"> et seq. – Nondiscrimination Based on Handicap in Federally Assisted Programs and Activities of the Department of Housing and Urban Development</w:t>
      </w:r>
    </w:p>
    <w:p w14:paraId="169FB170" w14:textId="77777777" w:rsidR="008E09C4" w:rsidRPr="008E09C4" w:rsidRDefault="008E09C4" w:rsidP="000E4A24">
      <w:pPr>
        <w:pStyle w:val="NoSpacing"/>
        <w:numPr>
          <w:ilvl w:val="0"/>
          <w:numId w:val="98"/>
        </w:numPr>
        <w:ind w:left="540"/>
        <w:rPr>
          <w:rFonts w:cs="Times New Roman"/>
        </w:rPr>
      </w:pPr>
      <w:r w:rsidRPr="00066B7E">
        <w:rPr>
          <w:rFonts w:cs="Times New Roman"/>
          <w:b/>
        </w:rPr>
        <w:t>24 CFR §35</w:t>
      </w:r>
      <w:r w:rsidRPr="008E09C4">
        <w:rPr>
          <w:rFonts w:cs="Times New Roman"/>
        </w:rPr>
        <w:t xml:space="preserve"> et seq. – Lead-Based Paint Poisoning Prevention in Certain Residential Structures</w:t>
      </w:r>
    </w:p>
    <w:p w14:paraId="0766D275" w14:textId="77777777" w:rsidR="008E09C4" w:rsidRPr="008E09C4" w:rsidRDefault="008E09C4" w:rsidP="000E4A24">
      <w:pPr>
        <w:pStyle w:val="NoSpacing"/>
        <w:numPr>
          <w:ilvl w:val="0"/>
          <w:numId w:val="98"/>
        </w:numPr>
        <w:ind w:left="540"/>
        <w:rPr>
          <w:rFonts w:cs="Times New Roman"/>
        </w:rPr>
      </w:pPr>
      <w:r w:rsidRPr="00066B7E">
        <w:rPr>
          <w:rFonts w:cs="Times New Roman"/>
          <w:b/>
        </w:rPr>
        <w:t>24 CFR §50</w:t>
      </w:r>
      <w:r w:rsidRPr="008E09C4">
        <w:rPr>
          <w:rFonts w:cs="Times New Roman"/>
        </w:rPr>
        <w:t xml:space="preserve"> et seq. – Protection and Enhancement of Environmental Quality</w:t>
      </w:r>
    </w:p>
    <w:p w14:paraId="0EA491E6" w14:textId="77777777" w:rsidR="008E09C4" w:rsidRPr="008E09C4" w:rsidRDefault="008E09C4" w:rsidP="000E4A24">
      <w:pPr>
        <w:pStyle w:val="NoSpacing"/>
        <w:numPr>
          <w:ilvl w:val="0"/>
          <w:numId w:val="98"/>
        </w:numPr>
        <w:ind w:left="540"/>
        <w:rPr>
          <w:rFonts w:cs="Times New Roman"/>
        </w:rPr>
      </w:pPr>
      <w:r w:rsidRPr="00066B7E">
        <w:rPr>
          <w:rFonts w:cs="Times New Roman"/>
          <w:b/>
        </w:rPr>
        <w:t>24 CFR §55</w:t>
      </w:r>
      <w:r w:rsidRPr="008E09C4">
        <w:rPr>
          <w:rFonts w:cs="Times New Roman"/>
        </w:rPr>
        <w:t xml:space="preserve"> et seq. – Floodplain Management and Protection of Wetlands</w:t>
      </w:r>
    </w:p>
    <w:p w14:paraId="5A7DCB4B" w14:textId="77777777" w:rsidR="008E09C4" w:rsidRPr="008E09C4" w:rsidRDefault="008E09C4" w:rsidP="000E4A24">
      <w:pPr>
        <w:pStyle w:val="NoSpacing"/>
        <w:numPr>
          <w:ilvl w:val="0"/>
          <w:numId w:val="98"/>
        </w:numPr>
        <w:ind w:left="540"/>
        <w:rPr>
          <w:rFonts w:cs="Times New Roman"/>
        </w:rPr>
      </w:pPr>
      <w:r w:rsidRPr="00066B7E">
        <w:rPr>
          <w:rFonts w:cs="Times New Roman"/>
          <w:b/>
        </w:rPr>
        <w:t>24 CFR §58</w:t>
      </w:r>
      <w:r w:rsidRPr="008E09C4">
        <w:rPr>
          <w:rFonts w:cs="Times New Roman"/>
        </w:rPr>
        <w:t xml:space="preserve"> et seq. – Environmental Review Procedures for Entities Assuming HUD Environmental Responsibilities</w:t>
      </w:r>
    </w:p>
    <w:p w14:paraId="26ECD291" w14:textId="77777777" w:rsidR="008E09C4" w:rsidRPr="008E09C4" w:rsidRDefault="008E09C4" w:rsidP="000E4A24">
      <w:pPr>
        <w:pStyle w:val="NoSpacing"/>
        <w:numPr>
          <w:ilvl w:val="0"/>
          <w:numId w:val="98"/>
        </w:numPr>
        <w:ind w:left="540"/>
        <w:rPr>
          <w:rFonts w:cs="Times New Roman"/>
        </w:rPr>
      </w:pPr>
      <w:r w:rsidRPr="00066B7E">
        <w:rPr>
          <w:rFonts w:cs="Times New Roman"/>
          <w:b/>
        </w:rPr>
        <w:t>24 CFR §85</w:t>
      </w:r>
      <w:r w:rsidRPr="008E09C4">
        <w:rPr>
          <w:rFonts w:cs="Times New Roman"/>
        </w:rPr>
        <w:t xml:space="preserve"> et seq. – Administrative Requirements for Grants and Cooperative Agreements to State, Local and Federally Recognized Indian Tribal Governments</w:t>
      </w:r>
    </w:p>
    <w:p w14:paraId="6656C1BE" w14:textId="77777777" w:rsidR="008E09C4" w:rsidRPr="008E09C4" w:rsidRDefault="008E09C4" w:rsidP="000E4A24">
      <w:pPr>
        <w:pStyle w:val="NoSpacing"/>
        <w:numPr>
          <w:ilvl w:val="0"/>
          <w:numId w:val="98"/>
        </w:numPr>
        <w:ind w:left="540"/>
        <w:rPr>
          <w:rFonts w:cs="Times New Roman"/>
        </w:rPr>
      </w:pPr>
      <w:r w:rsidRPr="00066B7E">
        <w:rPr>
          <w:rFonts w:cs="Times New Roman"/>
          <w:b/>
        </w:rPr>
        <w:t>24 CFR §87</w:t>
      </w:r>
      <w:r w:rsidRPr="008E09C4">
        <w:rPr>
          <w:rFonts w:cs="Times New Roman"/>
        </w:rPr>
        <w:t xml:space="preserve"> et seq. – New Restrictions on Lobbying</w:t>
      </w:r>
    </w:p>
    <w:p w14:paraId="2953714A" w14:textId="77777777" w:rsidR="008E09C4" w:rsidRPr="008E09C4" w:rsidRDefault="008E09C4" w:rsidP="000E4A24">
      <w:pPr>
        <w:pStyle w:val="NoSpacing"/>
        <w:numPr>
          <w:ilvl w:val="0"/>
          <w:numId w:val="98"/>
        </w:numPr>
        <w:ind w:left="540"/>
        <w:rPr>
          <w:rFonts w:cs="Times New Roman"/>
        </w:rPr>
      </w:pPr>
      <w:r w:rsidRPr="00066B7E">
        <w:rPr>
          <w:rFonts w:cs="Times New Roman"/>
          <w:b/>
        </w:rPr>
        <w:t>24 CFR §91</w:t>
      </w:r>
      <w:r w:rsidRPr="008E09C4">
        <w:rPr>
          <w:rFonts w:cs="Times New Roman"/>
        </w:rPr>
        <w:t xml:space="preserve"> et seq. – Consolidated Submissions for Community Planning and Development Programs</w:t>
      </w:r>
    </w:p>
    <w:p w14:paraId="012DE081" w14:textId="77777777" w:rsidR="008E09C4" w:rsidRPr="008E09C4" w:rsidRDefault="008E09C4" w:rsidP="000E4A24">
      <w:pPr>
        <w:pStyle w:val="NoSpacing"/>
        <w:numPr>
          <w:ilvl w:val="0"/>
          <w:numId w:val="98"/>
        </w:numPr>
        <w:ind w:left="540"/>
        <w:rPr>
          <w:rFonts w:cs="Times New Roman"/>
        </w:rPr>
      </w:pPr>
      <w:r w:rsidRPr="00066B7E">
        <w:rPr>
          <w:rFonts w:cs="Times New Roman"/>
          <w:b/>
        </w:rPr>
        <w:t>24 CFR §100</w:t>
      </w:r>
      <w:r w:rsidRPr="008E09C4">
        <w:rPr>
          <w:rFonts w:cs="Times New Roman"/>
        </w:rPr>
        <w:t xml:space="preserve"> et seq. – Discriminatory Conduct Under the Fair Housing Act</w:t>
      </w:r>
    </w:p>
    <w:p w14:paraId="580A6651" w14:textId="77777777" w:rsidR="008E09C4" w:rsidRPr="008E09C4" w:rsidRDefault="008E09C4" w:rsidP="000E4A24">
      <w:pPr>
        <w:pStyle w:val="NoSpacing"/>
        <w:numPr>
          <w:ilvl w:val="0"/>
          <w:numId w:val="98"/>
        </w:numPr>
        <w:ind w:left="540"/>
        <w:rPr>
          <w:rFonts w:cs="Times New Roman"/>
        </w:rPr>
      </w:pPr>
      <w:r w:rsidRPr="00066B7E">
        <w:rPr>
          <w:rFonts w:cs="Times New Roman"/>
          <w:b/>
        </w:rPr>
        <w:t>24 CFR §107</w:t>
      </w:r>
      <w:r w:rsidRPr="008E09C4">
        <w:rPr>
          <w:rFonts w:cs="Times New Roman"/>
        </w:rPr>
        <w:t xml:space="preserve"> et seq. – Nondiscrimination and Equal Opportunity in Housing Under Executive Order 11063</w:t>
      </w:r>
    </w:p>
    <w:p w14:paraId="220406C6" w14:textId="20CF8E3D" w:rsidR="008E09C4" w:rsidRPr="008E09C4" w:rsidRDefault="008E09C4" w:rsidP="000E4A24">
      <w:pPr>
        <w:pStyle w:val="NoSpacing"/>
        <w:numPr>
          <w:ilvl w:val="0"/>
          <w:numId w:val="98"/>
        </w:numPr>
        <w:ind w:left="540"/>
        <w:rPr>
          <w:rFonts w:cs="Times New Roman"/>
        </w:rPr>
      </w:pPr>
      <w:r w:rsidRPr="00066B7E">
        <w:rPr>
          <w:rFonts w:cs="Times New Roman"/>
          <w:b/>
        </w:rPr>
        <w:t>24 CFR §135</w:t>
      </w:r>
      <w:r w:rsidRPr="008E09C4">
        <w:rPr>
          <w:rFonts w:cs="Times New Roman"/>
        </w:rPr>
        <w:t xml:space="preserve"> et seq. – Economic Opportunities for Low- and Very Low-Income Persons</w:t>
      </w:r>
    </w:p>
    <w:p w14:paraId="0F84949A" w14:textId="7B8CA042" w:rsidR="008E09C4" w:rsidRPr="008E09C4" w:rsidRDefault="008E09C4" w:rsidP="000E4A24">
      <w:pPr>
        <w:pStyle w:val="NoSpacing"/>
        <w:numPr>
          <w:ilvl w:val="0"/>
          <w:numId w:val="98"/>
        </w:numPr>
        <w:ind w:left="540"/>
        <w:rPr>
          <w:rFonts w:cs="Times New Roman"/>
        </w:rPr>
      </w:pPr>
      <w:r w:rsidRPr="00066B7E">
        <w:rPr>
          <w:rFonts w:cs="Times New Roman"/>
          <w:b/>
        </w:rPr>
        <w:t>24 CFR §146</w:t>
      </w:r>
      <w:r w:rsidRPr="008E09C4">
        <w:rPr>
          <w:rFonts w:cs="Times New Roman"/>
        </w:rPr>
        <w:t xml:space="preserve"> et seq. – Nondiscrimination </w:t>
      </w:r>
      <w:proofErr w:type="gramStart"/>
      <w:r w:rsidRPr="008E09C4">
        <w:rPr>
          <w:rFonts w:cs="Times New Roman"/>
        </w:rPr>
        <w:t>on the Basis of</w:t>
      </w:r>
      <w:proofErr w:type="gramEnd"/>
      <w:r w:rsidRPr="008E09C4">
        <w:rPr>
          <w:rFonts w:cs="Times New Roman"/>
        </w:rPr>
        <w:t xml:space="preserve"> Age in HUD Programs or Activities Receiving Federal Financial Assistance</w:t>
      </w:r>
    </w:p>
    <w:p w14:paraId="6C459409" w14:textId="1FFB2722" w:rsidR="008E09C4" w:rsidRDefault="008E09C4" w:rsidP="000E4A24">
      <w:pPr>
        <w:pStyle w:val="NoSpacing"/>
        <w:numPr>
          <w:ilvl w:val="0"/>
          <w:numId w:val="98"/>
        </w:numPr>
        <w:ind w:left="540"/>
        <w:rPr>
          <w:rFonts w:cs="Times New Roman"/>
        </w:rPr>
      </w:pPr>
      <w:r w:rsidRPr="00066B7E">
        <w:rPr>
          <w:rFonts w:cs="Times New Roman"/>
          <w:b/>
        </w:rPr>
        <w:t>24 CFR §574</w:t>
      </w:r>
      <w:r w:rsidRPr="008E09C4">
        <w:rPr>
          <w:rFonts w:cs="Times New Roman"/>
        </w:rPr>
        <w:t xml:space="preserve"> et seq. – Housing Opportunities for Persons with AIDS</w:t>
      </w:r>
    </w:p>
    <w:p w14:paraId="0118F927" w14:textId="77777777" w:rsidR="0067449C" w:rsidRDefault="0067449C" w:rsidP="00DE48B8">
      <w:pPr>
        <w:pStyle w:val="NoSpacing"/>
        <w:rPr>
          <w:rFonts w:cs="Times New Roman"/>
        </w:rPr>
      </w:pPr>
    </w:p>
    <w:p w14:paraId="52B649B5" w14:textId="4B7E7ABB" w:rsidR="00FF315F" w:rsidRPr="008A2696" w:rsidRDefault="004F12E9" w:rsidP="00B109D9">
      <w:pPr>
        <w:pStyle w:val="Heading1"/>
      </w:pPr>
      <w:bookmarkStart w:id="2" w:name="_Toc140755457"/>
      <w:r w:rsidRPr="008A2696">
        <w:lastRenderedPageBreak/>
        <w:t>Section 3. Program Definitions</w:t>
      </w:r>
      <w:bookmarkEnd w:id="2"/>
    </w:p>
    <w:p w14:paraId="02F4B5A0" w14:textId="4728BFF7" w:rsidR="003330BA" w:rsidRDefault="003330BA" w:rsidP="00F1581D">
      <w:pPr>
        <w:pStyle w:val="NoSpacing"/>
        <w:numPr>
          <w:ilvl w:val="2"/>
          <w:numId w:val="28"/>
        </w:numPr>
        <w:ind w:left="540"/>
        <w:rPr>
          <w:rFonts w:cs="Times New Roman"/>
          <w:b/>
        </w:rPr>
      </w:pPr>
      <w:r>
        <w:rPr>
          <w:rFonts w:cs="Times New Roman"/>
          <w:b/>
        </w:rPr>
        <w:t>Achieved Viral Suppression</w:t>
      </w:r>
    </w:p>
    <w:p w14:paraId="01592E84" w14:textId="6667EF37" w:rsidR="003330BA" w:rsidRPr="00DE48B8" w:rsidRDefault="003330BA" w:rsidP="00DE48B8">
      <w:pPr>
        <w:pStyle w:val="NoSpacing"/>
        <w:ind w:left="540"/>
        <w:rPr>
          <w:rFonts w:cs="Times New Roman"/>
          <w:bCs/>
        </w:rPr>
      </w:pPr>
      <w:r w:rsidRPr="003330BA">
        <w:rPr>
          <w:rFonts w:cs="Times New Roman"/>
          <w:bCs/>
        </w:rPr>
        <w:t>When the load or volume of HIV present in a person's blood measur</w:t>
      </w:r>
      <w:r w:rsidR="003435C7">
        <w:rPr>
          <w:rFonts w:cs="Times New Roman"/>
          <w:bCs/>
        </w:rPr>
        <w:t>es</w:t>
      </w:r>
      <w:r w:rsidRPr="003330BA">
        <w:rPr>
          <w:rFonts w:cs="Times New Roman"/>
          <w:bCs/>
        </w:rPr>
        <w:t xml:space="preserve"> less than 200 copies per milliliter of blood.</w:t>
      </w:r>
    </w:p>
    <w:p w14:paraId="3BE55E38" w14:textId="5A3D766A" w:rsidR="00BB0872" w:rsidRPr="007930D0" w:rsidRDefault="00BB0872" w:rsidP="00F1581D">
      <w:pPr>
        <w:pStyle w:val="NoSpacing"/>
        <w:numPr>
          <w:ilvl w:val="2"/>
          <w:numId w:val="28"/>
        </w:numPr>
        <w:ind w:left="540"/>
        <w:rPr>
          <w:rFonts w:cs="Times New Roman"/>
          <w:b/>
        </w:rPr>
      </w:pPr>
      <w:r w:rsidRPr="007930D0">
        <w:rPr>
          <w:rFonts w:cs="Times New Roman"/>
          <w:b/>
        </w:rPr>
        <w:t>Acquired Immunodeficiency Syndrome (AIDS)</w:t>
      </w:r>
    </w:p>
    <w:p w14:paraId="68FCD57F" w14:textId="7322D4C3" w:rsidR="00BB0872" w:rsidRPr="00BB0872" w:rsidRDefault="00BB0872" w:rsidP="00F1581D">
      <w:pPr>
        <w:pStyle w:val="NoSpacing"/>
        <w:ind w:left="540"/>
        <w:rPr>
          <w:rFonts w:cs="Times New Roman"/>
        </w:rPr>
      </w:pPr>
      <w:r w:rsidRPr="00BB0872">
        <w:rPr>
          <w:rFonts w:cs="Times New Roman"/>
        </w:rPr>
        <w:t>A medical diagnosis</w:t>
      </w:r>
      <w:r w:rsidR="007930D0">
        <w:rPr>
          <w:rFonts w:cs="Times New Roman"/>
        </w:rPr>
        <w:t xml:space="preserve"> requiring a positive HIV test</w:t>
      </w:r>
      <w:r w:rsidRPr="00BB0872">
        <w:rPr>
          <w:rFonts w:cs="Times New Roman"/>
        </w:rPr>
        <w:t xml:space="preserve"> and a </w:t>
      </w:r>
      <w:proofErr w:type="spellStart"/>
      <w:r w:rsidRPr="00BB0872">
        <w:rPr>
          <w:rFonts w:cs="Times New Roman"/>
        </w:rPr>
        <w:t>CD4</w:t>
      </w:r>
      <w:proofErr w:type="spellEnd"/>
      <w:r w:rsidRPr="00BB0872">
        <w:rPr>
          <w:rFonts w:cs="Times New Roman"/>
        </w:rPr>
        <w:t xml:space="preserve">+ cell count below 200 cells per microliter OR </w:t>
      </w:r>
      <w:proofErr w:type="spellStart"/>
      <w:r w:rsidRPr="00BB0872">
        <w:rPr>
          <w:rFonts w:cs="Times New Roman"/>
        </w:rPr>
        <w:t>CD4</w:t>
      </w:r>
      <w:proofErr w:type="spellEnd"/>
      <w:r w:rsidRPr="00BB0872">
        <w:rPr>
          <w:rFonts w:cs="Times New Roman"/>
        </w:rPr>
        <w:t>+ cells account for fewer than 14 percent of all lymphocytes OR a diagnosis of one or more of the AIDS-defining illnesses.</w:t>
      </w:r>
    </w:p>
    <w:p w14:paraId="51194338" w14:textId="2AAC1CCA" w:rsidR="00BB0872" w:rsidRDefault="00BB0872" w:rsidP="00F1581D">
      <w:pPr>
        <w:pStyle w:val="NoSpacing"/>
        <w:numPr>
          <w:ilvl w:val="2"/>
          <w:numId w:val="28"/>
        </w:numPr>
        <w:ind w:left="540"/>
        <w:rPr>
          <w:rFonts w:cs="Times New Roman"/>
          <w:b/>
        </w:rPr>
      </w:pPr>
      <w:r>
        <w:rPr>
          <w:rFonts w:cs="Times New Roman"/>
          <w:b/>
        </w:rPr>
        <w:t>Administrative Agency</w:t>
      </w:r>
    </w:p>
    <w:p w14:paraId="0D63CBFE" w14:textId="7D665DFD" w:rsidR="00BB0872" w:rsidRPr="00BB0872" w:rsidRDefault="0097196A" w:rsidP="00F1581D">
      <w:pPr>
        <w:pStyle w:val="NoSpacing"/>
        <w:ind w:left="540"/>
        <w:rPr>
          <w:rFonts w:cs="Times New Roman"/>
        </w:rPr>
      </w:pPr>
      <w:r>
        <w:rPr>
          <w:rFonts w:cs="Times New Roman"/>
        </w:rPr>
        <w:t xml:space="preserve">An entity that contracts </w:t>
      </w:r>
      <w:r w:rsidRPr="00847EF7">
        <w:rPr>
          <w:rFonts w:cs="Times New Roman"/>
        </w:rPr>
        <w:t>with DSHS to administer the HOPWA Program and subcontracts with Project Sponsors for service delivery</w:t>
      </w:r>
      <w:r w:rsidR="001D179D">
        <w:rPr>
          <w:rFonts w:cs="Times New Roman"/>
        </w:rPr>
        <w:t>. The</w:t>
      </w:r>
      <w:r w:rsidR="00847EF7">
        <w:rPr>
          <w:rFonts w:cs="Times New Roman"/>
        </w:rPr>
        <w:t xml:space="preserve"> entity </w:t>
      </w:r>
      <w:r w:rsidR="003435C7">
        <w:rPr>
          <w:rFonts w:cs="Times New Roman"/>
        </w:rPr>
        <w:t>ensures</w:t>
      </w:r>
      <w:r w:rsidR="003C7026">
        <w:rPr>
          <w:rFonts w:cs="Times New Roman"/>
        </w:rPr>
        <w:t xml:space="preserve"> </w:t>
      </w:r>
      <w:r w:rsidR="0026013D" w:rsidRPr="0026013D">
        <w:rPr>
          <w:rFonts w:cs="Times New Roman"/>
        </w:rPr>
        <w:t xml:space="preserve">a comprehensive continuum of care exists in </w:t>
      </w:r>
      <w:r w:rsidR="00847EF7">
        <w:rPr>
          <w:rFonts w:cs="Times New Roman"/>
        </w:rPr>
        <w:t>its funded area</w:t>
      </w:r>
      <w:r w:rsidR="00F511EB">
        <w:rPr>
          <w:rFonts w:cs="Times New Roman"/>
        </w:rPr>
        <w:t xml:space="preserve"> by managing</w:t>
      </w:r>
      <w:r w:rsidR="0026013D" w:rsidRPr="0026013D">
        <w:rPr>
          <w:rFonts w:cs="Times New Roman"/>
        </w:rPr>
        <w:t xml:space="preserve">, </w:t>
      </w:r>
      <w:r w:rsidR="00F511EB">
        <w:rPr>
          <w:rFonts w:cs="Times New Roman"/>
        </w:rPr>
        <w:t>distributing</w:t>
      </w:r>
      <w:r w:rsidR="0026013D" w:rsidRPr="0026013D">
        <w:rPr>
          <w:rFonts w:cs="Times New Roman"/>
        </w:rPr>
        <w:t xml:space="preserve">, and </w:t>
      </w:r>
      <w:r w:rsidR="00F511EB">
        <w:rPr>
          <w:rFonts w:cs="Times New Roman"/>
        </w:rPr>
        <w:t>overseeing F</w:t>
      </w:r>
      <w:r w:rsidR="0026013D" w:rsidRPr="0026013D">
        <w:rPr>
          <w:rFonts w:cs="Times New Roman"/>
        </w:rPr>
        <w:t xml:space="preserve">ederal and </w:t>
      </w:r>
      <w:r w:rsidR="00F511EB">
        <w:rPr>
          <w:rFonts w:cs="Times New Roman"/>
        </w:rPr>
        <w:t>S</w:t>
      </w:r>
      <w:r w:rsidR="0026013D" w:rsidRPr="0026013D">
        <w:rPr>
          <w:rFonts w:cs="Times New Roman"/>
        </w:rPr>
        <w:t xml:space="preserve">tate </w:t>
      </w:r>
      <w:r>
        <w:rPr>
          <w:rFonts w:cs="Times New Roman"/>
        </w:rPr>
        <w:t xml:space="preserve">HIV care services </w:t>
      </w:r>
      <w:r w:rsidR="001D179D">
        <w:rPr>
          <w:rFonts w:cs="Times New Roman"/>
        </w:rPr>
        <w:t>funds</w:t>
      </w:r>
      <w:r w:rsidR="00F511EB">
        <w:rPr>
          <w:rFonts w:cs="Times New Roman"/>
        </w:rPr>
        <w:t>.</w:t>
      </w:r>
      <w:r w:rsidR="001D179D">
        <w:rPr>
          <w:rFonts w:cs="Times New Roman"/>
        </w:rPr>
        <w:t xml:space="preserve"> </w:t>
      </w:r>
      <w:r w:rsidR="00F511EB">
        <w:rPr>
          <w:rFonts w:cs="Times New Roman"/>
        </w:rPr>
        <w:t>The</w:t>
      </w:r>
      <w:r>
        <w:rPr>
          <w:rFonts w:cs="Times New Roman"/>
        </w:rPr>
        <w:t xml:space="preserve"> </w:t>
      </w:r>
      <w:hyperlink r:id="rId12" w:history="1">
        <w:r w:rsidRPr="0097196A">
          <w:rPr>
            <w:rStyle w:val="Hyperlink"/>
            <w:rFonts w:cs="Times New Roman"/>
          </w:rPr>
          <w:t>Ryan White Program Requirements for Service Delivery and Administrative Contracts</w:t>
        </w:r>
      </w:hyperlink>
      <w:r w:rsidR="00F511EB">
        <w:rPr>
          <w:rFonts w:cs="Times New Roman"/>
        </w:rPr>
        <w:t xml:space="preserve"> provides additional guidance on the entity’s roles and responsibilities.</w:t>
      </w:r>
    </w:p>
    <w:p w14:paraId="2D95F4D3" w14:textId="77777777" w:rsidR="00BB0872" w:rsidRPr="00BB0872" w:rsidRDefault="00BB0872" w:rsidP="00F1581D">
      <w:pPr>
        <w:pStyle w:val="NoSpacing"/>
        <w:numPr>
          <w:ilvl w:val="2"/>
          <w:numId w:val="28"/>
        </w:numPr>
        <w:ind w:left="540"/>
        <w:rPr>
          <w:rFonts w:cs="Times New Roman"/>
          <w:b/>
        </w:rPr>
      </w:pPr>
      <w:r w:rsidRPr="00BB0872">
        <w:rPr>
          <w:rFonts w:cs="Times New Roman"/>
          <w:b/>
        </w:rPr>
        <w:t>Administrative Costs</w:t>
      </w:r>
    </w:p>
    <w:p w14:paraId="677792CA" w14:textId="5277AB59" w:rsidR="004F12E9" w:rsidRDefault="00BB0872" w:rsidP="00F1581D">
      <w:pPr>
        <w:pStyle w:val="NoSpacing"/>
        <w:ind w:left="540"/>
        <w:rPr>
          <w:rFonts w:cs="Times New Roman"/>
        </w:rPr>
      </w:pPr>
      <w:r w:rsidRPr="00BB0872">
        <w:rPr>
          <w:rFonts w:cs="Times New Roman"/>
        </w:rPr>
        <w:t>Costs for general management, oversight, coordinat</w:t>
      </w:r>
      <w:r>
        <w:rPr>
          <w:rFonts w:cs="Times New Roman"/>
        </w:rPr>
        <w:t>ion, evaluation, and reporting.</w:t>
      </w:r>
      <w:r w:rsidRPr="00BB0872">
        <w:rPr>
          <w:rFonts w:cs="Times New Roman"/>
        </w:rPr>
        <w:t xml:space="preserve"> </w:t>
      </w:r>
      <w:r w:rsidR="00E4701B">
        <w:rPr>
          <w:rFonts w:cs="Times New Roman"/>
        </w:rPr>
        <w:t>S</w:t>
      </w:r>
      <w:r w:rsidRPr="00BB0872">
        <w:rPr>
          <w:rFonts w:cs="Times New Roman"/>
        </w:rPr>
        <w:t>tatute</w:t>
      </w:r>
      <w:r w:rsidR="00E4701B">
        <w:rPr>
          <w:rFonts w:cs="Times New Roman"/>
        </w:rPr>
        <w:t xml:space="preserve"> limits </w:t>
      </w:r>
      <w:r w:rsidRPr="00BB0872">
        <w:rPr>
          <w:rFonts w:cs="Times New Roman"/>
        </w:rPr>
        <w:t>grantee administrative costs to 3</w:t>
      </w:r>
      <w:r w:rsidR="00596A8B">
        <w:rPr>
          <w:rFonts w:cs="Times New Roman"/>
        </w:rPr>
        <w:t xml:space="preserve"> percent</w:t>
      </w:r>
      <w:r w:rsidRPr="00BB0872">
        <w:rPr>
          <w:rFonts w:cs="Times New Roman"/>
        </w:rPr>
        <w:t xml:space="preserve"> of </w:t>
      </w:r>
      <w:r w:rsidR="00151534">
        <w:rPr>
          <w:rFonts w:cs="Times New Roman"/>
        </w:rPr>
        <w:t xml:space="preserve">the </w:t>
      </w:r>
      <w:r w:rsidRPr="00BB0872">
        <w:rPr>
          <w:rFonts w:cs="Times New Roman"/>
        </w:rPr>
        <w:t>total grant award</w:t>
      </w:r>
      <w:r w:rsidR="00C26FC2">
        <w:rPr>
          <w:rFonts w:cs="Times New Roman"/>
        </w:rPr>
        <w:t xml:space="preserve">, </w:t>
      </w:r>
      <w:r w:rsidRPr="00BB0872">
        <w:rPr>
          <w:rFonts w:cs="Times New Roman"/>
        </w:rPr>
        <w:t>expend</w:t>
      </w:r>
      <w:r>
        <w:rPr>
          <w:rFonts w:cs="Times New Roman"/>
        </w:rPr>
        <w:t xml:space="preserve">ed over the life of the grant. </w:t>
      </w:r>
      <w:r w:rsidR="00C26FC2" w:rsidRPr="00FD790F">
        <w:rPr>
          <w:rFonts w:cs="Times New Roman"/>
        </w:rPr>
        <w:t>DSHS shares grantee administrative costs with AAs.</w:t>
      </w:r>
      <w:r w:rsidR="00C26FC2">
        <w:rPr>
          <w:rFonts w:cs="Times New Roman"/>
        </w:rPr>
        <w:t xml:space="preserve"> </w:t>
      </w:r>
      <w:r w:rsidR="00C26FC2" w:rsidRPr="00FD790F">
        <w:rPr>
          <w:rFonts w:cs="Times New Roman"/>
        </w:rPr>
        <w:t>The sum of DSHS and AA administrative costs cannot exceed 3 percent of each annual grant amount</w:t>
      </w:r>
      <w:r w:rsidR="00C26FC2">
        <w:rPr>
          <w:rFonts w:cs="Times New Roman"/>
        </w:rPr>
        <w:t xml:space="preserve">. </w:t>
      </w:r>
      <w:r w:rsidR="00C26FC2" w:rsidRPr="00FD790F">
        <w:rPr>
          <w:rFonts w:cs="Times New Roman"/>
        </w:rPr>
        <w:t>AAs may also leverage State Administration funds for AA HOPWA administrative costs</w:t>
      </w:r>
      <w:r w:rsidR="00C26FC2" w:rsidRPr="003E1E14">
        <w:rPr>
          <w:rFonts w:cs="Times New Roman"/>
        </w:rPr>
        <w:t>.</w:t>
      </w:r>
      <w:r w:rsidR="00C26FC2">
        <w:rPr>
          <w:rFonts w:cs="Times New Roman"/>
        </w:rPr>
        <w:t xml:space="preserve"> Statute limits </w:t>
      </w:r>
      <w:r w:rsidRPr="00BB0872">
        <w:rPr>
          <w:rFonts w:cs="Times New Roman"/>
        </w:rPr>
        <w:t xml:space="preserve">Project </w:t>
      </w:r>
      <w:r w:rsidR="00C26FC2">
        <w:rPr>
          <w:rFonts w:cs="Times New Roman"/>
        </w:rPr>
        <w:t>S</w:t>
      </w:r>
      <w:r w:rsidRPr="00BB0872">
        <w:rPr>
          <w:rFonts w:cs="Times New Roman"/>
        </w:rPr>
        <w:t>ponsor administrative costs to 7</w:t>
      </w:r>
      <w:r w:rsidR="00596A8B">
        <w:rPr>
          <w:rFonts w:cs="Times New Roman"/>
        </w:rPr>
        <w:t xml:space="preserve"> percent</w:t>
      </w:r>
      <w:r w:rsidRPr="00BB0872">
        <w:rPr>
          <w:rFonts w:cs="Times New Roman"/>
        </w:rPr>
        <w:t xml:space="preserve"> of the portion of the grant amount they receive.</w:t>
      </w:r>
      <w:r w:rsidR="00050C24">
        <w:rPr>
          <w:rFonts w:cs="Times New Roman"/>
        </w:rPr>
        <w:t xml:space="preserve"> </w:t>
      </w:r>
    </w:p>
    <w:p w14:paraId="313ECE51" w14:textId="10CB86F8" w:rsidR="003330BA" w:rsidRDefault="003330BA" w:rsidP="00066B7E">
      <w:pPr>
        <w:pStyle w:val="NoSpacing"/>
        <w:numPr>
          <w:ilvl w:val="2"/>
          <w:numId w:val="28"/>
        </w:numPr>
        <w:ind w:left="540"/>
        <w:rPr>
          <w:rFonts w:cs="Times New Roman"/>
          <w:b/>
        </w:rPr>
      </w:pPr>
      <w:r w:rsidRPr="003330BA">
        <w:rPr>
          <w:rFonts w:cs="Times New Roman"/>
          <w:b/>
        </w:rPr>
        <w:t>Anti-Retroviral Therapy</w:t>
      </w:r>
    </w:p>
    <w:p w14:paraId="6B058606" w14:textId="13324E35" w:rsidR="003330BA" w:rsidRPr="00DE48B8" w:rsidRDefault="003330BA" w:rsidP="00DE48B8">
      <w:pPr>
        <w:pStyle w:val="NoSpacing"/>
        <w:ind w:left="540"/>
        <w:rPr>
          <w:rFonts w:cs="Times New Roman"/>
          <w:bCs/>
        </w:rPr>
      </w:pPr>
      <w:r w:rsidRPr="003330BA">
        <w:rPr>
          <w:rFonts w:cs="Times New Roman"/>
          <w:bCs/>
        </w:rPr>
        <w:t>The combination of drugs used to treat HIV.</w:t>
      </w:r>
    </w:p>
    <w:p w14:paraId="6D3D6543" w14:textId="68C24592" w:rsidR="003330BA" w:rsidRDefault="003330BA" w:rsidP="00066B7E">
      <w:pPr>
        <w:pStyle w:val="NoSpacing"/>
        <w:numPr>
          <w:ilvl w:val="2"/>
          <w:numId w:val="28"/>
        </w:numPr>
        <w:ind w:left="540"/>
        <w:rPr>
          <w:rFonts w:cs="Times New Roman"/>
          <w:b/>
        </w:rPr>
      </w:pPr>
      <w:r w:rsidRPr="003330BA">
        <w:rPr>
          <w:rFonts w:cs="Times New Roman"/>
          <w:b/>
        </w:rPr>
        <w:t>Area Median Income</w:t>
      </w:r>
      <w:r>
        <w:rPr>
          <w:rFonts w:cs="Times New Roman"/>
          <w:b/>
        </w:rPr>
        <w:t xml:space="preserve"> (AMI)</w:t>
      </w:r>
    </w:p>
    <w:p w14:paraId="7DE98F1F" w14:textId="0D9E0910" w:rsidR="003330BA" w:rsidRPr="00DE48B8" w:rsidRDefault="003330BA" w:rsidP="00DE48B8">
      <w:pPr>
        <w:pStyle w:val="NoSpacing"/>
        <w:ind w:left="540"/>
        <w:rPr>
          <w:rFonts w:cs="Times New Roman"/>
          <w:bCs/>
        </w:rPr>
      </w:pPr>
      <w:r w:rsidRPr="003330BA">
        <w:rPr>
          <w:rFonts w:cs="Times New Roman"/>
          <w:bCs/>
        </w:rPr>
        <w:t xml:space="preserve">HUD sets income limits that determine </w:t>
      </w:r>
      <w:r w:rsidR="006919D0">
        <w:rPr>
          <w:rFonts w:cs="Times New Roman"/>
          <w:bCs/>
        </w:rPr>
        <w:t xml:space="preserve">income </w:t>
      </w:r>
      <w:r w:rsidRPr="003330BA">
        <w:rPr>
          <w:rFonts w:cs="Times New Roman"/>
          <w:bCs/>
        </w:rPr>
        <w:t>eligibility for assisted housing programs including the HOPWA program. HUD develops income limits based on Median Family Income estimates and Fair Market Rent area definitions for each metropolitan area, parts of some metropolitan areas, and each non-metropolitan county. AMI values vary by location</w:t>
      </w:r>
      <w:r w:rsidR="00356A23">
        <w:rPr>
          <w:rFonts w:cs="Times New Roman"/>
          <w:bCs/>
        </w:rPr>
        <w:t>.</w:t>
      </w:r>
      <w:r w:rsidRPr="003330BA">
        <w:rPr>
          <w:rFonts w:cs="Times New Roman"/>
          <w:bCs/>
        </w:rPr>
        <w:t xml:space="preserve"> </w:t>
      </w:r>
      <w:r w:rsidR="00356A23">
        <w:rPr>
          <w:rFonts w:cs="Times New Roman"/>
          <w:bCs/>
        </w:rPr>
        <w:t>HUD</w:t>
      </w:r>
      <w:r w:rsidRPr="003330BA">
        <w:rPr>
          <w:rFonts w:cs="Times New Roman"/>
          <w:bCs/>
        </w:rPr>
        <w:t xml:space="preserve"> publishe</w:t>
      </w:r>
      <w:r w:rsidR="00356A23">
        <w:rPr>
          <w:rFonts w:cs="Times New Roman"/>
          <w:bCs/>
        </w:rPr>
        <w:t xml:space="preserve">s </w:t>
      </w:r>
      <w:proofErr w:type="spellStart"/>
      <w:r w:rsidR="00356A23">
        <w:rPr>
          <w:rFonts w:cs="Times New Roman"/>
          <w:bCs/>
        </w:rPr>
        <w:t>AMIs</w:t>
      </w:r>
      <w:proofErr w:type="spellEnd"/>
      <w:r>
        <w:rPr>
          <w:rFonts w:cs="Times New Roman"/>
          <w:bCs/>
        </w:rPr>
        <w:t xml:space="preserve"> </w:t>
      </w:r>
      <w:hyperlink r:id="rId13" w:history="1">
        <w:r w:rsidRPr="003330BA">
          <w:rPr>
            <w:rStyle w:val="Hyperlink"/>
            <w:rFonts w:cs="Times New Roman"/>
            <w:bCs/>
          </w:rPr>
          <w:t>here</w:t>
        </w:r>
      </w:hyperlink>
      <w:r>
        <w:rPr>
          <w:rFonts w:cs="Times New Roman"/>
          <w:bCs/>
        </w:rPr>
        <w:t>.</w:t>
      </w:r>
    </w:p>
    <w:p w14:paraId="75F07A5F" w14:textId="0BEF0FCA" w:rsidR="00BB0872" w:rsidRPr="00BB0872" w:rsidRDefault="00BB0872" w:rsidP="00066B7E">
      <w:pPr>
        <w:pStyle w:val="NoSpacing"/>
        <w:numPr>
          <w:ilvl w:val="2"/>
          <w:numId w:val="28"/>
        </w:numPr>
        <w:ind w:left="540"/>
        <w:rPr>
          <w:rFonts w:cs="Times New Roman"/>
          <w:b/>
        </w:rPr>
      </w:pPr>
      <w:r w:rsidRPr="00BB0872">
        <w:rPr>
          <w:rFonts w:cs="Times New Roman"/>
          <w:b/>
        </w:rPr>
        <w:t>Beneficiary(</w:t>
      </w:r>
      <w:proofErr w:type="spellStart"/>
      <w:r w:rsidRPr="00BB0872">
        <w:rPr>
          <w:rFonts w:cs="Times New Roman"/>
          <w:b/>
        </w:rPr>
        <w:t>ies</w:t>
      </w:r>
      <w:proofErr w:type="spellEnd"/>
      <w:r w:rsidRPr="00BB0872">
        <w:rPr>
          <w:rFonts w:cs="Times New Roman"/>
          <w:b/>
        </w:rPr>
        <w:t>)</w:t>
      </w:r>
    </w:p>
    <w:p w14:paraId="5AF8DF54" w14:textId="069FF5EE" w:rsidR="007F3CAB" w:rsidRDefault="003330BA" w:rsidP="00DE48B8">
      <w:pPr>
        <w:pStyle w:val="NoSpacing"/>
        <w:ind w:left="540"/>
        <w:rPr>
          <w:rFonts w:cs="Times New Roman"/>
        </w:rPr>
      </w:pPr>
      <w:r w:rsidRPr="003330BA">
        <w:rPr>
          <w:rFonts w:cs="Times New Roman"/>
        </w:rPr>
        <w:t>All members of a household (</w:t>
      </w:r>
      <w:r w:rsidR="00252BE3">
        <w:rPr>
          <w:rFonts w:cs="Times New Roman"/>
        </w:rPr>
        <w:t xml:space="preserve">living </w:t>
      </w:r>
      <w:r w:rsidRPr="003330BA">
        <w:rPr>
          <w:rFonts w:cs="Times New Roman"/>
        </w:rPr>
        <w:t xml:space="preserve">with or without HIV) who benefitted from HOPWA assistance during the operating year, </w:t>
      </w:r>
      <w:r>
        <w:rPr>
          <w:rFonts w:cs="Times New Roman"/>
        </w:rPr>
        <w:t>not</w:t>
      </w:r>
      <w:r w:rsidRPr="003330BA">
        <w:rPr>
          <w:rFonts w:cs="Times New Roman"/>
        </w:rPr>
        <w:t xml:space="preserve"> including the eligible individual (see </w:t>
      </w:r>
      <w:r>
        <w:rPr>
          <w:rFonts w:cs="Times New Roman"/>
        </w:rPr>
        <w:t>“Eligible Individual”</w:t>
      </w:r>
      <w:r w:rsidRPr="003330BA">
        <w:rPr>
          <w:rFonts w:cs="Times New Roman"/>
        </w:rPr>
        <w:t>).</w:t>
      </w:r>
    </w:p>
    <w:p w14:paraId="189C7F7F" w14:textId="0D7C0D18" w:rsidR="007F3CAB" w:rsidRPr="00945928" w:rsidRDefault="00552FE5" w:rsidP="00F1581D">
      <w:pPr>
        <w:pStyle w:val="NoSpacing"/>
        <w:numPr>
          <w:ilvl w:val="2"/>
          <w:numId w:val="28"/>
        </w:numPr>
        <w:ind w:left="540"/>
        <w:rPr>
          <w:rFonts w:cs="Times New Roman"/>
          <w:b/>
        </w:rPr>
      </w:pPr>
      <w:r w:rsidRPr="00945928">
        <w:rPr>
          <w:rFonts w:cs="Times New Roman"/>
          <w:b/>
        </w:rPr>
        <w:t>Chronically Homeless Person</w:t>
      </w:r>
    </w:p>
    <w:p w14:paraId="79F5CCB0" w14:textId="3E795628" w:rsidR="00A51B1A" w:rsidRPr="00552FE5" w:rsidRDefault="00A51B1A" w:rsidP="00F1581D">
      <w:pPr>
        <w:pStyle w:val="NoSpacing"/>
        <w:ind w:left="540"/>
        <w:rPr>
          <w:rFonts w:cs="Times New Roman"/>
          <w:b/>
          <w:highlight w:val="yellow"/>
        </w:rPr>
      </w:pPr>
      <w:r>
        <w:rPr>
          <w:rFonts w:cs="Times New Roman"/>
        </w:rPr>
        <w:t xml:space="preserve">Per 24 CFR </w:t>
      </w:r>
      <w:r w:rsidRPr="00A51B1A">
        <w:rPr>
          <w:rFonts w:cs="Times New Roman"/>
        </w:rPr>
        <w:t>§578.3</w:t>
      </w:r>
      <w:r>
        <w:rPr>
          <w:rFonts w:cs="Times New Roman"/>
        </w:rPr>
        <w:t>,</w:t>
      </w:r>
      <w:r w:rsidR="00C04FBF">
        <w:rPr>
          <w:rFonts w:cs="Times New Roman"/>
        </w:rPr>
        <w:t xml:space="preserve"> a </w:t>
      </w:r>
      <w:hyperlink r:id="rId14" w:history="1">
        <w:r w:rsidR="00C04FBF" w:rsidRPr="00C04FBF">
          <w:rPr>
            <w:rStyle w:val="Hyperlink"/>
            <w:rFonts w:cs="Times New Roman"/>
          </w:rPr>
          <w:t>chronically homeless</w:t>
        </w:r>
      </w:hyperlink>
      <w:r w:rsidR="00C04FBF">
        <w:rPr>
          <w:rFonts w:cs="Times New Roman"/>
        </w:rPr>
        <w:t xml:space="preserve"> person is</w:t>
      </w:r>
      <w:r>
        <w:rPr>
          <w:rFonts w:cs="Times New Roman"/>
        </w:rPr>
        <w:t xml:space="preserve"> </w:t>
      </w:r>
      <w:r w:rsidRPr="00A51B1A">
        <w:rPr>
          <w:rFonts w:cs="Times New Roman"/>
        </w:rPr>
        <w:t>(1) An individual who: (i) Is homeless and lives in a place not meant for human habitation, a safe haven, or in an emergency shelter; and (ii) Has been homeless and living or residing in a place not meant for human habitation, a safe haven, or in an emergency shelter continuously for at least one year or on at least four separate occasions in the last 3 years; and (iii) Can be diagnosed with one or more of the following conditions: substance use disorder, serious mental illness, developmental disability (as defined in section 102 of the Developmental Disabilities Assistance Bill of Rights Act of 2000 (42 USC 15002)), post-traumatic stress disorder, cognitive impairments resulting from brain injury, or chronic physical illness or disability;</w:t>
      </w:r>
      <w:r w:rsidR="00B35D98">
        <w:rPr>
          <w:rFonts w:cs="Times New Roman"/>
        </w:rPr>
        <w:t xml:space="preserve"> </w:t>
      </w:r>
      <w:r w:rsidRPr="00A51B1A">
        <w:rPr>
          <w:rFonts w:cs="Times New Roman"/>
        </w:rPr>
        <w:t>(2) An individual who has been residing in an institutional care facility, including a jail, substance abuse or mental health treatment facility, hospital, or other similar facility, for fewer than 90 days and met all of the criteria in paragraph (1) of this definition, before entering that facility; or</w:t>
      </w:r>
      <w:r w:rsidR="00B35D98">
        <w:rPr>
          <w:rFonts w:cs="Times New Roman"/>
        </w:rPr>
        <w:t xml:space="preserve"> </w:t>
      </w:r>
      <w:r w:rsidRPr="00A51B1A">
        <w:rPr>
          <w:rFonts w:cs="Times New Roman"/>
        </w:rPr>
        <w:t>(3) A family with an adult head of household (or if there is no adult in the family, a minor head of household) who meets all of the criteria in paragraph (1) of this definition, including a family whose composition has fluctuated while the head of household has been homeless.</w:t>
      </w:r>
    </w:p>
    <w:p w14:paraId="2361FA0F" w14:textId="77777777" w:rsidR="00552FE5" w:rsidRPr="00552FE5" w:rsidRDefault="00552FE5" w:rsidP="00F1581D">
      <w:pPr>
        <w:pStyle w:val="NoSpacing"/>
        <w:numPr>
          <w:ilvl w:val="2"/>
          <w:numId w:val="28"/>
        </w:numPr>
        <w:ind w:left="540"/>
        <w:rPr>
          <w:rFonts w:cs="Times New Roman"/>
          <w:b/>
        </w:rPr>
      </w:pPr>
      <w:r w:rsidRPr="00552FE5">
        <w:rPr>
          <w:rFonts w:cs="Times New Roman"/>
          <w:b/>
        </w:rPr>
        <w:t>Disabling Condition</w:t>
      </w:r>
    </w:p>
    <w:p w14:paraId="2C665455" w14:textId="282A3DF0" w:rsidR="00BB0872" w:rsidRDefault="00552FE5" w:rsidP="00F1581D">
      <w:pPr>
        <w:pStyle w:val="NoSpacing"/>
        <w:ind w:left="540"/>
        <w:rPr>
          <w:rFonts w:cs="Times New Roman"/>
        </w:rPr>
      </w:pPr>
      <w:r w:rsidRPr="00552FE5">
        <w:rPr>
          <w:rFonts w:cs="Times New Roman"/>
        </w:rPr>
        <w:t>Evidencing a diagnosable substance use disorder, serious mental illness, developmental disability, chronic physical illness, or disability, including the co-occurrence of t</w:t>
      </w:r>
      <w:r>
        <w:rPr>
          <w:rFonts w:cs="Times New Roman"/>
        </w:rPr>
        <w:t>wo or more of these conditions.</w:t>
      </w:r>
      <w:r w:rsidRPr="00552FE5">
        <w:rPr>
          <w:rFonts w:cs="Times New Roman"/>
        </w:rPr>
        <w:t xml:space="preserve"> In addition, a disabling condition may limit an individual’s ability to work or perform one or more activities of daily living. </w:t>
      </w:r>
      <w:r w:rsidR="006B3100">
        <w:rPr>
          <w:rFonts w:cs="Times New Roman"/>
        </w:rPr>
        <w:t xml:space="preserve">In HUD-funded programs, </w:t>
      </w:r>
      <w:r w:rsidRPr="00552FE5">
        <w:rPr>
          <w:rFonts w:cs="Times New Roman"/>
        </w:rPr>
        <w:t>HIV is considered a disabling condition.</w:t>
      </w:r>
    </w:p>
    <w:p w14:paraId="59B924F7" w14:textId="323B6F16" w:rsidR="00552FE5" w:rsidRDefault="00552FE5" w:rsidP="00F1581D">
      <w:pPr>
        <w:pStyle w:val="NoSpacing"/>
        <w:numPr>
          <w:ilvl w:val="2"/>
          <w:numId w:val="28"/>
        </w:numPr>
        <w:ind w:left="540"/>
        <w:rPr>
          <w:rFonts w:cs="Times New Roman"/>
          <w:b/>
        </w:rPr>
      </w:pPr>
      <w:r w:rsidRPr="00552FE5">
        <w:rPr>
          <w:rFonts w:cs="Times New Roman"/>
          <w:b/>
        </w:rPr>
        <w:t>Eligible Individual</w:t>
      </w:r>
    </w:p>
    <w:p w14:paraId="20BEE556" w14:textId="004820F8" w:rsidR="006C7194" w:rsidRDefault="006C7194" w:rsidP="00066B7E">
      <w:pPr>
        <w:pStyle w:val="NoSpacing"/>
        <w:ind w:left="540"/>
        <w:rPr>
          <w:rFonts w:cs="Times New Roman"/>
        </w:rPr>
      </w:pPr>
      <w:r w:rsidRPr="00552FE5">
        <w:rPr>
          <w:rFonts w:cs="Times New Roman"/>
        </w:rPr>
        <w:t xml:space="preserve">The one low-income person </w:t>
      </w:r>
      <w:r>
        <w:rPr>
          <w:rFonts w:cs="Times New Roman"/>
        </w:rPr>
        <w:t>living with HIV (PLWH)</w:t>
      </w:r>
      <w:r w:rsidRPr="00552FE5">
        <w:rPr>
          <w:rFonts w:cs="Times New Roman"/>
        </w:rPr>
        <w:t xml:space="preserve"> who qualifies a household for HOPWA assistance. This person may </w:t>
      </w:r>
      <w:r w:rsidR="00AC20FE">
        <w:rPr>
          <w:rFonts w:cs="Times New Roman"/>
        </w:rPr>
        <w:t>or may not be the</w:t>
      </w:r>
      <w:r w:rsidRPr="00552FE5">
        <w:rPr>
          <w:rFonts w:cs="Times New Roman"/>
        </w:rPr>
        <w:t xml:space="preserve"> </w:t>
      </w:r>
      <w:r w:rsidR="00AC20FE">
        <w:rPr>
          <w:rFonts w:cs="Times New Roman"/>
        </w:rPr>
        <w:t>head of household.</w:t>
      </w:r>
      <w:r w:rsidRPr="00552FE5">
        <w:rPr>
          <w:rFonts w:cs="Times New Roman"/>
        </w:rPr>
        <w:t xml:space="preserve"> When </w:t>
      </w:r>
      <w:r w:rsidR="00252BE3">
        <w:rPr>
          <w:rFonts w:cs="Times New Roman"/>
        </w:rPr>
        <w:t>a performance report</w:t>
      </w:r>
      <w:r w:rsidRPr="00552FE5">
        <w:rPr>
          <w:rFonts w:cs="Times New Roman"/>
        </w:rPr>
        <w:t xml:space="preserve"> asks for information on eligible individuals, report </w:t>
      </w:r>
      <w:r>
        <w:rPr>
          <w:rFonts w:cs="Times New Roman"/>
        </w:rPr>
        <w:t>only this individual person</w:t>
      </w:r>
      <w:r w:rsidRPr="00552FE5">
        <w:rPr>
          <w:rFonts w:cs="Times New Roman"/>
        </w:rPr>
        <w:t xml:space="preserve">. </w:t>
      </w:r>
      <w:r w:rsidR="00AC20FE">
        <w:rPr>
          <w:rFonts w:cs="Times New Roman"/>
        </w:rPr>
        <w:t>When a household has</w:t>
      </w:r>
      <w:r w:rsidRPr="00552FE5">
        <w:rPr>
          <w:rFonts w:cs="Times New Roman"/>
        </w:rPr>
        <w:t xml:space="preserve"> more than one </w:t>
      </w:r>
      <w:r>
        <w:rPr>
          <w:rFonts w:cs="Times New Roman"/>
        </w:rPr>
        <w:t xml:space="preserve">PLWH, the </w:t>
      </w:r>
      <w:r w:rsidR="00AC20FE">
        <w:rPr>
          <w:rFonts w:cs="Times New Roman"/>
        </w:rPr>
        <w:t>program considers them additional beneficiaries</w:t>
      </w:r>
      <w:r w:rsidRPr="00552FE5">
        <w:rPr>
          <w:rFonts w:cs="Times New Roman"/>
        </w:rPr>
        <w:t>.</w:t>
      </w:r>
    </w:p>
    <w:p w14:paraId="278C0D98" w14:textId="77777777" w:rsidR="006C7194" w:rsidRDefault="006C7194" w:rsidP="00F1581D">
      <w:pPr>
        <w:pStyle w:val="NoSpacing"/>
        <w:numPr>
          <w:ilvl w:val="2"/>
          <w:numId w:val="28"/>
        </w:numPr>
        <w:ind w:left="540"/>
        <w:rPr>
          <w:rFonts w:cs="Times New Roman"/>
          <w:b/>
        </w:rPr>
      </w:pPr>
      <w:r w:rsidRPr="00366F7C">
        <w:rPr>
          <w:rFonts w:cs="Times New Roman"/>
          <w:b/>
        </w:rPr>
        <w:t>Facility</w:t>
      </w:r>
      <w:r>
        <w:rPr>
          <w:rFonts w:cs="Times New Roman"/>
          <w:b/>
        </w:rPr>
        <w:t>-Based Housing Assistance (FBHA)</w:t>
      </w:r>
    </w:p>
    <w:p w14:paraId="547F2024" w14:textId="14FF9B0F" w:rsidR="006B5D3C" w:rsidRDefault="006B5D3C" w:rsidP="00F1581D">
      <w:pPr>
        <w:pStyle w:val="NoSpacing"/>
        <w:ind w:left="540"/>
        <w:rPr>
          <w:rFonts w:cs="Times New Roman"/>
        </w:rPr>
      </w:pPr>
      <w:r>
        <w:rPr>
          <w:rFonts w:cs="Times New Roman"/>
        </w:rPr>
        <w:lastRenderedPageBreak/>
        <w:t>All eligible HOPWA h</w:t>
      </w:r>
      <w:r w:rsidRPr="006B5D3C">
        <w:rPr>
          <w:rFonts w:cs="Times New Roman"/>
        </w:rPr>
        <w:t>ousing</w:t>
      </w:r>
      <w:r>
        <w:rPr>
          <w:rFonts w:cs="Times New Roman"/>
        </w:rPr>
        <w:t xml:space="preserve"> assistance</w:t>
      </w:r>
      <w:r w:rsidRPr="006B5D3C">
        <w:rPr>
          <w:rFonts w:cs="Times New Roman"/>
        </w:rPr>
        <w:t xml:space="preserve"> expenditures for or associated with </w:t>
      </w:r>
      <w:r>
        <w:rPr>
          <w:rFonts w:cs="Times New Roman"/>
        </w:rPr>
        <w:t>supportive housing</w:t>
      </w:r>
      <w:r w:rsidRPr="006B5D3C">
        <w:rPr>
          <w:rFonts w:cs="Times New Roman"/>
        </w:rPr>
        <w:t xml:space="preserve"> facilities including community residences, </w:t>
      </w:r>
      <w:r>
        <w:rPr>
          <w:rFonts w:cs="Times New Roman"/>
        </w:rPr>
        <w:t>single-room occupancy (SRO)</w:t>
      </w:r>
      <w:r w:rsidRPr="006B5D3C">
        <w:rPr>
          <w:rFonts w:cs="Times New Roman"/>
        </w:rPr>
        <w:t xml:space="preserve"> dwellings, short-term facilities, project-based rental </w:t>
      </w:r>
      <w:r w:rsidR="001E6006">
        <w:rPr>
          <w:rFonts w:cs="Times New Roman"/>
        </w:rPr>
        <w:t xml:space="preserve">assistance </w:t>
      </w:r>
      <w:r w:rsidRPr="006B5D3C">
        <w:rPr>
          <w:rFonts w:cs="Times New Roman"/>
        </w:rPr>
        <w:t>units, master leased units, and other housing facilities approved by HUD.</w:t>
      </w:r>
    </w:p>
    <w:p w14:paraId="4EE10A8C" w14:textId="300F7375" w:rsidR="00C72CB5" w:rsidRDefault="00A64C0C" w:rsidP="00F1581D">
      <w:pPr>
        <w:pStyle w:val="NoSpacing"/>
        <w:numPr>
          <w:ilvl w:val="2"/>
          <w:numId w:val="28"/>
        </w:numPr>
        <w:ind w:left="540"/>
        <w:rPr>
          <w:rFonts w:cs="Times New Roman"/>
          <w:b/>
        </w:rPr>
      </w:pPr>
      <w:r>
        <w:rPr>
          <w:rFonts w:cs="Times New Roman"/>
          <w:b/>
        </w:rPr>
        <w:t>Facility-B</w:t>
      </w:r>
      <w:r w:rsidR="00C72CB5">
        <w:rPr>
          <w:rFonts w:cs="Times New Roman"/>
          <w:b/>
        </w:rPr>
        <w:t xml:space="preserve">ased Rental Assistance </w:t>
      </w:r>
      <w:r w:rsidR="009431A2">
        <w:rPr>
          <w:rFonts w:cs="Times New Roman"/>
          <w:b/>
        </w:rPr>
        <w:t>(FBRA) Services</w:t>
      </w:r>
    </w:p>
    <w:p w14:paraId="5BCD2D03" w14:textId="7798EB68" w:rsidR="00F1581D" w:rsidRPr="00066B7E" w:rsidRDefault="00F1581D" w:rsidP="00066B7E">
      <w:pPr>
        <w:pStyle w:val="NoSpacing"/>
        <w:ind w:left="540"/>
        <w:rPr>
          <w:rFonts w:cs="Times New Roman"/>
        </w:rPr>
      </w:pPr>
      <w:r w:rsidRPr="00066B7E">
        <w:rPr>
          <w:rFonts w:cs="Times New Roman"/>
        </w:rPr>
        <w:t xml:space="preserve">A rental assistance service </w:t>
      </w:r>
      <w:proofErr w:type="gramStart"/>
      <w:r w:rsidRPr="00066B7E">
        <w:rPr>
          <w:rFonts w:cs="Times New Roman"/>
        </w:rPr>
        <w:t>similar to</w:t>
      </w:r>
      <w:proofErr w:type="gramEnd"/>
      <w:r w:rsidRPr="00066B7E">
        <w:rPr>
          <w:rFonts w:cs="Times New Roman"/>
        </w:rPr>
        <w:t xml:space="preserve"> public housing that helps low-income households access affordable housing (see “Rental Assistance”). Unlike tenant-based rental assistance, </w:t>
      </w:r>
      <w:r w:rsidR="00BB1AF9">
        <w:rPr>
          <w:rFonts w:cs="Times New Roman"/>
        </w:rPr>
        <w:t>services link</w:t>
      </w:r>
      <w:r w:rsidRPr="00066B7E">
        <w:rPr>
          <w:rFonts w:cs="Times New Roman"/>
        </w:rPr>
        <w:t xml:space="preserve"> to a specific </w:t>
      </w:r>
      <w:r w:rsidR="00BB1AF9">
        <w:rPr>
          <w:rFonts w:cs="Times New Roman"/>
        </w:rPr>
        <w:t>unit or building</w:t>
      </w:r>
      <w:r w:rsidRPr="00066B7E">
        <w:rPr>
          <w:rFonts w:cs="Times New Roman"/>
        </w:rPr>
        <w:t>.</w:t>
      </w:r>
      <w:r w:rsidR="009E69C1">
        <w:rPr>
          <w:rFonts w:cs="Times New Roman"/>
        </w:rPr>
        <w:t xml:space="preserve"> </w:t>
      </w:r>
      <w:r w:rsidR="009E69C1" w:rsidRPr="009E69C1">
        <w:rPr>
          <w:rFonts w:cs="Times New Roman"/>
        </w:rPr>
        <w:t>If a household moves out of their unit, they cannot transfer their assistance to another unit.</w:t>
      </w:r>
      <w:r w:rsidRPr="00066B7E">
        <w:rPr>
          <w:rFonts w:cs="Times New Roman"/>
        </w:rPr>
        <w:t xml:space="preserve"> </w:t>
      </w:r>
      <w:r w:rsidR="00BB1AF9" w:rsidRPr="00BB1AF9">
        <w:rPr>
          <w:rFonts w:cs="Times New Roman"/>
        </w:rPr>
        <w:t>The subsidy amount depends on several factors, including household income and rental costs associated with the household’s lease</w:t>
      </w:r>
      <w:r w:rsidR="00BB1AF9">
        <w:rPr>
          <w:rFonts w:cs="Times New Roman"/>
        </w:rPr>
        <w:t xml:space="preserve"> or sublease</w:t>
      </w:r>
      <w:r w:rsidR="00BB1AF9" w:rsidRPr="00BB1AF9">
        <w:rPr>
          <w:rFonts w:cs="Times New Roman"/>
        </w:rPr>
        <w:t>.</w:t>
      </w:r>
      <w:r w:rsidR="00BB1AF9">
        <w:rPr>
          <w:rFonts w:cs="Times New Roman"/>
        </w:rPr>
        <w:t xml:space="preserve"> </w:t>
      </w:r>
      <w:r w:rsidRPr="00066B7E">
        <w:rPr>
          <w:rFonts w:cs="Times New Roman"/>
        </w:rPr>
        <w:t>If the Project Sponsor owns the facility, the rental assistance is classified as project-based rental assistance (</w:t>
      </w:r>
      <w:proofErr w:type="spellStart"/>
      <w:r w:rsidRPr="00066B7E">
        <w:rPr>
          <w:rFonts w:cs="Times New Roman"/>
        </w:rPr>
        <w:t>PBRA</w:t>
      </w:r>
      <w:proofErr w:type="spellEnd"/>
      <w:r w:rsidRPr="00066B7E">
        <w:rPr>
          <w:rFonts w:cs="Times New Roman"/>
        </w:rPr>
        <w:t>). If the Project Sponsor leases the facility, the rental assistance is classified as master leasing.</w:t>
      </w:r>
    </w:p>
    <w:p w14:paraId="56F674BC" w14:textId="77777777" w:rsidR="00252BE3" w:rsidRDefault="00252BE3" w:rsidP="00F1581D">
      <w:pPr>
        <w:pStyle w:val="NoSpacing"/>
        <w:numPr>
          <w:ilvl w:val="2"/>
          <w:numId w:val="28"/>
        </w:numPr>
        <w:ind w:left="540"/>
        <w:rPr>
          <w:rFonts w:cs="Times New Roman"/>
          <w:b/>
        </w:rPr>
      </w:pPr>
      <w:r w:rsidRPr="00252BE3">
        <w:rPr>
          <w:rFonts w:cs="Times New Roman"/>
          <w:b/>
        </w:rPr>
        <w:t>Faith-Based Organization</w:t>
      </w:r>
    </w:p>
    <w:p w14:paraId="0F123B1E" w14:textId="442EEAE7" w:rsidR="00252BE3" w:rsidRDefault="00252BE3" w:rsidP="00DE48B8">
      <w:pPr>
        <w:pStyle w:val="NoSpacing"/>
        <w:ind w:left="540"/>
        <w:rPr>
          <w:rFonts w:cs="Times New Roman"/>
          <w:b/>
        </w:rPr>
      </w:pPr>
      <w:r w:rsidRPr="00DE48B8">
        <w:rPr>
          <w:rFonts w:cs="Times New Roman"/>
          <w:bCs/>
        </w:rPr>
        <w:t>Religious organizations of three types: (1) congregations; (2) national networks, which include national denominations, their social service arms (for example, Catholic Charities, Lutheran Social Services), and networks of related organizations (such as YMCA and YWCA); and (3) freestanding religious organizations, which are incorporated separately from congregations and national networks.</w:t>
      </w:r>
    </w:p>
    <w:p w14:paraId="47A9C5D7" w14:textId="19669296" w:rsidR="00F1581D" w:rsidRDefault="00F1581D" w:rsidP="00F1581D">
      <w:pPr>
        <w:pStyle w:val="NoSpacing"/>
        <w:numPr>
          <w:ilvl w:val="2"/>
          <w:numId w:val="28"/>
        </w:numPr>
        <w:ind w:left="540"/>
        <w:rPr>
          <w:rFonts w:cs="Times New Roman"/>
          <w:b/>
        </w:rPr>
      </w:pPr>
      <w:r>
        <w:rPr>
          <w:rFonts w:cs="Times New Roman"/>
          <w:b/>
        </w:rPr>
        <w:t>Family</w:t>
      </w:r>
    </w:p>
    <w:p w14:paraId="40EE2836" w14:textId="1FA0B832" w:rsidR="001411AF" w:rsidRPr="00BB2C8B" w:rsidRDefault="001411AF" w:rsidP="00F1581D">
      <w:pPr>
        <w:pStyle w:val="NoSpacing"/>
        <w:ind w:left="540"/>
        <w:rPr>
          <w:rFonts w:cs="Times New Roman"/>
        </w:rPr>
      </w:pPr>
      <w:r w:rsidRPr="00BB2C8B">
        <w:rPr>
          <w:rFonts w:cs="Times New Roman"/>
        </w:rPr>
        <w:t xml:space="preserve">Per 24 CFR §574.3, the program defines family as </w:t>
      </w:r>
      <w:r w:rsidR="00F514C1">
        <w:rPr>
          <w:rFonts w:cs="Times New Roman"/>
        </w:rPr>
        <w:t xml:space="preserve">it is </w:t>
      </w:r>
      <w:r w:rsidRPr="00BB2C8B">
        <w:rPr>
          <w:rFonts w:cs="Times New Roman"/>
        </w:rPr>
        <w:t>defined in 24 CFR §5.403. Fami</w:t>
      </w:r>
      <w:r>
        <w:rPr>
          <w:rFonts w:cs="Times New Roman"/>
        </w:rPr>
        <w:t xml:space="preserve">ly </w:t>
      </w:r>
      <w:r w:rsidRPr="00BB2C8B">
        <w:rPr>
          <w:rFonts w:cs="Times New Roman"/>
        </w:rPr>
        <w:t>includes, but is not limited to, the following, regardless of actual or perceived sexual orientation, gender identity, or marital status:</w:t>
      </w:r>
    </w:p>
    <w:p w14:paraId="0B8971BE" w14:textId="77777777" w:rsidR="001411AF" w:rsidRDefault="001411AF" w:rsidP="00F1581D">
      <w:pPr>
        <w:pStyle w:val="NoSpacing"/>
        <w:numPr>
          <w:ilvl w:val="4"/>
          <w:numId w:val="99"/>
        </w:numPr>
        <w:ind w:left="900"/>
        <w:rPr>
          <w:rFonts w:cs="Times New Roman"/>
        </w:rPr>
      </w:pPr>
      <w:r w:rsidRPr="00BB2C8B">
        <w:rPr>
          <w:rFonts w:cs="Times New Roman"/>
        </w:rPr>
        <w:t>A single person, who may be an elderly person, displaced person, disabled person, near-elderly person, or any other single person; or</w:t>
      </w:r>
    </w:p>
    <w:p w14:paraId="32DD3C7F" w14:textId="77777777" w:rsidR="001411AF" w:rsidRDefault="001411AF" w:rsidP="00F1581D">
      <w:pPr>
        <w:pStyle w:val="NoSpacing"/>
        <w:numPr>
          <w:ilvl w:val="4"/>
          <w:numId w:val="99"/>
        </w:numPr>
        <w:ind w:left="900"/>
        <w:rPr>
          <w:rFonts w:cs="Times New Roman"/>
        </w:rPr>
      </w:pPr>
      <w:r w:rsidRPr="00BB2C8B">
        <w:rPr>
          <w:rFonts w:cs="Times New Roman"/>
        </w:rPr>
        <w:t>A group of persons residing together, and such group includes, but is not limited to:</w:t>
      </w:r>
    </w:p>
    <w:p w14:paraId="6C66AFFF" w14:textId="77777777" w:rsidR="001411AF" w:rsidRDefault="001411AF" w:rsidP="00F1581D">
      <w:pPr>
        <w:pStyle w:val="NoSpacing"/>
        <w:numPr>
          <w:ilvl w:val="5"/>
          <w:numId w:val="99"/>
        </w:numPr>
        <w:ind w:left="1080" w:hanging="180"/>
        <w:rPr>
          <w:rFonts w:cs="Times New Roman"/>
        </w:rPr>
      </w:pPr>
      <w:r w:rsidRPr="00BB2C8B">
        <w:rPr>
          <w:rFonts w:cs="Times New Roman"/>
        </w:rPr>
        <w:t>A family with or without children (a child who is temporarily away from the home because of placement in foster care is considered a member of the family);</w:t>
      </w:r>
    </w:p>
    <w:p w14:paraId="3A7ABE00" w14:textId="77777777" w:rsidR="001411AF" w:rsidRDefault="001411AF" w:rsidP="00F1581D">
      <w:pPr>
        <w:pStyle w:val="NoSpacing"/>
        <w:numPr>
          <w:ilvl w:val="5"/>
          <w:numId w:val="99"/>
        </w:numPr>
        <w:ind w:left="1080" w:hanging="180"/>
        <w:rPr>
          <w:rFonts w:cs="Times New Roman"/>
        </w:rPr>
      </w:pPr>
      <w:r w:rsidRPr="00BB2C8B">
        <w:rPr>
          <w:rFonts w:cs="Times New Roman"/>
        </w:rPr>
        <w:t>An elderly family;</w:t>
      </w:r>
    </w:p>
    <w:p w14:paraId="11D7E34A" w14:textId="77777777" w:rsidR="001411AF" w:rsidRDefault="001411AF" w:rsidP="00F1581D">
      <w:pPr>
        <w:pStyle w:val="NoSpacing"/>
        <w:numPr>
          <w:ilvl w:val="5"/>
          <w:numId w:val="99"/>
        </w:numPr>
        <w:ind w:left="1080" w:hanging="180"/>
        <w:rPr>
          <w:rFonts w:cs="Times New Roman"/>
        </w:rPr>
      </w:pPr>
      <w:r w:rsidRPr="00BB2C8B">
        <w:rPr>
          <w:rFonts w:cs="Times New Roman"/>
        </w:rPr>
        <w:t>A near-elderly family;</w:t>
      </w:r>
    </w:p>
    <w:p w14:paraId="223746D5" w14:textId="77777777" w:rsidR="001411AF" w:rsidRDefault="001411AF" w:rsidP="00F1581D">
      <w:pPr>
        <w:pStyle w:val="NoSpacing"/>
        <w:numPr>
          <w:ilvl w:val="5"/>
          <w:numId w:val="99"/>
        </w:numPr>
        <w:ind w:left="1080" w:hanging="180"/>
        <w:rPr>
          <w:rFonts w:cs="Times New Roman"/>
        </w:rPr>
      </w:pPr>
      <w:r w:rsidRPr="00BB2C8B">
        <w:rPr>
          <w:rFonts w:cs="Times New Roman"/>
        </w:rPr>
        <w:t>A disabled family;</w:t>
      </w:r>
    </w:p>
    <w:p w14:paraId="3DA50EA7" w14:textId="77777777" w:rsidR="001411AF" w:rsidRDefault="001411AF" w:rsidP="00F1581D">
      <w:pPr>
        <w:pStyle w:val="NoSpacing"/>
        <w:numPr>
          <w:ilvl w:val="5"/>
          <w:numId w:val="99"/>
        </w:numPr>
        <w:ind w:left="1080" w:hanging="180"/>
        <w:rPr>
          <w:rFonts w:cs="Times New Roman"/>
        </w:rPr>
      </w:pPr>
      <w:r w:rsidRPr="00BB2C8B">
        <w:rPr>
          <w:rFonts w:cs="Times New Roman"/>
        </w:rPr>
        <w:t>A displaced family; and</w:t>
      </w:r>
    </w:p>
    <w:p w14:paraId="002FFC21" w14:textId="77777777" w:rsidR="001411AF" w:rsidRPr="00BB2C8B" w:rsidRDefault="001411AF" w:rsidP="00F1581D">
      <w:pPr>
        <w:pStyle w:val="NoSpacing"/>
        <w:numPr>
          <w:ilvl w:val="5"/>
          <w:numId w:val="99"/>
        </w:numPr>
        <w:ind w:left="1080" w:hanging="180"/>
        <w:rPr>
          <w:rFonts w:cs="Times New Roman"/>
        </w:rPr>
      </w:pPr>
      <w:r w:rsidRPr="00D803F1">
        <w:rPr>
          <w:rFonts w:cs="Times New Roman"/>
        </w:rPr>
        <w:t>The remaining member of a tenant family.</w:t>
      </w:r>
    </w:p>
    <w:p w14:paraId="342AB427" w14:textId="2D19CB89" w:rsidR="001411AF" w:rsidRDefault="00B21A8D" w:rsidP="00F1581D">
      <w:pPr>
        <w:pStyle w:val="NoSpacing"/>
        <w:ind w:left="540"/>
        <w:rPr>
          <w:rFonts w:cs="Times New Roman"/>
        </w:rPr>
      </w:pPr>
      <w:r>
        <w:rPr>
          <w:rFonts w:cs="Times New Roman"/>
        </w:rPr>
        <w:t>F</w:t>
      </w:r>
      <w:r w:rsidR="001411AF">
        <w:rPr>
          <w:rFonts w:cs="Times New Roman"/>
        </w:rPr>
        <w:t xml:space="preserve">amily </w:t>
      </w:r>
      <w:r w:rsidR="001411AF" w:rsidRPr="007F3CAB">
        <w:rPr>
          <w:rFonts w:cs="Times New Roman"/>
        </w:rPr>
        <w:t xml:space="preserve">includes one or more eligible persons living with another person or persons, regardless of actual or perceived sexual orientation, gender identity, or marital status, important to the eligible person or person's care or </w:t>
      </w:r>
      <w:proofErr w:type="gramStart"/>
      <w:r w:rsidR="008B5649">
        <w:rPr>
          <w:rFonts w:cs="Times New Roman"/>
        </w:rPr>
        <w:t>welfare</w:t>
      </w:r>
      <w:r w:rsidR="001411AF" w:rsidRPr="007F3CAB">
        <w:rPr>
          <w:rFonts w:cs="Times New Roman"/>
        </w:rPr>
        <w:t>, and</w:t>
      </w:r>
      <w:proofErr w:type="gramEnd"/>
      <w:r w:rsidR="001411AF" w:rsidRPr="007F3CAB">
        <w:rPr>
          <w:rFonts w:cs="Times New Roman"/>
        </w:rPr>
        <w:t xml:space="preserve"> </w:t>
      </w:r>
      <w:r w:rsidR="00D84EF8">
        <w:rPr>
          <w:rFonts w:cs="Times New Roman"/>
        </w:rPr>
        <w:t>surviving</w:t>
      </w:r>
      <w:r w:rsidR="001411AF" w:rsidRPr="007F3CAB">
        <w:rPr>
          <w:rFonts w:cs="Times New Roman"/>
        </w:rPr>
        <w:t xml:space="preserve"> members of any family described in this definition who were living in a unit assisted under the </w:t>
      </w:r>
      <w:r w:rsidR="001411AF">
        <w:rPr>
          <w:rFonts w:cs="Times New Roman"/>
        </w:rPr>
        <w:t xml:space="preserve">program with the </w:t>
      </w:r>
      <w:r w:rsidR="006B3100">
        <w:rPr>
          <w:rFonts w:cs="Times New Roman"/>
        </w:rPr>
        <w:t>PLWH</w:t>
      </w:r>
      <w:r w:rsidR="001411AF">
        <w:rPr>
          <w:rFonts w:cs="Times New Roman"/>
        </w:rPr>
        <w:t xml:space="preserve"> </w:t>
      </w:r>
      <w:r w:rsidR="001411AF" w:rsidRPr="007F3CAB">
        <w:rPr>
          <w:rFonts w:cs="Times New Roman"/>
        </w:rPr>
        <w:t xml:space="preserve">at the time of </w:t>
      </w:r>
      <w:r w:rsidR="0041765C">
        <w:rPr>
          <w:rFonts w:cs="Times New Roman"/>
        </w:rPr>
        <w:t xml:space="preserve">their death. </w:t>
      </w:r>
      <w:r w:rsidR="001411AF">
        <w:rPr>
          <w:rFonts w:cs="Times New Roman"/>
        </w:rPr>
        <w:t>The language of these regulations, as amended by the “</w:t>
      </w:r>
      <w:hyperlink r:id="rId15" w:history="1">
        <w:r w:rsidR="001411AF" w:rsidRPr="00A772B3">
          <w:rPr>
            <w:rStyle w:val="Hyperlink"/>
            <w:rFonts w:cs="Times New Roman"/>
          </w:rPr>
          <w:t>Equal Access to Housing in HUD Programs Regardless of Sexual Orientation or Gender Identity Final Rule</w:t>
        </w:r>
      </w:hyperlink>
      <w:r w:rsidR="001411AF">
        <w:rPr>
          <w:rFonts w:cs="Times New Roman"/>
        </w:rPr>
        <w:t xml:space="preserve">,” </w:t>
      </w:r>
      <w:r w:rsidR="001411AF" w:rsidRPr="008C2927">
        <w:rPr>
          <w:rFonts w:cs="Times New Roman"/>
        </w:rPr>
        <w:t>ensure</w:t>
      </w:r>
      <w:r w:rsidR="001411AF">
        <w:rPr>
          <w:rFonts w:cs="Times New Roman"/>
        </w:rPr>
        <w:t>s</w:t>
      </w:r>
      <w:r w:rsidR="001411AF" w:rsidRPr="008C2927">
        <w:rPr>
          <w:rFonts w:cs="Times New Roman"/>
        </w:rPr>
        <w:t xml:space="preserve"> that </w:t>
      </w:r>
      <w:r w:rsidR="001411AF">
        <w:rPr>
          <w:rFonts w:cs="Times New Roman"/>
        </w:rPr>
        <w:t>HUD’s</w:t>
      </w:r>
      <w:r w:rsidR="001411AF" w:rsidRPr="008C2927">
        <w:rPr>
          <w:rFonts w:cs="Times New Roman"/>
        </w:rPr>
        <w:t xml:space="preserve"> core</w:t>
      </w:r>
      <w:r w:rsidR="001411AF">
        <w:rPr>
          <w:rFonts w:cs="Times New Roman"/>
        </w:rPr>
        <w:t xml:space="preserve"> </w:t>
      </w:r>
      <w:r w:rsidR="001411AF" w:rsidRPr="008C2927">
        <w:rPr>
          <w:rFonts w:cs="Times New Roman"/>
        </w:rPr>
        <w:t xml:space="preserve">programs </w:t>
      </w:r>
      <w:r w:rsidR="0043454E">
        <w:rPr>
          <w:rFonts w:cs="Times New Roman"/>
        </w:rPr>
        <w:t>remain</w:t>
      </w:r>
      <w:r w:rsidR="0043454E" w:rsidRPr="008C2927">
        <w:rPr>
          <w:rFonts w:cs="Times New Roman"/>
        </w:rPr>
        <w:t xml:space="preserve"> </w:t>
      </w:r>
      <w:r w:rsidR="001411AF" w:rsidRPr="008C2927">
        <w:rPr>
          <w:rFonts w:cs="Times New Roman"/>
        </w:rPr>
        <w:t xml:space="preserve">open to all eligible individuals and families regardless of </w:t>
      </w:r>
      <w:r w:rsidR="001411AF">
        <w:rPr>
          <w:rFonts w:cs="Times New Roman"/>
        </w:rPr>
        <w:t xml:space="preserve">actual or perceived </w:t>
      </w:r>
      <w:r w:rsidR="001411AF" w:rsidRPr="008C2927">
        <w:rPr>
          <w:rFonts w:cs="Times New Roman"/>
        </w:rPr>
        <w:t>sexual orientation,</w:t>
      </w:r>
      <w:r w:rsidR="001411AF">
        <w:rPr>
          <w:rFonts w:cs="Times New Roman"/>
        </w:rPr>
        <w:t xml:space="preserve"> </w:t>
      </w:r>
      <w:r w:rsidR="001411AF" w:rsidRPr="008C2927">
        <w:rPr>
          <w:rFonts w:cs="Times New Roman"/>
        </w:rPr>
        <w:t>gend</w:t>
      </w:r>
      <w:r w:rsidR="00427671">
        <w:rPr>
          <w:rFonts w:cs="Times New Roman"/>
        </w:rPr>
        <w:t>er identity, or marital status.</w:t>
      </w:r>
      <w:r w:rsidR="00C133D8">
        <w:rPr>
          <w:rFonts w:cs="Times New Roman"/>
        </w:rPr>
        <w:t xml:space="preserve"> </w:t>
      </w:r>
      <w:r w:rsidR="001411AF">
        <w:rPr>
          <w:rFonts w:cs="Times New Roman"/>
        </w:rPr>
        <w:t>This means that</w:t>
      </w:r>
      <w:r w:rsidR="001411AF" w:rsidRPr="008C2927">
        <w:rPr>
          <w:rFonts w:cs="Times New Roman"/>
        </w:rPr>
        <w:t xml:space="preserve"> any group of people that present together for assistance and i</w:t>
      </w:r>
      <w:r w:rsidR="001411AF">
        <w:rPr>
          <w:rFonts w:cs="Times New Roman"/>
        </w:rPr>
        <w:t xml:space="preserve">dentify themselves as a family – regardless </w:t>
      </w:r>
      <w:r w:rsidR="001411AF" w:rsidRPr="008C2927">
        <w:rPr>
          <w:rFonts w:cs="Times New Roman"/>
        </w:rPr>
        <w:t xml:space="preserve">of </w:t>
      </w:r>
      <w:r w:rsidR="001411AF">
        <w:rPr>
          <w:rFonts w:cs="Times New Roman"/>
        </w:rPr>
        <w:t xml:space="preserve">relationship, </w:t>
      </w:r>
      <w:r w:rsidR="001411AF" w:rsidRPr="008C2927">
        <w:rPr>
          <w:rFonts w:cs="Times New Roman"/>
        </w:rPr>
        <w:t>age</w:t>
      </w:r>
      <w:r w:rsidR="001411AF">
        <w:rPr>
          <w:rFonts w:cs="Times New Roman"/>
        </w:rPr>
        <w:t>, disability,</w:t>
      </w:r>
      <w:r w:rsidR="001411AF" w:rsidRPr="008C2927">
        <w:rPr>
          <w:rFonts w:cs="Times New Roman"/>
        </w:rPr>
        <w:t xml:space="preserve"> or other factors</w:t>
      </w:r>
      <w:r w:rsidR="001411AF">
        <w:rPr>
          <w:rFonts w:cs="Times New Roman"/>
        </w:rPr>
        <w:t xml:space="preserve"> – are </w:t>
      </w:r>
      <w:r w:rsidR="001411AF" w:rsidRPr="008C2927">
        <w:rPr>
          <w:rFonts w:cs="Times New Roman"/>
        </w:rPr>
        <w:t xml:space="preserve">considered a family and </w:t>
      </w:r>
      <w:r w:rsidR="00F036F4">
        <w:rPr>
          <w:rFonts w:cs="Times New Roman"/>
        </w:rPr>
        <w:t xml:space="preserve">Project Sponsors </w:t>
      </w:r>
      <w:r w:rsidR="001411AF" w:rsidRPr="008C2927">
        <w:rPr>
          <w:rFonts w:cs="Times New Roman"/>
        </w:rPr>
        <w:t>serve</w:t>
      </w:r>
      <w:r w:rsidR="00F036F4">
        <w:rPr>
          <w:rFonts w:cs="Times New Roman"/>
        </w:rPr>
        <w:t xml:space="preserve"> them</w:t>
      </w:r>
      <w:r w:rsidR="001411AF" w:rsidRPr="008C2927">
        <w:rPr>
          <w:rFonts w:cs="Times New Roman"/>
        </w:rPr>
        <w:t xml:space="preserve"> together as such. Further, </w:t>
      </w:r>
      <w:r w:rsidR="001411AF">
        <w:rPr>
          <w:rFonts w:cs="Times New Roman"/>
        </w:rPr>
        <w:t>Project Sponsors</w:t>
      </w:r>
      <w:r w:rsidR="001411AF" w:rsidRPr="008C2927">
        <w:rPr>
          <w:rFonts w:cs="Times New Roman"/>
        </w:rPr>
        <w:t xml:space="preserve"> cannot discriminate against a group of people presenting as a family based on the composition of the family, the age </w:t>
      </w:r>
      <w:r w:rsidR="001411AF">
        <w:rPr>
          <w:rFonts w:cs="Times New Roman"/>
        </w:rPr>
        <w:t xml:space="preserve">or disability of any family members, or the actual or perceived </w:t>
      </w:r>
      <w:r w:rsidR="001411AF" w:rsidRPr="007F3CAB">
        <w:rPr>
          <w:rFonts w:cs="Times New Roman"/>
        </w:rPr>
        <w:t>sexual orientation, gender identity, or marital status</w:t>
      </w:r>
      <w:r w:rsidR="0041765C">
        <w:rPr>
          <w:rFonts w:cs="Times New Roman"/>
        </w:rPr>
        <w:t xml:space="preserve"> of any family members.</w:t>
      </w:r>
      <w:r w:rsidR="00427671">
        <w:rPr>
          <w:rFonts w:cs="Times New Roman"/>
        </w:rPr>
        <w:t xml:space="preserve"> </w:t>
      </w:r>
      <w:r w:rsidR="001411AF" w:rsidRPr="006234DC">
        <w:rPr>
          <w:rFonts w:cs="Times New Roman"/>
        </w:rPr>
        <w:t xml:space="preserve">HUD has broadly </w:t>
      </w:r>
      <w:r w:rsidR="001411AF">
        <w:rPr>
          <w:rFonts w:cs="Times New Roman"/>
        </w:rPr>
        <w:t>implemented</w:t>
      </w:r>
      <w:r w:rsidR="001411AF" w:rsidRPr="006234DC">
        <w:rPr>
          <w:rFonts w:cs="Times New Roman"/>
        </w:rPr>
        <w:t xml:space="preserve"> the term “household” </w:t>
      </w:r>
      <w:r w:rsidR="001411AF">
        <w:rPr>
          <w:rFonts w:cs="Times New Roman"/>
        </w:rPr>
        <w:t>in place of</w:t>
      </w:r>
      <w:r w:rsidR="001411AF" w:rsidRPr="006234DC">
        <w:rPr>
          <w:rFonts w:cs="Times New Roman"/>
        </w:rPr>
        <w:t xml:space="preserve"> “family.”</w:t>
      </w:r>
    </w:p>
    <w:p w14:paraId="58E49660" w14:textId="129D6431" w:rsidR="00552FE5" w:rsidRPr="00552FE5" w:rsidRDefault="001411AF" w:rsidP="00F1581D">
      <w:pPr>
        <w:pStyle w:val="NoSpacing"/>
        <w:ind w:left="540"/>
        <w:rPr>
          <w:rFonts w:cs="Times New Roman"/>
          <w:b/>
        </w:rPr>
      </w:pPr>
      <w:r w:rsidRPr="00BB0872">
        <w:rPr>
          <w:rFonts w:cs="Times New Roman"/>
          <w:b/>
          <w:color w:val="C00000"/>
        </w:rPr>
        <w:t>NOTE:</w:t>
      </w:r>
      <w:r w:rsidRPr="00BB0872">
        <w:rPr>
          <w:rFonts w:cs="Times New Roman"/>
          <w:color w:val="C00000"/>
        </w:rPr>
        <w:t xml:space="preserve"> The old definition of “family,” (</w:t>
      </w:r>
      <w:r w:rsidR="0041765C">
        <w:rPr>
          <w:rFonts w:cs="Times New Roman"/>
          <w:color w:val="C00000"/>
        </w:rPr>
        <w:t>persons related by blood or marriage</w:t>
      </w:r>
      <w:r>
        <w:rPr>
          <w:rFonts w:cs="Times New Roman"/>
          <w:color w:val="C00000"/>
        </w:rPr>
        <w:t xml:space="preserve">) is </w:t>
      </w:r>
      <w:r w:rsidR="0041765C">
        <w:rPr>
          <w:rFonts w:cs="Times New Roman"/>
          <w:color w:val="C00000"/>
        </w:rPr>
        <w:t>not used.</w:t>
      </w:r>
      <w:r>
        <w:rPr>
          <w:rFonts w:cs="Times New Roman"/>
          <w:color w:val="C00000"/>
        </w:rPr>
        <w:t xml:space="preserve"> See “Househol</w:t>
      </w:r>
      <w:r w:rsidR="0049344A">
        <w:rPr>
          <w:rFonts w:cs="Times New Roman"/>
          <w:color w:val="C00000"/>
        </w:rPr>
        <w:t>d.”</w:t>
      </w:r>
    </w:p>
    <w:p w14:paraId="1282A2BD" w14:textId="77777777" w:rsidR="00252BE3" w:rsidRDefault="00252BE3" w:rsidP="00F1581D">
      <w:pPr>
        <w:pStyle w:val="NoSpacing"/>
        <w:numPr>
          <w:ilvl w:val="2"/>
          <w:numId w:val="28"/>
        </w:numPr>
        <w:ind w:left="540"/>
        <w:rPr>
          <w:rFonts w:cs="Times New Roman"/>
          <w:b/>
        </w:rPr>
      </w:pPr>
      <w:r w:rsidRPr="00252BE3">
        <w:rPr>
          <w:rFonts w:cs="Times New Roman"/>
          <w:b/>
        </w:rPr>
        <w:t>Grassroots Organization</w:t>
      </w:r>
    </w:p>
    <w:p w14:paraId="5A8EA985" w14:textId="2C74A8F6" w:rsidR="00252BE3" w:rsidRPr="00DE48B8" w:rsidRDefault="00252BE3" w:rsidP="00DE48B8">
      <w:pPr>
        <w:pStyle w:val="NoSpacing"/>
        <w:ind w:left="540"/>
        <w:rPr>
          <w:rFonts w:cs="Times New Roman"/>
          <w:bCs/>
        </w:rPr>
      </w:pPr>
      <w:r w:rsidRPr="00DE48B8">
        <w:rPr>
          <w:rFonts w:cs="Times New Roman"/>
          <w:bCs/>
        </w:rPr>
        <w:t>An organization headquartered in the local community where it provides services; has a social services budget of $300,000 or less annually, and six or fewer full-time equivalent employees. Local affiliates of national organizations are not considered “grassroots.”</w:t>
      </w:r>
    </w:p>
    <w:p w14:paraId="1384CD34" w14:textId="47E941D0" w:rsidR="00C16DD7" w:rsidRDefault="00C16DD7" w:rsidP="00F1581D">
      <w:pPr>
        <w:pStyle w:val="NoSpacing"/>
        <w:numPr>
          <w:ilvl w:val="2"/>
          <w:numId w:val="28"/>
        </w:numPr>
        <w:ind w:left="540"/>
        <w:rPr>
          <w:rFonts w:cs="Times New Roman"/>
          <w:b/>
        </w:rPr>
      </w:pPr>
      <w:r>
        <w:rPr>
          <w:rFonts w:cs="Times New Roman"/>
          <w:b/>
        </w:rPr>
        <w:t>Gross Rent</w:t>
      </w:r>
    </w:p>
    <w:p w14:paraId="68C110D7" w14:textId="08ED9242" w:rsidR="00C16DD7" w:rsidRPr="00C16DD7" w:rsidRDefault="00C16DD7" w:rsidP="00066B7E">
      <w:pPr>
        <w:pStyle w:val="NoSpacing"/>
        <w:ind w:left="540"/>
        <w:rPr>
          <w:rFonts w:cs="Times New Roman"/>
        </w:rPr>
      </w:pPr>
      <w:r>
        <w:rPr>
          <w:rFonts w:cs="Times New Roman"/>
        </w:rPr>
        <w:t xml:space="preserve">The sum of combined rent and utilities costs. For </w:t>
      </w:r>
      <w:r w:rsidR="000B3C6D">
        <w:rPr>
          <w:rFonts w:cs="Times New Roman"/>
        </w:rPr>
        <w:t xml:space="preserve">rental assistance </w:t>
      </w:r>
      <w:r>
        <w:rPr>
          <w:rFonts w:cs="Times New Roman"/>
        </w:rPr>
        <w:t>services, t</w:t>
      </w:r>
      <w:r w:rsidRPr="00C16DD7">
        <w:rPr>
          <w:rFonts w:cs="Times New Roman"/>
        </w:rPr>
        <w:t>he gross rent of the unit</w:t>
      </w:r>
      <w:r w:rsidR="00427671">
        <w:rPr>
          <w:rFonts w:cs="Times New Roman"/>
        </w:rPr>
        <w:t>, including appropriate utility allowances</w:t>
      </w:r>
      <w:r w:rsidR="00D55FBF">
        <w:rPr>
          <w:rFonts w:cs="Times New Roman"/>
        </w:rPr>
        <w:t>,</w:t>
      </w:r>
      <w:r w:rsidRPr="00C16DD7">
        <w:rPr>
          <w:rFonts w:cs="Times New Roman"/>
        </w:rPr>
        <w:t xml:space="preserve"> must </w:t>
      </w:r>
      <w:r w:rsidR="00C8141F">
        <w:rPr>
          <w:rFonts w:cs="Times New Roman"/>
        </w:rPr>
        <w:t>fall</w:t>
      </w:r>
      <w:r w:rsidR="00C8141F" w:rsidRPr="00C16DD7">
        <w:rPr>
          <w:rFonts w:cs="Times New Roman"/>
        </w:rPr>
        <w:t xml:space="preserve"> </w:t>
      </w:r>
      <w:r w:rsidRPr="00C16DD7">
        <w:rPr>
          <w:rFonts w:cs="Times New Roman"/>
        </w:rPr>
        <w:t>at or below the lower of the rent standard or the reasonable rent.</w:t>
      </w:r>
    </w:p>
    <w:p w14:paraId="4F425DD6" w14:textId="7416D2C9" w:rsidR="001C0641" w:rsidRPr="00151534" w:rsidRDefault="001C0641" w:rsidP="00F1581D">
      <w:pPr>
        <w:pStyle w:val="NoSpacing"/>
        <w:numPr>
          <w:ilvl w:val="2"/>
          <w:numId w:val="28"/>
        </w:numPr>
        <w:ind w:left="540"/>
        <w:rPr>
          <w:rStyle w:val="Strong"/>
          <w:rFonts w:cs="Times New Roman"/>
          <w:bCs w:val="0"/>
          <w:color w:val="auto"/>
        </w:rPr>
      </w:pPr>
      <w:r w:rsidRPr="002A61C8">
        <w:rPr>
          <w:rStyle w:val="Strong"/>
          <w:color w:val="auto"/>
          <w:shd w:val="clear" w:color="auto" w:fill="FFFFFF"/>
        </w:rPr>
        <w:t>HIV Service Delivery Area</w:t>
      </w:r>
    </w:p>
    <w:p w14:paraId="5BD49818" w14:textId="1D10ACC5" w:rsidR="00B40161" w:rsidRDefault="001C0641" w:rsidP="00DE48B8">
      <w:pPr>
        <w:pStyle w:val="NoSpacing"/>
        <w:ind w:left="540"/>
        <w:rPr>
          <w:shd w:val="clear" w:color="auto" w:fill="FFFFFF"/>
        </w:rPr>
      </w:pPr>
      <w:r w:rsidRPr="002A61C8">
        <w:rPr>
          <w:rStyle w:val="Strong"/>
          <w:b w:val="0"/>
          <w:color w:val="auto"/>
          <w:shd w:val="clear" w:color="auto" w:fill="FFFFFF"/>
        </w:rPr>
        <w:t xml:space="preserve">A </w:t>
      </w:r>
      <w:r w:rsidRPr="002A61C8">
        <w:rPr>
          <w:shd w:val="clear" w:color="auto" w:fill="FFFFFF"/>
        </w:rPr>
        <w:t>geographic service area set by DSHS</w:t>
      </w:r>
      <w:r w:rsidR="00F93512" w:rsidRPr="002A61C8">
        <w:rPr>
          <w:shd w:val="clear" w:color="auto" w:fill="FFFFFF"/>
        </w:rPr>
        <w:t xml:space="preserve"> for the purpose </w:t>
      </w:r>
      <w:r w:rsidRPr="002A61C8">
        <w:rPr>
          <w:shd w:val="clear" w:color="auto" w:fill="FFFFFF"/>
        </w:rPr>
        <w:t>of allocating federal and state HIV care services</w:t>
      </w:r>
      <w:r w:rsidR="00F93512" w:rsidRPr="002A61C8">
        <w:rPr>
          <w:shd w:val="clear" w:color="auto" w:fill="FFFFFF"/>
        </w:rPr>
        <w:t xml:space="preserve"> funds</w:t>
      </w:r>
      <w:r w:rsidRPr="002A61C8">
        <w:rPr>
          <w:shd w:val="clear" w:color="auto" w:fill="FFFFFF"/>
        </w:rPr>
        <w:t>.</w:t>
      </w:r>
    </w:p>
    <w:p w14:paraId="27F3FCF0" w14:textId="661512F3" w:rsidR="00552FE5" w:rsidRDefault="00552FE5" w:rsidP="00F1581D">
      <w:pPr>
        <w:pStyle w:val="NoSpacing"/>
        <w:numPr>
          <w:ilvl w:val="2"/>
          <w:numId w:val="28"/>
        </w:numPr>
        <w:ind w:left="540"/>
        <w:rPr>
          <w:rFonts w:cs="Times New Roman"/>
          <w:b/>
        </w:rPr>
      </w:pPr>
      <w:r>
        <w:rPr>
          <w:rFonts w:cs="Times New Roman"/>
          <w:b/>
        </w:rPr>
        <w:t>Household</w:t>
      </w:r>
    </w:p>
    <w:p w14:paraId="7123CABC" w14:textId="5A42517B" w:rsidR="00552FE5" w:rsidRPr="00552FE5" w:rsidRDefault="00552FE5" w:rsidP="00066B7E">
      <w:pPr>
        <w:pStyle w:val="NoSpacing"/>
        <w:ind w:left="540"/>
        <w:rPr>
          <w:rFonts w:cs="Times New Roman"/>
        </w:rPr>
      </w:pPr>
      <w:r w:rsidRPr="00552FE5">
        <w:rPr>
          <w:rFonts w:cs="Times New Roman"/>
        </w:rPr>
        <w:t xml:space="preserve">A single </w:t>
      </w:r>
      <w:r>
        <w:rPr>
          <w:rFonts w:cs="Times New Roman"/>
        </w:rPr>
        <w:t>person or a group of persons residing together</w:t>
      </w:r>
      <w:r w:rsidR="006758FF">
        <w:rPr>
          <w:rFonts w:cs="Times New Roman"/>
        </w:rPr>
        <w:t xml:space="preserve">. </w:t>
      </w:r>
      <w:r w:rsidR="006758FF" w:rsidRPr="00CD05F2">
        <w:rPr>
          <w:rFonts w:cs="Times New Roman"/>
        </w:rPr>
        <w:t>See “Family.”</w:t>
      </w:r>
      <w:r w:rsidR="006758FF">
        <w:rPr>
          <w:rFonts w:cs="Times New Roman"/>
        </w:rPr>
        <w:t xml:space="preserve"> </w:t>
      </w:r>
      <w:r w:rsidR="00F65870">
        <w:rPr>
          <w:rFonts w:cs="Times New Roman"/>
        </w:rPr>
        <w:t>A</w:t>
      </w:r>
      <w:r w:rsidR="00F65870" w:rsidRPr="00F65870">
        <w:rPr>
          <w:rFonts w:cs="Times New Roman"/>
        </w:rPr>
        <w:t xml:space="preserve">ny group of people that present together for assistance and identify themselves as a </w:t>
      </w:r>
      <w:r w:rsidR="00F65870">
        <w:rPr>
          <w:rFonts w:cs="Times New Roman"/>
        </w:rPr>
        <w:t>household</w:t>
      </w:r>
      <w:r w:rsidR="00F65870" w:rsidRPr="00F65870">
        <w:rPr>
          <w:rFonts w:cs="Times New Roman"/>
        </w:rPr>
        <w:t xml:space="preserve"> – regardless of relationship, age, disability, or other factors – </w:t>
      </w:r>
      <w:r w:rsidR="00F65870" w:rsidRPr="00F65870">
        <w:rPr>
          <w:rFonts w:cs="Times New Roman"/>
        </w:rPr>
        <w:lastRenderedPageBreak/>
        <w:t xml:space="preserve">are considered a </w:t>
      </w:r>
      <w:r w:rsidR="00F65870">
        <w:rPr>
          <w:rFonts w:cs="Times New Roman"/>
        </w:rPr>
        <w:t>household</w:t>
      </w:r>
      <w:r w:rsidR="00F65870" w:rsidRPr="00F65870">
        <w:rPr>
          <w:rFonts w:cs="Times New Roman"/>
        </w:rPr>
        <w:t xml:space="preserve"> and </w:t>
      </w:r>
      <w:r w:rsidR="00F036F4">
        <w:rPr>
          <w:rFonts w:cs="Times New Roman"/>
        </w:rPr>
        <w:t>Project Sponsors serve them</w:t>
      </w:r>
      <w:r w:rsidR="00F65870" w:rsidRPr="00F65870">
        <w:rPr>
          <w:rFonts w:cs="Times New Roman"/>
        </w:rPr>
        <w:t xml:space="preserve"> together as such.</w:t>
      </w:r>
      <w:r w:rsidR="00F65870">
        <w:rPr>
          <w:rFonts w:cs="Times New Roman"/>
        </w:rPr>
        <w:t xml:space="preserve"> </w:t>
      </w:r>
      <w:r w:rsidRPr="00552FE5">
        <w:rPr>
          <w:rFonts w:cs="Times New Roman"/>
        </w:rPr>
        <w:t xml:space="preserve">The term is used for collecting data on changes in </w:t>
      </w:r>
      <w:r w:rsidR="00F162F3">
        <w:rPr>
          <w:rFonts w:cs="Times New Roman"/>
        </w:rPr>
        <w:t>eligibility</w:t>
      </w:r>
      <w:r w:rsidRPr="00552FE5">
        <w:rPr>
          <w:rFonts w:cs="Times New Roman"/>
        </w:rPr>
        <w:t xml:space="preserve">, changes in access to services, and outcomes on achieving housing stability. Live-In Aides (see </w:t>
      </w:r>
      <w:r w:rsidR="00CD05F2">
        <w:rPr>
          <w:rFonts w:cs="Times New Roman"/>
        </w:rPr>
        <w:t>“</w:t>
      </w:r>
      <w:r w:rsidRPr="00552FE5">
        <w:rPr>
          <w:rFonts w:cs="Times New Roman"/>
        </w:rPr>
        <w:t>Live-In Aide</w:t>
      </w:r>
      <w:r w:rsidR="00CD05F2">
        <w:rPr>
          <w:rFonts w:cs="Times New Roman"/>
        </w:rPr>
        <w:t>”</w:t>
      </w:r>
      <w:r w:rsidRPr="00552FE5">
        <w:rPr>
          <w:rFonts w:cs="Times New Roman"/>
        </w:rPr>
        <w:t>) and non-beneficiaries (e.g.</w:t>
      </w:r>
      <w:r w:rsidR="00F162F3">
        <w:rPr>
          <w:rFonts w:cs="Times New Roman"/>
        </w:rPr>
        <w:t>,</w:t>
      </w:r>
      <w:r w:rsidRPr="00552FE5">
        <w:rPr>
          <w:rFonts w:cs="Times New Roman"/>
        </w:rPr>
        <w:t xml:space="preserve"> a shared housing arrangement with a roommate) who resided in the unit are</w:t>
      </w:r>
      <w:r w:rsidR="006758FF">
        <w:rPr>
          <w:rFonts w:cs="Times New Roman"/>
        </w:rPr>
        <w:t xml:space="preserve"> not included in the household</w:t>
      </w:r>
      <w:r w:rsidR="00CD05F2">
        <w:rPr>
          <w:rFonts w:cs="Times New Roman"/>
        </w:rPr>
        <w:t>.</w:t>
      </w:r>
    </w:p>
    <w:p w14:paraId="76A7B029" w14:textId="28ECBAA1" w:rsidR="006B5D3C" w:rsidRDefault="006B5D3C" w:rsidP="00F1581D">
      <w:pPr>
        <w:pStyle w:val="NoSpacing"/>
        <w:numPr>
          <w:ilvl w:val="2"/>
          <w:numId w:val="28"/>
        </w:numPr>
        <w:ind w:left="540"/>
        <w:rPr>
          <w:rFonts w:cs="Times New Roman"/>
          <w:b/>
        </w:rPr>
      </w:pPr>
      <w:r>
        <w:rPr>
          <w:rFonts w:cs="Times New Roman"/>
          <w:b/>
        </w:rPr>
        <w:t>Housing Information Services</w:t>
      </w:r>
      <w:r w:rsidR="00043803">
        <w:rPr>
          <w:rFonts w:cs="Times New Roman"/>
          <w:b/>
        </w:rPr>
        <w:t xml:space="preserve"> (HIS)</w:t>
      </w:r>
    </w:p>
    <w:p w14:paraId="1A1E09B6" w14:textId="2F865D5C" w:rsidR="006B5D3C" w:rsidRDefault="009778AB" w:rsidP="00066B7E">
      <w:pPr>
        <w:pStyle w:val="NoSpacing"/>
        <w:ind w:left="540"/>
        <w:rPr>
          <w:rFonts w:cs="Times New Roman"/>
        </w:rPr>
      </w:pPr>
      <w:r w:rsidRPr="009778AB">
        <w:rPr>
          <w:rFonts w:cs="Times New Roman"/>
        </w:rPr>
        <w:t>Counseling, information, and referral services dedicated to assisting eligible households locate, acquire, finance, and maintain housing.</w:t>
      </w:r>
      <w:r w:rsidR="00252BE3">
        <w:rPr>
          <w:rFonts w:cs="Times New Roman"/>
        </w:rPr>
        <w:t xml:space="preserve"> </w:t>
      </w:r>
      <w:r w:rsidR="00252BE3" w:rsidRPr="00252BE3">
        <w:rPr>
          <w:rFonts w:cs="Times New Roman"/>
        </w:rPr>
        <w:t>This may also include fair housing counseling for eligible persons who may encounter discrimination based on race, color, religion, sex</w:t>
      </w:r>
      <w:r w:rsidR="0004409D">
        <w:rPr>
          <w:rFonts w:cs="Times New Roman"/>
        </w:rPr>
        <w:t xml:space="preserve"> (</w:t>
      </w:r>
      <w:r w:rsidR="0004409D" w:rsidRPr="0004409D">
        <w:rPr>
          <w:rFonts w:cs="Times New Roman"/>
        </w:rPr>
        <w:t>including gender identity and sexual orientation</w:t>
      </w:r>
      <w:r w:rsidR="0004409D">
        <w:rPr>
          <w:rFonts w:cs="Times New Roman"/>
        </w:rPr>
        <w:t>)</w:t>
      </w:r>
      <w:r w:rsidR="00252BE3" w:rsidRPr="00252BE3">
        <w:rPr>
          <w:rFonts w:cs="Times New Roman"/>
        </w:rPr>
        <w:t>, age, national origin, familial status, or handicap/disability.</w:t>
      </w:r>
    </w:p>
    <w:p w14:paraId="6B45D907" w14:textId="77777777" w:rsidR="00421B91" w:rsidRPr="006758FF" w:rsidRDefault="00421B91" w:rsidP="00F1581D">
      <w:pPr>
        <w:pStyle w:val="NoSpacing"/>
        <w:numPr>
          <w:ilvl w:val="2"/>
          <w:numId w:val="28"/>
        </w:numPr>
        <w:ind w:left="540"/>
        <w:rPr>
          <w:rFonts w:cs="Times New Roman"/>
          <w:b/>
        </w:rPr>
      </w:pPr>
      <w:r w:rsidRPr="006758FF">
        <w:rPr>
          <w:rFonts w:cs="Times New Roman"/>
          <w:b/>
        </w:rPr>
        <w:t>Housing Stability</w:t>
      </w:r>
    </w:p>
    <w:p w14:paraId="534D18F8" w14:textId="40BE860D" w:rsidR="0049344A" w:rsidRPr="00ED208F" w:rsidRDefault="00421B91" w:rsidP="00066B7E">
      <w:pPr>
        <w:pStyle w:val="NoSpacing"/>
        <w:ind w:left="540"/>
      </w:pPr>
      <w:r w:rsidRPr="006758FF">
        <w:rPr>
          <w:rFonts w:cs="Times New Roman"/>
        </w:rPr>
        <w:t>The degree to which the HOPWA assisted beneficiaries remain in stable hous</w:t>
      </w:r>
      <w:r>
        <w:rPr>
          <w:rFonts w:cs="Times New Roman"/>
        </w:rPr>
        <w:t xml:space="preserve">ing during the operating year. See </w:t>
      </w:r>
      <w:r w:rsidR="00B40161">
        <w:rPr>
          <w:rFonts w:cs="Times New Roman"/>
        </w:rPr>
        <w:t>Section 14</w:t>
      </w:r>
      <w:r w:rsidR="00B40161" w:rsidRPr="006758FF">
        <w:rPr>
          <w:rFonts w:cs="Times New Roman"/>
        </w:rPr>
        <w:t xml:space="preserve">. </w:t>
      </w:r>
      <w:r w:rsidR="00B40161">
        <w:rPr>
          <w:rFonts w:cs="Times New Roman"/>
        </w:rPr>
        <w:t xml:space="preserve">Program Activities for all </w:t>
      </w:r>
      <w:r>
        <w:rPr>
          <w:rFonts w:cs="Times New Roman"/>
        </w:rPr>
        <w:t xml:space="preserve">service outcome </w:t>
      </w:r>
      <w:r w:rsidR="00B40161">
        <w:rPr>
          <w:rFonts w:cs="Times New Roman"/>
        </w:rPr>
        <w:t>categories</w:t>
      </w:r>
      <w:r>
        <w:rPr>
          <w:rFonts w:cs="Times New Roman"/>
        </w:rPr>
        <w:t>.</w:t>
      </w:r>
    </w:p>
    <w:p w14:paraId="041EA460" w14:textId="77777777" w:rsidR="00050C24" w:rsidRDefault="00050C24" w:rsidP="00F1581D">
      <w:pPr>
        <w:pStyle w:val="NoSpacing"/>
        <w:numPr>
          <w:ilvl w:val="2"/>
          <w:numId w:val="28"/>
        </w:numPr>
        <w:ind w:left="540"/>
        <w:rPr>
          <w:rFonts w:cs="Times New Roman"/>
          <w:b/>
        </w:rPr>
      </w:pPr>
      <w:r w:rsidRPr="00050C24">
        <w:rPr>
          <w:rFonts w:cs="Times New Roman"/>
          <w:b/>
        </w:rPr>
        <w:t>Human Immunode</w:t>
      </w:r>
      <w:r>
        <w:rPr>
          <w:rFonts w:cs="Times New Roman"/>
          <w:b/>
        </w:rPr>
        <w:t>ficiency Virus (HIV)</w:t>
      </w:r>
    </w:p>
    <w:p w14:paraId="4237C2B4" w14:textId="77777777" w:rsidR="003E5945" w:rsidRDefault="00050C24" w:rsidP="00066B7E">
      <w:pPr>
        <w:pStyle w:val="NoSpacing"/>
        <w:ind w:left="540"/>
        <w:rPr>
          <w:rFonts w:cs="Times New Roman"/>
        </w:rPr>
      </w:pPr>
      <w:r w:rsidRPr="00050C24">
        <w:rPr>
          <w:rFonts w:cs="Times New Roman"/>
        </w:rPr>
        <w:t>A virus that infects the body and destroys portions of the immune system and is documente</w:t>
      </w:r>
      <w:r w:rsidR="007930D0">
        <w:rPr>
          <w:rFonts w:cs="Times New Roman"/>
        </w:rPr>
        <w:t>d by a positive serologic test.</w:t>
      </w:r>
    </w:p>
    <w:p w14:paraId="5270047F" w14:textId="17B1F61F" w:rsidR="003E5945" w:rsidRDefault="003E5945" w:rsidP="00F1581D">
      <w:pPr>
        <w:pStyle w:val="NoSpacing"/>
        <w:numPr>
          <w:ilvl w:val="2"/>
          <w:numId w:val="28"/>
        </w:numPr>
        <w:ind w:left="540"/>
        <w:rPr>
          <w:rFonts w:cs="Times New Roman"/>
          <w:b/>
        </w:rPr>
      </w:pPr>
      <w:r w:rsidRPr="003E5945">
        <w:rPr>
          <w:rFonts w:cs="Times New Roman"/>
          <w:b/>
        </w:rPr>
        <w:t>Improved HIV Viral Load</w:t>
      </w:r>
    </w:p>
    <w:p w14:paraId="4A30C777" w14:textId="6C1D4948" w:rsidR="003E5945" w:rsidRPr="00DE48B8" w:rsidRDefault="003E5945" w:rsidP="00DE48B8">
      <w:pPr>
        <w:pStyle w:val="NoSpacing"/>
        <w:ind w:left="540"/>
        <w:rPr>
          <w:rFonts w:cs="Times New Roman"/>
          <w:bCs/>
        </w:rPr>
      </w:pPr>
      <w:r w:rsidRPr="00DE48B8">
        <w:rPr>
          <w:rFonts w:cs="Times New Roman"/>
          <w:bCs/>
        </w:rPr>
        <w:t xml:space="preserve">A reduction in the load or volume of HIV present in the eligible individual's blood at the end of the reporting period compared to the beginning of the reporting period. Most PLWH engaged in medical care have routine laboratory tests. The eligible individual's latest laboratory </w:t>
      </w:r>
      <w:r w:rsidR="007072AE">
        <w:rPr>
          <w:rFonts w:cs="Times New Roman"/>
          <w:bCs/>
        </w:rPr>
        <w:t xml:space="preserve">test </w:t>
      </w:r>
      <w:r w:rsidRPr="00DE48B8">
        <w:rPr>
          <w:rFonts w:cs="Times New Roman"/>
          <w:bCs/>
        </w:rPr>
        <w:t xml:space="preserve">report </w:t>
      </w:r>
      <w:r w:rsidR="007072AE">
        <w:rPr>
          <w:rFonts w:cs="Times New Roman"/>
          <w:bCs/>
        </w:rPr>
        <w:t xml:space="preserve">should include </w:t>
      </w:r>
      <w:r w:rsidRPr="00DE48B8">
        <w:rPr>
          <w:rFonts w:cs="Times New Roman"/>
          <w:bCs/>
        </w:rPr>
        <w:t>viral load</w:t>
      </w:r>
      <w:r w:rsidR="007072AE">
        <w:rPr>
          <w:rFonts w:cs="Times New Roman"/>
          <w:bCs/>
        </w:rPr>
        <w:t xml:space="preserve"> results</w:t>
      </w:r>
      <w:r w:rsidRPr="00DE48B8">
        <w:rPr>
          <w:rFonts w:cs="Times New Roman"/>
          <w:bCs/>
        </w:rPr>
        <w:t>.</w:t>
      </w:r>
    </w:p>
    <w:p w14:paraId="7D245B1D" w14:textId="4C60F4AD" w:rsidR="006758FF" w:rsidRPr="006758FF" w:rsidRDefault="003E5945" w:rsidP="00F1581D">
      <w:pPr>
        <w:pStyle w:val="NoSpacing"/>
        <w:numPr>
          <w:ilvl w:val="2"/>
          <w:numId w:val="28"/>
        </w:numPr>
        <w:ind w:left="540"/>
        <w:rPr>
          <w:rFonts w:cs="Times New Roman"/>
          <w:b/>
        </w:rPr>
      </w:pPr>
      <w:r>
        <w:rPr>
          <w:rFonts w:cs="Times New Roman"/>
          <w:b/>
        </w:rPr>
        <w:t>I</w:t>
      </w:r>
      <w:r w:rsidR="00A64C0C">
        <w:rPr>
          <w:rFonts w:cs="Times New Roman"/>
          <w:b/>
        </w:rPr>
        <w:t>n-K</w:t>
      </w:r>
      <w:r w:rsidR="006758FF" w:rsidRPr="006758FF">
        <w:rPr>
          <w:rFonts w:cs="Times New Roman"/>
          <w:b/>
        </w:rPr>
        <w:t>ind Leveraged Resources</w:t>
      </w:r>
    </w:p>
    <w:p w14:paraId="44BC1070" w14:textId="3B0CFEB0" w:rsidR="00552FE5" w:rsidRDefault="003E5945" w:rsidP="00DE48B8">
      <w:pPr>
        <w:pStyle w:val="NoSpacing"/>
        <w:ind w:left="540"/>
        <w:rPr>
          <w:rFonts w:cs="Times New Roman"/>
        </w:rPr>
      </w:pPr>
      <w:r>
        <w:rPr>
          <w:rFonts w:cs="Times New Roman"/>
        </w:rPr>
        <w:t>A</w:t>
      </w:r>
      <w:r w:rsidRPr="003E5945">
        <w:rPr>
          <w:rFonts w:cs="Times New Roman"/>
        </w:rPr>
        <w:t xml:space="preserve">dditional types of support provided to assist HOPWA beneficiaries such as volunteer services, materials, use of equipment and building space. The actual value of the support can be the contribution of professional services, based on customary rates for this specialized support, or actual costs contributed from other leveraged resources. In determining a rate for the contribution of volunteer time and services, use the criteria described in 2 CFR 200. </w:t>
      </w:r>
      <w:r w:rsidR="00DF6814">
        <w:rPr>
          <w:rFonts w:cs="Times New Roman"/>
        </w:rPr>
        <w:t>B</w:t>
      </w:r>
      <w:r w:rsidR="00DF6814" w:rsidRPr="003E5945">
        <w:rPr>
          <w:rFonts w:cs="Times New Roman"/>
        </w:rPr>
        <w:t>ase</w:t>
      </w:r>
      <w:r w:rsidR="00DF6814">
        <w:rPr>
          <w:rFonts w:cs="Times New Roman"/>
        </w:rPr>
        <w:t xml:space="preserve"> t</w:t>
      </w:r>
      <w:r w:rsidRPr="003E5945">
        <w:rPr>
          <w:rFonts w:cs="Times New Roman"/>
        </w:rPr>
        <w:t>he value of any donated material, equipment, building, or lease on the fair market value at time of donation. Related documentation can be from recent bills of sales, advertised prices, appraisals, or other information for comparable property similarly situated.</w:t>
      </w:r>
    </w:p>
    <w:p w14:paraId="79BD73A9" w14:textId="77777777" w:rsidR="00105E6B" w:rsidRPr="00105E6B" w:rsidRDefault="00105E6B" w:rsidP="00F1581D">
      <w:pPr>
        <w:pStyle w:val="NoSpacing"/>
        <w:numPr>
          <w:ilvl w:val="2"/>
          <w:numId w:val="28"/>
        </w:numPr>
        <w:ind w:left="540"/>
        <w:rPr>
          <w:rFonts w:cs="Times New Roman"/>
          <w:b/>
        </w:rPr>
      </w:pPr>
      <w:r w:rsidRPr="00105E6B">
        <w:rPr>
          <w:rFonts w:cs="Times New Roman"/>
          <w:b/>
        </w:rPr>
        <w:t>Leveraged Funds</w:t>
      </w:r>
    </w:p>
    <w:p w14:paraId="4D9B042E" w14:textId="65577067" w:rsidR="00552FE5" w:rsidRDefault="00105E6B" w:rsidP="00F1581D">
      <w:pPr>
        <w:pStyle w:val="NoSpacing"/>
        <w:ind w:left="540"/>
        <w:rPr>
          <w:rFonts w:cs="Times New Roman"/>
        </w:rPr>
      </w:pPr>
      <w:r w:rsidRPr="00105E6B">
        <w:rPr>
          <w:rFonts w:cs="Times New Roman"/>
        </w:rPr>
        <w:t xml:space="preserve">The amount of funds expended during the operating year from non-HOPWA federal, state, local, and private sources by </w:t>
      </w:r>
      <w:r>
        <w:rPr>
          <w:rFonts w:cs="Times New Roman"/>
        </w:rPr>
        <w:t>Project S</w:t>
      </w:r>
      <w:r w:rsidRPr="00105E6B">
        <w:rPr>
          <w:rFonts w:cs="Times New Roman"/>
        </w:rPr>
        <w:t xml:space="preserve">ponsors in dedicating assistance to </w:t>
      </w:r>
      <w:r>
        <w:rPr>
          <w:rFonts w:cs="Times New Roman"/>
        </w:rPr>
        <w:t>eligible households</w:t>
      </w:r>
      <w:r w:rsidRPr="00105E6B">
        <w:rPr>
          <w:rFonts w:cs="Times New Roman"/>
        </w:rPr>
        <w:t>.</w:t>
      </w:r>
      <w:r w:rsidR="00945928">
        <w:rPr>
          <w:rFonts w:cs="Times New Roman"/>
        </w:rPr>
        <w:t xml:space="preserve"> </w:t>
      </w:r>
      <w:r w:rsidRPr="00105E6B">
        <w:rPr>
          <w:rFonts w:cs="Times New Roman"/>
        </w:rPr>
        <w:t>Leveraged funds or other assistance are used directly in or in support of HOPWA program delivery.</w:t>
      </w:r>
    </w:p>
    <w:p w14:paraId="18165150" w14:textId="5338AA60" w:rsidR="00105E6B" w:rsidRPr="00105E6B" w:rsidRDefault="00A64C0C" w:rsidP="00F1581D">
      <w:pPr>
        <w:pStyle w:val="NoSpacing"/>
        <w:numPr>
          <w:ilvl w:val="2"/>
          <w:numId w:val="28"/>
        </w:numPr>
        <w:ind w:left="540"/>
        <w:rPr>
          <w:rFonts w:cs="Times New Roman"/>
          <w:b/>
        </w:rPr>
      </w:pPr>
      <w:r>
        <w:rPr>
          <w:rFonts w:cs="Times New Roman"/>
          <w:b/>
        </w:rPr>
        <w:t>Live-I</w:t>
      </w:r>
      <w:r w:rsidR="00105E6B" w:rsidRPr="00105E6B">
        <w:rPr>
          <w:rFonts w:cs="Times New Roman"/>
          <w:b/>
        </w:rPr>
        <w:t>n Aide</w:t>
      </w:r>
    </w:p>
    <w:p w14:paraId="4E5ED9E7" w14:textId="4761299E" w:rsidR="00552FE5" w:rsidRDefault="00105E6B" w:rsidP="00F1581D">
      <w:pPr>
        <w:pStyle w:val="NoSpacing"/>
        <w:ind w:left="540"/>
        <w:rPr>
          <w:rFonts w:cs="Times New Roman"/>
        </w:rPr>
      </w:pPr>
      <w:r w:rsidRPr="00105E6B">
        <w:rPr>
          <w:rFonts w:cs="Times New Roman"/>
        </w:rPr>
        <w:t xml:space="preserve">A person who resides with the </w:t>
      </w:r>
      <w:r w:rsidR="00354BE7">
        <w:rPr>
          <w:rFonts w:cs="Times New Roman"/>
        </w:rPr>
        <w:t>e</w:t>
      </w:r>
      <w:r w:rsidR="00354BE7" w:rsidRPr="00105E6B">
        <w:rPr>
          <w:rFonts w:cs="Times New Roman"/>
        </w:rPr>
        <w:t>ligible</w:t>
      </w:r>
      <w:r w:rsidRPr="00105E6B">
        <w:rPr>
          <w:rFonts w:cs="Times New Roman"/>
        </w:rPr>
        <w:t xml:space="preserve"> </w:t>
      </w:r>
      <w:r w:rsidR="00354BE7">
        <w:rPr>
          <w:rFonts w:cs="Times New Roman"/>
        </w:rPr>
        <w:t>i</w:t>
      </w:r>
      <w:r w:rsidRPr="00105E6B">
        <w:rPr>
          <w:rFonts w:cs="Times New Roman"/>
        </w:rPr>
        <w:t>ndividual and who meets the following criteria:</w:t>
      </w:r>
      <w:r w:rsidR="00945928">
        <w:rPr>
          <w:rFonts w:cs="Times New Roman"/>
        </w:rPr>
        <w:t xml:space="preserve"> </w:t>
      </w:r>
      <w:r w:rsidRPr="00105E6B">
        <w:rPr>
          <w:rFonts w:cs="Times New Roman"/>
        </w:rPr>
        <w:t xml:space="preserve">1) is essential to the care and </w:t>
      </w:r>
      <w:r w:rsidR="008B5649">
        <w:rPr>
          <w:rFonts w:cs="Times New Roman"/>
        </w:rPr>
        <w:t>welfare</w:t>
      </w:r>
      <w:r w:rsidRPr="00105E6B">
        <w:rPr>
          <w:rFonts w:cs="Times New Roman"/>
        </w:rPr>
        <w:t xml:space="preserve"> of the person; 2) is not obligated for the support of the person; and 3) would not </w:t>
      </w:r>
      <w:r w:rsidR="00B159AA">
        <w:rPr>
          <w:rFonts w:cs="Times New Roman"/>
        </w:rPr>
        <w:t>live</w:t>
      </w:r>
      <w:r w:rsidRPr="00105E6B">
        <w:rPr>
          <w:rFonts w:cs="Times New Roman"/>
        </w:rPr>
        <w:t xml:space="preserve"> in the unit except to provide the necessary supportive services.</w:t>
      </w:r>
      <w:r>
        <w:rPr>
          <w:rFonts w:cs="Times New Roman"/>
        </w:rPr>
        <w:t xml:space="preserve"> Live-In Aides are not considered household mem</w:t>
      </w:r>
      <w:r w:rsidR="0041765C">
        <w:rPr>
          <w:rFonts w:cs="Times New Roman"/>
        </w:rPr>
        <w:t>bers.</w:t>
      </w:r>
    </w:p>
    <w:p w14:paraId="64D8ED69" w14:textId="5CE9551A" w:rsidR="00F01D68" w:rsidRDefault="00F01D68" w:rsidP="00F1581D">
      <w:pPr>
        <w:pStyle w:val="NoSpacing"/>
        <w:numPr>
          <w:ilvl w:val="2"/>
          <w:numId w:val="28"/>
        </w:numPr>
        <w:ind w:left="540"/>
        <w:rPr>
          <w:rFonts w:cs="Times New Roman"/>
          <w:b/>
        </w:rPr>
      </w:pPr>
      <w:r>
        <w:rPr>
          <w:rFonts w:cs="Times New Roman"/>
          <w:b/>
        </w:rPr>
        <w:t>Master Leasing</w:t>
      </w:r>
    </w:p>
    <w:p w14:paraId="7118BBCB" w14:textId="4CC08265" w:rsidR="00F01D68" w:rsidRPr="00F01D68" w:rsidRDefault="000558EB" w:rsidP="00F1581D">
      <w:pPr>
        <w:pStyle w:val="NoSpacing"/>
        <w:ind w:left="540"/>
        <w:rPr>
          <w:rFonts w:cs="Times New Roman"/>
        </w:rPr>
      </w:pPr>
      <w:r w:rsidRPr="000558EB">
        <w:rPr>
          <w:rFonts w:cs="Times New Roman"/>
        </w:rPr>
        <w:t xml:space="preserve">A facility-based rental assistance service linked to specific units (single or scattered site) </w:t>
      </w:r>
      <w:r>
        <w:rPr>
          <w:rFonts w:cs="Times New Roman"/>
        </w:rPr>
        <w:t>leased from an owner by a Project Sponsor</w:t>
      </w:r>
      <w:r w:rsidRPr="000558EB">
        <w:rPr>
          <w:rFonts w:cs="Times New Roman"/>
        </w:rPr>
        <w:t>.</w:t>
      </w:r>
      <w:r>
        <w:rPr>
          <w:rFonts w:cs="Times New Roman"/>
        </w:rPr>
        <w:t xml:space="preserve"> Project Sponsors</w:t>
      </w:r>
      <w:r w:rsidR="001E6006">
        <w:rPr>
          <w:rFonts w:cs="Times New Roman"/>
        </w:rPr>
        <w:t xml:space="preserve"> sublease</w:t>
      </w:r>
      <w:r w:rsidR="00F01D68" w:rsidRPr="00F01D68">
        <w:rPr>
          <w:rFonts w:cs="Times New Roman"/>
        </w:rPr>
        <w:t xml:space="preserve"> the u</w:t>
      </w:r>
      <w:r w:rsidR="00F01D68">
        <w:rPr>
          <w:rFonts w:cs="Times New Roman"/>
        </w:rPr>
        <w:t xml:space="preserve">nits to </w:t>
      </w:r>
      <w:r w:rsidR="003E5945">
        <w:rPr>
          <w:rFonts w:cs="Times New Roman"/>
        </w:rPr>
        <w:t>eligible households</w:t>
      </w:r>
      <w:r w:rsidR="00F01D68" w:rsidRPr="00F01D68">
        <w:rPr>
          <w:rFonts w:cs="Times New Roman"/>
        </w:rPr>
        <w:t xml:space="preserve">. </w:t>
      </w:r>
      <w:r w:rsidR="00AE4B88">
        <w:rPr>
          <w:rFonts w:cs="Times New Roman"/>
        </w:rPr>
        <w:t xml:space="preserve">Project Sponsors facilitate </w:t>
      </w:r>
      <w:r w:rsidR="00F01D68" w:rsidRPr="00F01D68">
        <w:rPr>
          <w:rFonts w:cs="Times New Roman"/>
        </w:rPr>
        <w:t xml:space="preserve">housing </w:t>
      </w:r>
      <w:r w:rsidR="00AE4B88">
        <w:rPr>
          <w:rFonts w:cs="Times New Roman"/>
        </w:rPr>
        <w:t>by</w:t>
      </w:r>
      <w:r w:rsidR="00AE4B88" w:rsidRPr="00AE4B88">
        <w:rPr>
          <w:rFonts w:cs="Times New Roman"/>
        </w:rPr>
        <w:t xml:space="preserve"> assuming the tenancy burden </w:t>
      </w:r>
      <w:r w:rsidR="00AE4B88">
        <w:rPr>
          <w:rFonts w:cs="Times New Roman"/>
        </w:rPr>
        <w:t>for households</w:t>
      </w:r>
      <w:r w:rsidR="00F01D68" w:rsidRPr="00F01D68">
        <w:rPr>
          <w:rFonts w:cs="Times New Roman"/>
        </w:rPr>
        <w:t xml:space="preserve"> </w:t>
      </w:r>
      <w:r w:rsidR="00AA7986">
        <w:rPr>
          <w:rFonts w:cs="Times New Roman"/>
        </w:rPr>
        <w:t>unable</w:t>
      </w:r>
      <w:r w:rsidR="00F01D68" w:rsidRPr="00F01D68">
        <w:rPr>
          <w:rFonts w:cs="Times New Roman"/>
        </w:rPr>
        <w:t xml:space="preserve"> to </w:t>
      </w:r>
      <w:r w:rsidR="00AE4B88">
        <w:rPr>
          <w:rFonts w:cs="Times New Roman"/>
        </w:rPr>
        <w:t>obtain</w:t>
      </w:r>
      <w:r w:rsidR="00AE4B88" w:rsidRPr="00F01D68">
        <w:rPr>
          <w:rFonts w:cs="Times New Roman"/>
        </w:rPr>
        <w:t xml:space="preserve"> </w:t>
      </w:r>
      <w:r w:rsidR="00F01D68" w:rsidRPr="00F01D68">
        <w:rPr>
          <w:rFonts w:cs="Times New Roman"/>
        </w:rPr>
        <w:t xml:space="preserve">a lease on their own due to </w:t>
      </w:r>
      <w:r>
        <w:rPr>
          <w:rFonts w:cs="Times New Roman"/>
        </w:rPr>
        <w:t xml:space="preserve">a lack of income or </w:t>
      </w:r>
      <w:r w:rsidR="00F01D68" w:rsidRPr="00F01D68">
        <w:rPr>
          <w:rFonts w:cs="Times New Roman"/>
        </w:rPr>
        <w:t>poor credit</w:t>
      </w:r>
      <w:r>
        <w:rPr>
          <w:rFonts w:cs="Times New Roman"/>
        </w:rPr>
        <w:t xml:space="preserve">, rental, or criminal history. </w:t>
      </w:r>
      <w:r w:rsidR="002C5741">
        <w:rPr>
          <w:rFonts w:cs="Times New Roman"/>
        </w:rPr>
        <w:t>Unlike Tenant-Based Rental Assistance, t</w:t>
      </w:r>
      <w:r w:rsidR="00664564">
        <w:rPr>
          <w:rFonts w:cs="Times New Roman"/>
        </w:rPr>
        <w:t>he a</w:t>
      </w:r>
      <w:r w:rsidR="00AE4B88" w:rsidRPr="00AE4B88">
        <w:rPr>
          <w:rFonts w:cs="Times New Roman"/>
        </w:rPr>
        <w:t>ssistance</w:t>
      </w:r>
      <w:r w:rsidR="00AE4B88">
        <w:rPr>
          <w:rFonts w:cs="Times New Roman"/>
        </w:rPr>
        <w:t xml:space="preserve"> </w:t>
      </w:r>
      <w:r w:rsidR="00664564">
        <w:rPr>
          <w:rFonts w:cs="Times New Roman"/>
        </w:rPr>
        <w:t xml:space="preserve">cannot </w:t>
      </w:r>
      <w:r w:rsidR="00AE4B88">
        <w:rPr>
          <w:rFonts w:cs="Times New Roman"/>
        </w:rPr>
        <w:t>transfer</w:t>
      </w:r>
      <w:r w:rsidR="00664564">
        <w:rPr>
          <w:rFonts w:cs="Times New Roman"/>
        </w:rPr>
        <w:t xml:space="preserve"> to another unit</w:t>
      </w:r>
      <w:r w:rsidR="00AE4B88">
        <w:rPr>
          <w:rFonts w:cs="Times New Roman"/>
        </w:rPr>
        <w:t>.</w:t>
      </w:r>
    </w:p>
    <w:p w14:paraId="70EB0139" w14:textId="68CFC692" w:rsidR="00E22024" w:rsidRDefault="00E22024" w:rsidP="00F1581D">
      <w:pPr>
        <w:pStyle w:val="NoSpacing"/>
        <w:numPr>
          <w:ilvl w:val="2"/>
          <w:numId w:val="28"/>
        </w:numPr>
        <w:ind w:left="540"/>
        <w:rPr>
          <w:rFonts w:cs="Times New Roman"/>
          <w:b/>
        </w:rPr>
      </w:pPr>
      <w:r>
        <w:rPr>
          <w:rFonts w:cs="Times New Roman"/>
          <w:b/>
        </w:rPr>
        <w:t>Maximum Subsidy</w:t>
      </w:r>
    </w:p>
    <w:p w14:paraId="0601C3A2" w14:textId="42349807" w:rsidR="00E22024" w:rsidRPr="00DE48B8" w:rsidRDefault="00E22024" w:rsidP="00DE48B8">
      <w:pPr>
        <w:pStyle w:val="NoSpacing"/>
        <w:ind w:left="540"/>
        <w:rPr>
          <w:rFonts w:cs="Times New Roman"/>
          <w:bCs/>
        </w:rPr>
      </w:pPr>
      <w:r w:rsidRPr="00E22024">
        <w:rPr>
          <w:rFonts w:cs="Times New Roman"/>
          <w:bCs/>
        </w:rPr>
        <w:t xml:space="preserve">The </w:t>
      </w:r>
      <w:r w:rsidR="00230C7B">
        <w:rPr>
          <w:rFonts w:cs="Times New Roman"/>
          <w:bCs/>
        </w:rPr>
        <w:t xml:space="preserve">maximum </w:t>
      </w:r>
      <w:r w:rsidRPr="00E22024">
        <w:rPr>
          <w:rFonts w:cs="Times New Roman"/>
          <w:bCs/>
        </w:rPr>
        <w:t xml:space="preserve">amount of grant funds used to pay monthly </w:t>
      </w:r>
      <w:r>
        <w:rPr>
          <w:rFonts w:cs="Times New Roman"/>
          <w:bCs/>
        </w:rPr>
        <w:t xml:space="preserve">rental </w:t>
      </w:r>
      <w:r w:rsidRPr="00E22024">
        <w:rPr>
          <w:rFonts w:cs="Times New Roman"/>
          <w:bCs/>
        </w:rPr>
        <w:t xml:space="preserve">assistance </w:t>
      </w:r>
      <w:r>
        <w:rPr>
          <w:rFonts w:cs="Times New Roman"/>
          <w:bCs/>
        </w:rPr>
        <w:t>can</w:t>
      </w:r>
      <w:r w:rsidRPr="00E22024">
        <w:rPr>
          <w:rFonts w:cs="Times New Roman"/>
          <w:bCs/>
        </w:rPr>
        <w:t>not exceed the difference between</w:t>
      </w:r>
      <w:r>
        <w:rPr>
          <w:rFonts w:cs="Times New Roman"/>
          <w:bCs/>
        </w:rPr>
        <w:t xml:space="preserve"> the lower of the rent standard or reasonable rent for the unit and the household’s calculated monthly rent payment.</w:t>
      </w:r>
    </w:p>
    <w:p w14:paraId="4E117D62" w14:textId="26ED1929" w:rsidR="003E5945" w:rsidRDefault="003E5945" w:rsidP="00F1581D">
      <w:pPr>
        <w:pStyle w:val="NoSpacing"/>
        <w:numPr>
          <w:ilvl w:val="2"/>
          <w:numId w:val="28"/>
        </w:numPr>
        <w:ind w:left="540"/>
        <w:rPr>
          <w:rFonts w:cs="Times New Roman"/>
          <w:b/>
        </w:rPr>
      </w:pPr>
      <w:r w:rsidRPr="003E5945">
        <w:rPr>
          <w:rFonts w:cs="Times New Roman"/>
          <w:b/>
        </w:rPr>
        <w:t>Medically Assisted Living Facilities</w:t>
      </w:r>
    </w:p>
    <w:p w14:paraId="0671AFB3" w14:textId="000FABD6" w:rsidR="003E5945" w:rsidRPr="00DE48B8" w:rsidRDefault="003E5945" w:rsidP="00DE48B8">
      <w:pPr>
        <w:pStyle w:val="NoSpacing"/>
        <w:ind w:left="540"/>
        <w:rPr>
          <w:rFonts w:cs="Times New Roman"/>
          <w:bCs/>
        </w:rPr>
      </w:pPr>
      <w:r w:rsidRPr="00DE48B8">
        <w:rPr>
          <w:rFonts w:cs="Times New Roman"/>
          <w:bCs/>
        </w:rPr>
        <w:t xml:space="preserve">HOPWA facility-based housing that assists residents with most or all activities of daily living, such as meals, bathing, dressing, and toileting. </w:t>
      </w:r>
      <w:r w:rsidR="0043454E">
        <w:rPr>
          <w:rFonts w:cs="Times New Roman"/>
          <w:bCs/>
        </w:rPr>
        <w:t>The assistance may include r</w:t>
      </w:r>
      <w:r w:rsidRPr="00DE48B8">
        <w:rPr>
          <w:rFonts w:cs="Times New Roman"/>
          <w:bCs/>
        </w:rPr>
        <w:t>egular medical care, supervision, and rehabilitation.</w:t>
      </w:r>
    </w:p>
    <w:p w14:paraId="7A23D9D7" w14:textId="77777777" w:rsidR="003E5945" w:rsidRDefault="003E5945" w:rsidP="00F1581D">
      <w:pPr>
        <w:pStyle w:val="NoSpacing"/>
        <w:numPr>
          <w:ilvl w:val="2"/>
          <w:numId w:val="28"/>
        </w:numPr>
        <w:ind w:left="540"/>
        <w:rPr>
          <w:rFonts w:cs="Times New Roman"/>
          <w:b/>
        </w:rPr>
      </w:pPr>
      <w:r w:rsidRPr="003E5945">
        <w:rPr>
          <w:rFonts w:cs="Times New Roman"/>
          <w:b/>
        </w:rPr>
        <w:t>Nonb</w:t>
      </w:r>
      <w:r>
        <w:rPr>
          <w:rFonts w:cs="Times New Roman"/>
          <w:b/>
        </w:rPr>
        <w:t>inary</w:t>
      </w:r>
    </w:p>
    <w:p w14:paraId="048C72CD" w14:textId="3C6143AF" w:rsidR="003E5945" w:rsidRPr="00DE48B8" w:rsidRDefault="003E5945" w:rsidP="00DE48B8">
      <w:pPr>
        <w:pStyle w:val="NoSpacing"/>
        <w:ind w:left="540"/>
        <w:rPr>
          <w:rFonts w:cs="Times New Roman"/>
          <w:bCs/>
        </w:rPr>
      </w:pPr>
      <w:r w:rsidRPr="00DE48B8">
        <w:rPr>
          <w:rFonts w:cs="Times New Roman"/>
          <w:bCs/>
        </w:rPr>
        <w:t>A gender other than singularly female or male.</w:t>
      </w:r>
    </w:p>
    <w:p w14:paraId="3E092DC0" w14:textId="1004004E" w:rsidR="00F01D68" w:rsidRDefault="00F01D68" w:rsidP="00F1581D">
      <w:pPr>
        <w:pStyle w:val="NoSpacing"/>
        <w:numPr>
          <w:ilvl w:val="2"/>
          <w:numId w:val="28"/>
        </w:numPr>
        <w:ind w:left="540"/>
        <w:rPr>
          <w:rFonts w:cs="Times New Roman"/>
          <w:b/>
        </w:rPr>
      </w:pPr>
      <w:r>
        <w:rPr>
          <w:rFonts w:cs="Times New Roman"/>
          <w:b/>
        </w:rPr>
        <w:t>Operating Costs</w:t>
      </w:r>
    </w:p>
    <w:p w14:paraId="012CE244" w14:textId="290D24D5" w:rsidR="00F01D68" w:rsidRPr="00F01D68" w:rsidRDefault="00F26422" w:rsidP="00DE48B8">
      <w:pPr>
        <w:pStyle w:val="NoSpacing"/>
        <w:ind w:left="540"/>
        <w:rPr>
          <w:rFonts w:cs="Times New Roman"/>
        </w:rPr>
      </w:pPr>
      <w:r w:rsidRPr="00F26422">
        <w:rPr>
          <w:rFonts w:cs="Times New Roman"/>
        </w:rPr>
        <w:t xml:space="preserve">Applies to facility-based housing that </w:t>
      </w:r>
      <w:r>
        <w:rPr>
          <w:rFonts w:cs="Times New Roman"/>
        </w:rPr>
        <w:t>is</w:t>
      </w:r>
      <w:r w:rsidRPr="00F26422">
        <w:rPr>
          <w:rFonts w:cs="Times New Roman"/>
        </w:rPr>
        <w:t xml:space="preserve"> currently open. Operating costs can include day-to-day housing function and operation costs like </w:t>
      </w:r>
      <w:r w:rsidRPr="00C9153E">
        <w:rPr>
          <w:rFonts w:cs="Times New Roman"/>
          <w:bCs/>
        </w:rPr>
        <w:t xml:space="preserve">interior and exterior </w:t>
      </w:r>
      <w:r w:rsidRPr="005538E2">
        <w:rPr>
          <w:rFonts w:cs="Times New Roman"/>
          <w:bCs/>
        </w:rPr>
        <w:t>maintenance, security</w:t>
      </w:r>
      <w:r w:rsidRPr="00C9153E">
        <w:rPr>
          <w:rFonts w:cs="Times New Roman"/>
          <w:bCs/>
        </w:rPr>
        <w:t xml:space="preserve"> measures</w:t>
      </w:r>
      <w:r w:rsidRPr="005538E2">
        <w:rPr>
          <w:rFonts w:cs="Times New Roman"/>
          <w:bCs/>
        </w:rPr>
        <w:t xml:space="preserve">, </w:t>
      </w:r>
      <w:r w:rsidRPr="002A61C8">
        <w:rPr>
          <w:rFonts w:cs="Times New Roman"/>
          <w:bCs/>
        </w:rPr>
        <w:t>insurance, utilities</w:t>
      </w:r>
      <w:r w:rsidRPr="00C9153E">
        <w:rPr>
          <w:rFonts w:cs="Times New Roman"/>
          <w:bCs/>
        </w:rPr>
        <w:t xml:space="preserve"> for the facility </w:t>
      </w:r>
      <w:r w:rsidRPr="00C9153E">
        <w:rPr>
          <w:rFonts w:cs="Times New Roman"/>
          <w:bCs/>
        </w:rPr>
        <w:lastRenderedPageBreak/>
        <w:t>and units</w:t>
      </w:r>
      <w:r w:rsidRPr="005538E2">
        <w:rPr>
          <w:rFonts w:cs="Times New Roman"/>
          <w:bCs/>
        </w:rPr>
        <w:t>, furnishings</w:t>
      </w:r>
      <w:r w:rsidRPr="00C9153E">
        <w:rPr>
          <w:rFonts w:cs="Times New Roman"/>
          <w:bCs/>
        </w:rPr>
        <w:t xml:space="preserve"> for the facility an</w:t>
      </w:r>
      <w:r w:rsidRPr="002A61C8">
        <w:rPr>
          <w:rFonts w:cs="Times New Roman"/>
          <w:bCs/>
        </w:rPr>
        <w:t xml:space="preserve">d </w:t>
      </w:r>
      <w:r w:rsidRPr="00C9153E">
        <w:rPr>
          <w:rFonts w:cs="Times New Roman"/>
          <w:bCs/>
        </w:rPr>
        <w:t>unit</w:t>
      </w:r>
      <w:r>
        <w:rPr>
          <w:rFonts w:cs="Times New Roman"/>
          <w:bCs/>
        </w:rPr>
        <w:t>s</w:t>
      </w:r>
      <w:r w:rsidRPr="00C9153E">
        <w:rPr>
          <w:rFonts w:cs="Times New Roman"/>
          <w:bCs/>
        </w:rPr>
        <w:t>, salary and fringe</w:t>
      </w:r>
      <w:r>
        <w:rPr>
          <w:rFonts w:cs="Times New Roman"/>
          <w:bCs/>
        </w:rPr>
        <w:t>, e</w:t>
      </w:r>
      <w:r w:rsidRPr="005538E2">
        <w:rPr>
          <w:rFonts w:cs="Times New Roman"/>
          <w:bCs/>
        </w:rPr>
        <w:t xml:space="preserve">quipment, supplies, </w:t>
      </w:r>
      <w:r w:rsidRPr="00C9153E">
        <w:rPr>
          <w:rFonts w:cs="Times New Roman"/>
          <w:bCs/>
        </w:rPr>
        <w:t xml:space="preserve">and </w:t>
      </w:r>
      <w:r w:rsidRPr="005538E2">
        <w:rPr>
          <w:rFonts w:cs="Times New Roman"/>
          <w:bCs/>
        </w:rPr>
        <w:t>other incidental costs</w:t>
      </w:r>
      <w:r>
        <w:rPr>
          <w:rFonts w:cs="Times New Roman"/>
          <w:bCs/>
        </w:rPr>
        <w:t>,</w:t>
      </w:r>
      <w:r w:rsidRPr="00F26422">
        <w:rPr>
          <w:rFonts w:cs="Times New Roman"/>
        </w:rPr>
        <w:t xml:space="preserve"> but not staff costs for delivering services.</w:t>
      </w:r>
    </w:p>
    <w:p w14:paraId="0F8396DA" w14:textId="77777777" w:rsidR="00105E6B" w:rsidRPr="00105E6B" w:rsidRDefault="00105E6B" w:rsidP="00F1581D">
      <w:pPr>
        <w:pStyle w:val="NoSpacing"/>
        <w:numPr>
          <w:ilvl w:val="2"/>
          <w:numId w:val="28"/>
        </w:numPr>
        <w:ind w:left="540"/>
        <w:rPr>
          <w:rFonts w:cs="Times New Roman"/>
          <w:b/>
        </w:rPr>
      </w:pPr>
      <w:r w:rsidRPr="00105E6B">
        <w:rPr>
          <w:rFonts w:cs="Times New Roman"/>
          <w:b/>
        </w:rPr>
        <w:t>Outcome</w:t>
      </w:r>
    </w:p>
    <w:p w14:paraId="7570F25B" w14:textId="2AD7185F" w:rsidR="00552FE5" w:rsidRDefault="001E6006" w:rsidP="00F1581D">
      <w:pPr>
        <w:pStyle w:val="NoSpacing"/>
        <w:ind w:left="540"/>
        <w:rPr>
          <w:rFonts w:cs="Times New Roman"/>
        </w:rPr>
      </w:pPr>
      <w:r>
        <w:rPr>
          <w:rFonts w:cs="Times New Roman"/>
        </w:rPr>
        <w:t>Th</w:t>
      </w:r>
      <w:r w:rsidR="00105E6B" w:rsidRPr="00105E6B">
        <w:rPr>
          <w:rFonts w:cs="Times New Roman"/>
        </w:rPr>
        <w:t>e degree to which the HOPWA</w:t>
      </w:r>
      <w:r w:rsidR="00AC64EA">
        <w:rPr>
          <w:rFonts w:cs="Times New Roman"/>
        </w:rPr>
        <w:t>-</w:t>
      </w:r>
      <w:r w:rsidR="00105E6B" w:rsidRPr="00105E6B">
        <w:rPr>
          <w:rFonts w:cs="Times New Roman"/>
        </w:rPr>
        <w:t xml:space="preserve">assisted household </w:t>
      </w:r>
      <w:r w:rsidR="00AC64EA">
        <w:rPr>
          <w:rFonts w:cs="Times New Roman"/>
        </w:rPr>
        <w:t xml:space="preserve">has established </w:t>
      </w:r>
      <w:r w:rsidR="00105E6B" w:rsidRPr="00105E6B">
        <w:rPr>
          <w:rFonts w:cs="Times New Roman"/>
        </w:rPr>
        <w:t>or maintain</w:t>
      </w:r>
      <w:r w:rsidR="00AC64EA">
        <w:rPr>
          <w:rFonts w:cs="Times New Roman"/>
        </w:rPr>
        <w:t>ed</w:t>
      </w:r>
      <w:r w:rsidR="00105E6B" w:rsidRPr="00105E6B">
        <w:rPr>
          <w:rFonts w:cs="Times New Roman"/>
        </w:rPr>
        <w:t xml:space="preserve"> a stable living environment in </w:t>
      </w:r>
      <w:r w:rsidR="00105E6B">
        <w:rPr>
          <w:rFonts w:cs="Times New Roman"/>
        </w:rPr>
        <w:t>safe, decent, and sanitary</w:t>
      </w:r>
      <w:r w:rsidR="00AC64EA">
        <w:rPr>
          <w:rFonts w:cs="Times New Roman"/>
        </w:rPr>
        <w:t xml:space="preserve"> housing,</w:t>
      </w:r>
      <w:r w:rsidR="00105E6B">
        <w:rPr>
          <w:rFonts w:cs="Times New Roman"/>
        </w:rPr>
        <w:t xml:space="preserve"> </w:t>
      </w:r>
      <w:r w:rsidR="00105E6B" w:rsidRPr="00105E6B">
        <w:rPr>
          <w:rFonts w:cs="Times New Roman"/>
        </w:rPr>
        <w:t>reduce</w:t>
      </w:r>
      <w:r w:rsidR="00AC64EA">
        <w:rPr>
          <w:rFonts w:cs="Times New Roman"/>
        </w:rPr>
        <w:t>d</w:t>
      </w:r>
      <w:r w:rsidR="00105E6B" w:rsidRPr="00105E6B">
        <w:rPr>
          <w:rFonts w:cs="Times New Roman"/>
        </w:rPr>
        <w:t xml:space="preserve"> risks of homelessness, and improve</w:t>
      </w:r>
      <w:r w:rsidR="00AC64EA">
        <w:rPr>
          <w:rFonts w:cs="Times New Roman"/>
        </w:rPr>
        <w:t>d</w:t>
      </w:r>
      <w:r w:rsidR="00105E6B" w:rsidRPr="00105E6B">
        <w:rPr>
          <w:rFonts w:cs="Times New Roman"/>
        </w:rPr>
        <w:t xml:space="preserve"> access to HIV treatment and other health care and support.</w:t>
      </w:r>
    </w:p>
    <w:p w14:paraId="4F8A905F" w14:textId="77777777" w:rsidR="00105E6B" w:rsidRPr="00105E6B" w:rsidRDefault="00105E6B" w:rsidP="00F1581D">
      <w:pPr>
        <w:pStyle w:val="NoSpacing"/>
        <w:numPr>
          <w:ilvl w:val="2"/>
          <w:numId w:val="28"/>
        </w:numPr>
        <w:ind w:left="540"/>
        <w:rPr>
          <w:rFonts w:cs="Times New Roman"/>
          <w:b/>
        </w:rPr>
      </w:pPr>
      <w:r w:rsidRPr="00105E6B">
        <w:rPr>
          <w:rFonts w:cs="Times New Roman"/>
          <w:b/>
        </w:rPr>
        <w:t>Output</w:t>
      </w:r>
    </w:p>
    <w:p w14:paraId="5FD0E02B" w14:textId="29CBF6CF" w:rsidR="00552FE5" w:rsidRDefault="00105E6B" w:rsidP="00F1581D">
      <w:pPr>
        <w:pStyle w:val="NoSpacing"/>
        <w:ind w:left="540"/>
        <w:rPr>
          <w:rFonts w:cs="Times New Roman"/>
        </w:rPr>
      </w:pPr>
      <w:r w:rsidRPr="00105E6B">
        <w:rPr>
          <w:rFonts w:cs="Times New Roman"/>
        </w:rPr>
        <w:t>The number of households that receive HOPWA assistance during the operating year.</w:t>
      </w:r>
    </w:p>
    <w:p w14:paraId="4ECB1A9C" w14:textId="18D692C1" w:rsidR="00105E6B" w:rsidRPr="00105E6B" w:rsidRDefault="00105E6B" w:rsidP="00F1581D">
      <w:pPr>
        <w:pStyle w:val="NoSpacing"/>
        <w:numPr>
          <w:ilvl w:val="2"/>
          <w:numId w:val="28"/>
        </w:numPr>
        <w:ind w:left="540"/>
        <w:rPr>
          <w:rFonts w:cs="Times New Roman"/>
          <w:b/>
        </w:rPr>
      </w:pPr>
      <w:r w:rsidRPr="00105E6B">
        <w:rPr>
          <w:rFonts w:cs="Times New Roman"/>
          <w:b/>
        </w:rPr>
        <w:t>Permanent Housing Placement</w:t>
      </w:r>
      <w:r w:rsidR="009431A2">
        <w:rPr>
          <w:rFonts w:cs="Times New Roman"/>
          <w:b/>
        </w:rPr>
        <w:t xml:space="preserve"> (PHP)</w:t>
      </w:r>
      <w:r>
        <w:rPr>
          <w:rFonts w:cs="Times New Roman"/>
          <w:b/>
        </w:rPr>
        <w:t xml:space="preserve"> Services</w:t>
      </w:r>
    </w:p>
    <w:p w14:paraId="2FC3B0ED" w14:textId="4E28C2E3" w:rsidR="00552FE5" w:rsidRDefault="00105E6B" w:rsidP="00F1581D">
      <w:pPr>
        <w:pStyle w:val="NoSpacing"/>
        <w:ind w:left="540"/>
        <w:rPr>
          <w:rFonts w:cs="Times New Roman"/>
        </w:rPr>
      </w:pPr>
      <w:r w:rsidRPr="00105E6B">
        <w:rPr>
          <w:rFonts w:cs="Times New Roman"/>
        </w:rPr>
        <w:t xml:space="preserve">A supportive housing </w:t>
      </w:r>
      <w:r>
        <w:rPr>
          <w:rFonts w:cs="Times New Roman"/>
        </w:rPr>
        <w:t xml:space="preserve">assistance </w:t>
      </w:r>
      <w:r w:rsidRPr="00105E6B">
        <w:rPr>
          <w:rFonts w:cs="Times New Roman"/>
        </w:rPr>
        <w:t xml:space="preserve">service </w:t>
      </w:r>
      <w:r w:rsidR="00592503" w:rsidRPr="00592503">
        <w:rPr>
          <w:rFonts w:cs="Times New Roman"/>
        </w:rPr>
        <w:t>used to help households establish permanent residence</w:t>
      </w:r>
      <w:r w:rsidR="00FA52E3">
        <w:rPr>
          <w:rFonts w:cs="Times New Roman"/>
        </w:rPr>
        <w:t xml:space="preserve"> with a reasonable expectation their occupancy will continue.</w:t>
      </w:r>
      <w:r w:rsidRPr="00105E6B">
        <w:rPr>
          <w:rFonts w:cs="Times New Roman"/>
        </w:rPr>
        <w:t xml:space="preserve"> </w:t>
      </w:r>
      <w:r w:rsidR="00592503" w:rsidRPr="00592503">
        <w:rPr>
          <w:rFonts w:cs="Times New Roman"/>
        </w:rPr>
        <w:t>Eligible costs include application fees, related credit checks, utility hookup fees and deposits, and reasonable security deposits necessary to move persons into permanent housing.</w:t>
      </w:r>
    </w:p>
    <w:p w14:paraId="16ED1F81" w14:textId="77777777" w:rsidR="00105E6B" w:rsidRPr="00105E6B" w:rsidRDefault="00105E6B" w:rsidP="00F1581D">
      <w:pPr>
        <w:pStyle w:val="NoSpacing"/>
        <w:numPr>
          <w:ilvl w:val="2"/>
          <w:numId w:val="28"/>
        </w:numPr>
        <w:ind w:left="540"/>
        <w:rPr>
          <w:rFonts w:cs="Times New Roman"/>
          <w:b/>
        </w:rPr>
      </w:pPr>
      <w:r w:rsidRPr="00105E6B">
        <w:rPr>
          <w:rFonts w:cs="Times New Roman"/>
          <w:b/>
        </w:rPr>
        <w:t>Program Income</w:t>
      </w:r>
    </w:p>
    <w:p w14:paraId="4400C179" w14:textId="0CC96558" w:rsidR="00552FE5" w:rsidRDefault="00105E6B" w:rsidP="00857A3A">
      <w:pPr>
        <w:pStyle w:val="NoSpacing"/>
        <w:ind w:left="540"/>
        <w:rPr>
          <w:rFonts w:cs="Times New Roman"/>
        </w:rPr>
      </w:pPr>
      <w:r w:rsidRPr="00105E6B">
        <w:rPr>
          <w:rFonts w:cs="Times New Roman"/>
        </w:rPr>
        <w:t>Gross income directly generated from the use of HOPWA funds</w:t>
      </w:r>
      <w:r w:rsidR="00B40161">
        <w:rPr>
          <w:rFonts w:cs="Times New Roman"/>
        </w:rPr>
        <w:t xml:space="preserve"> (e.g., household rent payments to the Project Sponsor, </w:t>
      </w:r>
      <w:proofErr w:type="gramStart"/>
      <w:r w:rsidR="00B40161">
        <w:rPr>
          <w:rFonts w:cs="Times New Roman"/>
        </w:rPr>
        <w:t>security</w:t>
      </w:r>
      <w:proofErr w:type="gramEnd"/>
      <w:r w:rsidR="00B40161">
        <w:rPr>
          <w:rFonts w:cs="Times New Roman"/>
        </w:rPr>
        <w:t xml:space="preserve"> or utility deposit refunds, etc.)</w:t>
      </w:r>
      <w:r w:rsidRPr="00105E6B">
        <w:rPr>
          <w:rFonts w:cs="Times New Roman"/>
        </w:rPr>
        <w:t>.</w:t>
      </w:r>
      <w:r w:rsidR="00B40161">
        <w:rPr>
          <w:rFonts w:cs="Times New Roman"/>
        </w:rPr>
        <w:t xml:space="preserve"> See grant administration requirements for program income at 2 CFR </w:t>
      </w:r>
      <w:r w:rsidR="00B40161" w:rsidRPr="00BB2C8B">
        <w:rPr>
          <w:rFonts w:cs="Times New Roman"/>
        </w:rPr>
        <w:t>§</w:t>
      </w:r>
      <w:r w:rsidR="00B40161">
        <w:rPr>
          <w:rFonts w:cs="Times New Roman"/>
        </w:rPr>
        <w:t>200.307.</w:t>
      </w:r>
    </w:p>
    <w:p w14:paraId="78E50A77" w14:textId="746DF2F6" w:rsidR="00146F39" w:rsidRDefault="00146F39" w:rsidP="00F1581D">
      <w:pPr>
        <w:pStyle w:val="NoSpacing"/>
        <w:numPr>
          <w:ilvl w:val="2"/>
          <w:numId w:val="28"/>
        </w:numPr>
        <w:ind w:left="540"/>
        <w:rPr>
          <w:rFonts w:cs="Times New Roman"/>
          <w:b/>
        </w:rPr>
      </w:pPr>
      <w:r w:rsidRPr="00146F39">
        <w:rPr>
          <w:rFonts w:cs="Times New Roman"/>
          <w:b/>
        </w:rPr>
        <w:t>P</w:t>
      </w:r>
      <w:r w:rsidR="00A64C0C">
        <w:rPr>
          <w:rFonts w:cs="Times New Roman"/>
          <w:b/>
        </w:rPr>
        <w:t>roject-B</w:t>
      </w:r>
      <w:r w:rsidR="008468F9">
        <w:rPr>
          <w:rFonts w:cs="Times New Roman"/>
          <w:b/>
        </w:rPr>
        <w:t>ased Rental Assistance</w:t>
      </w:r>
      <w:r w:rsidR="009431A2">
        <w:rPr>
          <w:rFonts w:cs="Times New Roman"/>
          <w:b/>
        </w:rPr>
        <w:t xml:space="preserve"> (</w:t>
      </w:r>
      <w:proofErr w:type="spellStart"/>
      <w:r w:rsidR="009431A2">
        <w:rPr>
          <w:rFonts w:cs="Times New Roman"/>
          <w:b/>
        </w:rPr>
        <w:t>PBRA</w:t>
      </w:r>
      <w:proofErr w:type="spellEnd"/>
      <w:r w:rsidR="009431A2">
        <w:rPr>
          <w:rFonts w:cs="Times New Roman"/>
          <w:b/>
        </w:rPr>
        <w:t>)</w:t>
      </w:r>
      <w:r w:rsidR="008468F9">
        <w:rPr>
          <w:rFonts w:cs="Times New Roman"/>
          <w:b/>
        </w:rPr>
        <w:t xml:space="preserve"> Services</w:t>
      </w:r>
    </w:p>
    <w:p w14:paraId="042E232D" w14:textId="0F6F4E4E" w:rsidR="00146F39" w:rsidRPr="00146F39" w:rsidRDefault="00146F39" w:rsidP="00F1581D">
      <w:pPr>
        <w:pStyle w:val="NoSpacing"/>
        <w:ind w:left="540"/>
        <w:rPr>
          <w:rFonts w:cs="Times New Roman"/>
        </w:rPr>
      </w:pPr>
      <w:r>
        <w:rPr>
          <w:rFonts w:cs="Times New Roman"/>
        </w:rPr>
        <w:t>A facility-based rental assistance service</w:t>
      </w:r>
      <w:r w:rsidRPr="00146F39">
        <w:rPr>
          <w:rFonts w:cs="Times New Roman"/>
        </w:rPr>
        <w:t xml:space="preserve"> </w:t>
      </w:r>
      <w:r w:rsidR="002C5741">
        <w:rPr>
          <w:rFonts w:cs="Times New Roman"/>
        </w:rPr>
        <w:t>linked</w:t>
      </w:r>
      <w:r w:rsidRPr="00146F39">
        <w:rPr>
          <w:rFonts w:cs="Times New Roman"/>
        </w:rPr>
        <w:t xml:space="preserve"> to </w:t>
      </w:r>
      <w:r w:rsidR="00AC64EA">
        <w:rPr>
          <w:rFonts w:cs="Times New Roman"/>
        </w:rPr>
        <w:t xml:space="preserve">specific </w:t>
      </w:r>
      <w:r w:rsidRPr="00146F39">
        <w:rPr>
          <w:rFonts w:cs="Times New Roman"/>
        </w:rPr>
        <w:t>units</w:t>
      </w:r>
      <w:r w:rsidR="00AE4B88">
        <w:rPr>
          <w:rFonts w:cs="Times New Roman"/>
        </w:rPr>
        <w:t xml:space="preserve"> (</w:t>
      </w:r>
      <w:r w:rsidR="002C5741">
        <w:rPr>
          <w:rFonts w:cs="Times New Roman"/>
        </w:rPr>
        <w:t xml:space="preserve">single </w:t>
      </w:r>
      <w:r w:rsidR="00AE4B88">
        <w:rPr>
          <w:rFonts w:cs="Times New Roman"/>
        </w:rPr>
        <w:t>or scattered site)</w:t>
      </w:r>
      <w:r w:rsidRPr="00146F39">
        <w:rPr>
          <w:rFonts w:cs="Times New Roman"/>
        </w:rPr>
        <w:t xml:space="preserve"> </w:t>
      </w:r>
      <w:r w:rsidR="000558EB">
        <w:rPr>
          <w:rFonts w:cs="Times New Roman"/>
        </w:rPr>
        <w:t>owned or controlled by a Project Sponsor</w:t>
      </w:r>
      <w:r>
        <w:rPr>
          <w:rFonts w:cs="Times New Roman"/>
        </w:rPr>
        <w:t>.</w:t>
      </w:r>
      <w:r w:rsidR="00AC5DC1">
        <w:rPr>
          <w:rFonts w:cs="Times New Roman"/>
        </w:rPr>
        <w:t xml:space="preserve"> </w:t>
      </w:r>
      <w:r w:rsidR="000558EB">
        <w:rPr>
          <w:rFonts w:cs="Times New Roman"/>
        </w:rPr>
        <w:t>Project Sponsors lease</w:t>
      </w:r>
      <w:r w:rsidR="000558EB" w:rsidRPr="00F01D68">
        <w:rPr>
          <w:rFonts w:cs="Times New Roman"/>
        </w:rPr>
        <w:t xml:space="preserve"> the u</w:t>
      </w:r>
      <w:r w:rsidR="000558EB">
        <w:rPr>
          <w:rFonts w:cs="Times New Roman"/>
        </w:rPr>
        <w:t>nits to eligible households</w:t>
      </w:r>
      <w:r w:rsidR="000558EB" w:rsidRPr="00F01D68">
        <w:rPr>
          <w:rFonts w:cs="Times New Roman"/>
        </w:rPr>
        <w:t xml:space="preserve">. </w:t>
      </w:r>
      <w:r w:rsidR="001F6B43">
        <w:rPr>
          <w:rFonts w:cs="Times New Roman"/>
        </w:rPr>
        <w:t>Unlike Tenant-Based Rental Assistance, the a</w:t>
      </w:r>
      <w:r w:rsidR="00AC5DC1">
        <w:rPr>
          <w:rFonts w:cs="Times New Roman"/>
        </w:rPr>
        <w:t xml:space="preserve">ssistance </w:t>
      </w:r>
      <w:r w:rsidR="00664564">
        <w:rPr>
          <w:rFonts w:cs="Times New Roman"/>
        </w:rPr>
        <w:t>cannot transfer to another unit</w:t>
      </w:r>
      <w:r w:rsidRPr="00146F39">
        <w:rPr>
          <w:rFonts w:cs="Times New Roman"/>
        </w:rPr>
        <w:t>.</w:t>
      </w:r>
    </w:p>
    <w:p w14:paraId="2537BEB7" w14:textId="77777777" w:rsidR="00105E6B" w:rsidRDefault="00105E6B" w:rsidP="00F1581D">
      <w:pPr>
        <w:pStyle w:val="NoSpacing"/>
        <w:numPr>
          <w:ilvl w:val="2"/>
          <w:numId w:val="28"/>
        </w:numPr>
        <w:ind w:left="540"/>
        <w:rPr>
          <w:rFonts w:cs="Times New Roman"/>
        </w:rPr>
      </w:pPr>
      <w:r w:rsidRPr="00105E6B">
        <w:rPr>
          <w:rFonts w:cs="Times New Roman"/>
          <w:b/>
        </w:rPr>
        <w:t>Project Sponsor</w:t>
      </w:r>
    </w:p>
    <w:p w14:paraId="3114A0C4" w14:textId="3C1BBD7C" w:rsidR="00552FE5" w:rsidRDefault="00105E6B" w:rsidP="00F1581D">
      <w:pPr>
        <w:pStyle w:val="NoSpacing"/>
        <w:ind w:left="540"/>
        <w:rPr>
          <w:rFonts w:cs="Times New Roman"/>
        </w:rPr>
      </w:pPr>
      <w:r w:rsidRPr="00105E6B">
        <w:rPr>
          <w:rFonts w:cs="Times New Roman"/>
        </w:rPr>
        <w:t>Any nonprofit organization or governmental housing agency that receives funds under a contract with the grantee</w:t>
      </w:r>
      <w:r w:rsidR="00945928">
        <w:rPr>
          <w:rFonts w:cs="Times New Roman"/>
        </w:rPr>
        <w:t xml:space="preserve"> </w:t>
      </w:r>
      <w:r w:rsidRPr="00105E6B">
        <w:rPr>
          <w:rFonts w:cs="Times New Roman"/>
        </w:rPr>
        <w:t xml:space="preserve">to provide eligible housing and other support services or administrative services as </w:t>
      </w:r>
      <w:r w:rsidR="002568C9">
        <w:rPr>
          <w:rFonts w:cs="Times New Roman"/>
        </w:rPr>
        <w:t>defined</w:t>
      </w:r>
      <w:r w:rsidR="00B21A8D" w:rsidRPr="00105E6B">
        <w:rPr>
          <w:rFonts w:cs="Times New Roman"/>
        </w:rPr>
        <w:t xml:space="preserve"> </w:t>
      </w:r>
      <w:r w:rsidRPr="00105E6B">
        <w:rPr>
          <w:rFonts w:cs="Times New Roman"/>
        </w:rPr>
        <w:t xml:space="preserve">in 24 CFR </w:t>
      </w:r>
      <w:r w:rsidRPr="00BB2C8B">
        <w:rPr>
          <w:rFonts w:cs="Times New Roman"/>
        </w:rPr>
        <w:t>§</w:t>
      </w:r>
      <w:r>
        <w:rPr>
          <w:rFonts w:cs="Times New Roman"/>
        </w:rPr>
        <w:t>574.300.</w:t>
      </w:r>
      <w:r w:rsidR="00945928">
        <w:rPr>
          <w:rFonts w:cs="Times New Roman"/>
        </w:rPr>
        <w:t xml:space="preserve"> </w:t>
      </w:r>
      <w:r>
        <w:rPr>
          <w:rFonts w:cs="Times New Roman"/>
        </w:rPr>
        <w:t xml:space="preserve">Project Sponsors </w:t>
      </w:r>
      <w:r w:rsidR="00356A23">
        <w:rPr>
          <w:rFonts w:cs="Times New Roman"/>
        </w:rPr>
        <w:t>must</w:t>
      </w:r>
      <w:r w:rsidRPr="00105E6B">
        <w:rPr>
          <w:rFonts w:cs="Times New Roman"/>
        </w:rPr>
        <w:t xml:space="preserve"> provide performance data on househol</w:t>
      </w:r>
      <w:r>
        <w:rPr>
          <w:rFonts w:cs="Times New Roman"/>
        </w:rPr>
        <w:t>ds served and funds expended.</w:t>
      </w:r>
      <w:r w:rsidR="00F87C22">
        <w:rPr>
          <w:rFonts w:cs="Times New Roman"/>
        </w:rPr>
        <w:t xml:space="preserve"> Funding flows to a Project Sponsor as follows:</w:t>
      </w:r>
    </w:p>
    <w:tbl>
      <w:tblPr>
        <w:tblStyle w:val="TableGrid"/>
        <w:tblW w:w="4792" w:type="pct"/>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9"/>
        <w:gridCol w:w="1479"/>
        <w:gridCol w:w="1479"/>
        <w:gridCol w:w="1479"/>
        <w:gridCol w:w="1479"/>
        <w:gridCol w:w="1478"/>
        <w:gridCol w:w="1478"/>
      </w:tblGrid>
      <w:tr w:rsidR="00C46561" w:rsidRPr="00421B91" w14:paraId="541D6C19" w14:textId="77777777" w:rsidTr="00066B7E">
        <w:trPr>
          <w:trHeight w:val="20"/>
        </w:trPr>
        <w:tc>
          <w:tcPr>
            <w:tcW w:w="714" w:type="pct"/>
          </w:tcPr>
          <w:p w14:paraId="59E5B032" w14:textId="77777777" w:rsidR="00C46561" w:rsidRPr="00421B91" w:rsidRDefault="00C46561" w:rsidP="00ED208F">
            <w:pPr>
              <w:rPr>
                <w:rFonts w:ascii="Calibri" w:hAnsi="Calibri"/>
                <w:i/>
              </w:rPr>
            </w:pPr>
            <w:r w:rsidRPr="00421B91">
              <w:rPr>
                <w:rFonts w:ascii="Calibri" w:hAnsi="Calibri"/>
                <w:i/>
              </w:rPr>
              <w:t>HUD</w:t>
            </w:r>
          </w:p>
        </w:tc>
        <w:tc>
          <w:tcPr>
            <w:tcW w:w="714" w:type="pct"/>
          </w:tcPr>
          <w:p w14:paraId="5BA5411C" w14:textId="77777777" w:rsidR="00C46561" w:rsidRPr="00421B91" w:rsidRDefault="00C46561" w:rsidP="00ED208F">
            <w:pPr>
              <w:rPr>
                <w:rFonts w:ascii="Calibri" w:hAnsi="Calibri"/>
                <w:i/>
              </w:rPr>
            </w:pPr>
            <w:r w:rsidRPr="00421B91">
              <w:rPr>
                <w:rFonts w:ascii="Calibri" w:hAnsi="Calibri"/>
                <w:i/>
                <w:noProof/>
              </w:rPr>
              <mc:AlternateContent>
                <mc:Choice Requires="wps">
                  <w:drawing>
                    <wp:inline distT="0" distB="0" distL="0" distR="0" wp14:anchorId="07C8D107" wp14:editId="3E07BA22">
                      <wp:extent cx="457200" cy="91440"/>
                      <wp:effectExtent l="0" t="19050" r="38100" b="41910"/>
                      <wp:docPr id="6" name="Right Arrow 6"/>
                      <wp:cNvGraphicFramePr/>
                      <a:graphic xmlns:a="http://schemas.openxmlformats.org/drawingml/2006/main">
                        <a:graphicData uri="http://schemas.microsoft.com/office/word/2010/wordprocessingShape">
                          <wps:wsp>
                            <wps:cNvSpPr/>
                            <wps:spPr>
                              <a:xfrm>
                                <a:off x="0" y="0"/>
                                <a:ext cx="457200" cy="914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721B651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width:36pt;height:7.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" adj="19440" fillcolor="#5b9bd5 [3204]" strokecolor="#1f4d78 [1604]" strokeweight="1pt">
                      <w10:anchorlock/>
                    </v:shape>
                  </w:pict>
                </mc:Fallback>
              </mc:AlternateContent>
            </w:r>
          </w:p>
        </w:tc>
        <w:tc>
          <w:tcPr>
            <w:tcW w:w="714" w:type="pct"/>
          </w:tcPr>
          <w:p w14:paraId="6DBFABEE" w14:textId="77777777" w:rsidR="00C46561" w:rsidRPr="00421B91" w:rsidRDefault="00C46561" w:rsidP="00ED208F">
            <w:pPr>
              <w:rPr>
                <w:rFonts w:ascii="Calibri" w:hAnsi="Calibri"/>
                <w:i/>
              </w:rPr>
            </w:pPr>
            <w:r w:rsidRPr="00421B91">
              <w:rPr>
                <w:rFonts w:ascii="Calibri" w:hAnsi="Calibri"/>
                <w:i/>
              </w:rPr>
              <w:t>DSHS</w:t>
            </w:r>
          </w:p>
        </w:tc>
        <w:tc>
          <w:tcPr>
            <w:tcW w:w="714" w:type="pct"/>
          </w:tcPr>
          <w:p w14:paraId="6D33C4B7" w14:textId="77777777" w:rsidR="00C46561" w:rsidRPr="00421B91" w:rsidRDefault="00C46561" w:rsidP="00ED208F">
            <w:pPr>
              <w:rPr>
                <w:rFonts w:ascii="Calibri" w:hAnsi="Calibri"/>
                <w:i/>
              </w:rPr>
            </w:pPr>
            <w:r w:rsidRPr="00421B91">
              <w:rPr>
                <w:rFonts w:ascii="Calibri" w:hAnsi="Calibri"/>
                <w:i/>
                <w:noProof/>
              </w:rPr>
              <mc:AlternateContent>
                <mc:Choice Requires="wps">
                  <w:drawing>
                    <wp:inline distT="0" distB="0" distL="0" distR="0" wp14:anchorId="497C73DB" wp14:editId="467579AA">
                      <wp:extent cx="457200" cy="91440"/>
                      <wp:effectExtent l="0" t="19050" r="38100" b="41910"/>
                      <wp:docPr id="13" name="Right Arrow 13"/>
                      <wp:cNvGraphicFramePr/>
                      <a:graphic xmlns:a="http://schemas.openxmlformats.org/drawingml/2006/main">
                        <a:graphicData uri="http://schemas.microsoft.com/office/word/2010/wordprocessingShape">
                          <wps:wsp>
                            <wps:cNvSpPr/>
                            <wps:spPr>
                              <a:xfrm>
                                <a:off x="0" y="0"/>
                                <a:ext cx="457200" cy="914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DEB2C07" id="Right Arrow 13" o:spid="_x0000_s1026" type="#_x0000_t13" style="width:36pt;height:7.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" adj="19440" fillcolor="#5b9bd5 [3204]" strokecolor="#1f4d78 [1604]" strokeweight="1pt">
                      <w10:anchorlock/>
                    </v:shape>
                  </w:pict>
                </mc:Fallback>
              </mc:AlternateContent>
            </w:r>
          </w:p>
        </w:tc>
        <w:tc>
          <w:tcPr>
            <w:tcW w:w="714" w:type="pct"/>
          </w:tcPr>
          <w:p w14:paraId="760E990A" w14:textId="77777777" w:rsidR="00C46561" w:rsidRPr="00421B91" w:rsidRDefault="00C46561" w:rsidP="00ED208F">
            <w:pPr>
              <w:rPr>
                <w:rFonts w:ascii="Calibri" w:hAnsi="Calibri"/>
                <w:i/>
              </w:rPr>
            </w:pPr>
            <w:r w:rsidRPr="00421B91">
              <w:rPr>
                <w:rFonts w:ascii="Calibri" w:hAnsi="Calibri"/>
                <w:i/>
              </w:rPr>
              <w:t>AA</w:t>
            </w:r>
          </w:p>
        </w:tc>
        <w:tc>
          <w:tcPr>
            <w:tcW w:w="714" w:type="pct"/>
          </w:tcPr>
          <w:p w14:paraId="2911F884" w14:textId="77777777" w:rsidR="00C46561" w:rsidRPr="00421B91" w:rsidRDefault="00C46561" w:rsidP="00ED208F">
            <w:pPr>
              <w:rPr>
                <w:rFonts w:ascii="Calibri" w:hAnsi="Calibri"/>
                <w:i/>
              </w:rPr>
            </w:pPr>
            <w:r w:rsidRPr="00421B91">
              <w:rPr>
                <w:rFonts w:ascii="Calibri" w:hAnsi="Calibri"/>
                <w:i/>
                <w:noProof/>
              </w:rPr>
              <mc:AlternateContent>
                <mc:Choice Requires="wps">
                  <w:drawing>
                    <wp:inline distT="0" distB="0" distL="0" distR="0" wp14:anchorId="23C9582F" wp14:editId="7E48CC5A">
                      <wp:extent cx="457200" cy="91440"/>
                      <wp:effectExtent l="0" t="19050" r="38100" b="41910"/>
                      <wp:docPr id="15" name="Right Arrow 15"/>
                      <wp:cNvGraphicFramePr/>
                      <a:graphic xmlns:a="http://schemas.openxmlformats.org/drawingml/2006/main">
                        <a:graphicData uri="http://schemas.microsoft.com/office/word/2010/wordprocessingShape">
                          <wps:wsp>
                            <wps:cNvSpPr/>
                            <wps:spPr>
                              <a:xfrm>
                                <a:off x="0" y="0"/>
                                <a:ext cx="457200" cy="914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F071BD6" id="Right Arrow 15" o:spid="_x0000_s1026" type="#_x0000_t13" style="width:36pt;height:7.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" adj="19440" fillcolor="#5b9bd5 [3204]" strokecolor="#1f4d78 [1604]" strokeweight="1pt">
                      <w10:anchorlock/>
                    </v:shape>
                  </w:pict>
                </mc:Fallback>
              </mc:AlternateContent>
            </w:r>
          </w:p>
        </w:tc>
        <w:tc>
          <w:tcPr>
            <w:tcW w:w="714" w:type="pct"/>
          </w:tcPr>
          <w:p w14:paraId="31779860" w14:textId="77777777" w:rsidR="00C46561" w:rsidRPr="00421B91" w:rsidRDefault="00C46561" w:rsidP="00ED208F">
            <w:pPr>
              <w:rPr>
                <w:rFonts w:ascii="Calibri" w:hAnsi="Calibri"/>
                <w:i/>
              </w:rPr>
            </w:pPr>
            <w:r w:rsidRPr="00421B91">
              <w:rPr>
                <w:rFonts w:ascii="Calibri" w:hAnsi="Calibri"/>
                <w:i/>
              </w:rPr>
              <w:t>Sponsor</w:t>
            </w:r>
          </w:p>
        </w:tc>
      </w:tr>
    </w:tbl>
    <w:p w14:paraId="0A7B05FB" w14:textId="0E85325E" w:rsidR="000D2CB2" w:rsidRPr="000B3C6D" w:rsidRDefault="00C7556B" w:rsidP="00F1581D">
      <w:pPr>
        <w:pStyle w:val="NoSpacing"/>
        <w:numPr>
          <w:ilvl w:val="0"/>
          <w:numId w:val="100"/>
        </w:numPr>
        <w:ind w:left="540"/>
        <w:rPr>
          <w:rFonts w:cs="Times New Roman"/>
          <w:b/>
        </w:rPr>
      </w:pPr>
      <w:r>
        <w:rPr>
          <w:rFonts w:cs="Times New Roman"/>
          <w:b/>
        </w:rPr>
        <w:t>R</w:t>
      </w:r>
      <w:r w:rsidR="000D2CB2" w:rsidRPr="000B3C6D">
        <w:rPr>
          <w:rFonts w:cs="Times New Roman"/>
          <w:b/>
        </w:rPr>
        <w:t>ental Assistance</w:t>
      </w:r>
    </w:p>
    <w:p w14:paraId="2CA120D6" w14:textId="4182EA97" w:rsidR="000D2CB2" w:rsidRDefault="00555620" w:rsidP="00F1581D">
      <w:pPr>
        <w:pStyle w:val="NoSpacing"/>
        <w:ind w:left="540"/>
        <w:rPr>
          <w:rFonts w:cs="Times New Roman"/>
        </w:rPr>
      </w:pPr>
      <w:r>
        <w:rPr>
          <w:rFonts w:cs="Times New Roman"/>
        </w:rPr>
        <w:t>A housing assistance service</w:t>
      </w:r>
      <w:r w:rsidR="000B3C6D">
        <w:rPr>
          <w:rFonts w:cs="Times New Roman"/>
        </w:rPr>
        <w:t xml:space="preserve"> </w:t>
      </w:r>
      <w:r w:rsidR="002D6F3C">
        <w:rPr>
          <w:rFonts w:cs="Times New Roman"/>
        </w:rPr>
        <w:t>that</w:t>
      </w:r>
      <w:r>
        <w:rPr>
          <w:rFonts w:cs="Times New Roman"/>
        </w:rPr>
        <w:t xml:space="preserve"> subsidizes the rent of a household</w:t>
      </w:r>
      <w:r w:rsidR="002D6F3C">
        <w:rPr>
          <w:rFonts w:cs="Times New Roman"/>
        </w:rPr>
        <w:t xml:space="preserve">, </w:t>
      </w:r>
      <w:r w:rsidR="002D6F3C" w:rsidRPr="008026D4">
        <w:rPr>
          <w:rFonts w:cs="Times New Roman"/>
        </w:rPr>
        <w:t>including assistance for shared housing arrangements</w:t>
      </w:r>
      <w:r>
        <w:rPr>
          <w:rFonts w:cs="Times New Roman"/>
        </w:rPr>
        <w:t xml:space="preserve">. </w:t>
      </w:r>
      <w:r w:rsidR="00E23BFF" w:rsidRPr="00C72CB5">
        <w:rPr>
          <w:rFonts w:cs="Times New Roman"/>
        </w:rPr>
        <w:t>The</w:t>
      </w:r>
      <w:r w:rsidR="00C72CB5" w:rsidRPr="00C72CB5">
        <w:rPr>
          <w:rFonts w:cs="Times New Roman"/>
        </w:rPr>
        <w:t xml:space="preserve"> subsidy amount </w:t>
      </w:r>
      <w:r w:rsidR="007072AE">
        <w:rPr>
          <w:rFonts w:cs="Times New Roman"/>
        </w:rPr>
        <w:t>depends</w:t>
      </w:r>
      <w:r w:rsidR="00C72CB5" w:rsidRPr="00C72CB5">
        <w:rPr>
          <w:rFonts w:cs="Times New Roman"/>
        </w:rPr>
        <w:t xml:space="preserve"> on</w:t>
      </w:r>
      <w:r w:rsidR="007072AE">
        <w:rPr>
          <w:rFonts w:cs="Times New Roman"/>
        </w:rPr>
        <w:t xml:space="preserve"> several factors, including</w:t>
      </w:r>
      <w:r w:rsidR="00C72CB5" w:rsidRPr="00C72CB5">
        <w:rPr>
          <w:rFonts w:cs="Times New Roman"/>
        </w:rPr>
        <w:t xml:space="preserve"> household income</w:t>
      </w:r>
      <w:r w:rsidR="007072AE">
        <w:rPr>
          <w:rFonts w:cs="Times New Roman"/>
        </w:rPr>
        <w:t xml:space="preserve"> and</w:t>
      </w:r>
      <w:r w:rsidR="00C72CB5" w:rsidRPr="00C72CB5">
        <w:rPr>
          <w:rFonts w:cs="Times New Roman"/>
        </w:rPr>
        <w:t xml:space="preserve"> rental costs associated with the household’s lease.</w:t>
      </w:r>
      <w:r w:rsidR="00C72CB5">
        <w:rPr>
          <w:rFonts w:cs="Times New Roman"/>
        </w:rPr>
        <w:t xml:space="preserve"> </w:t>
      </w:r>
      <w:r>
        <w:rPr>
          <w:rFonts w:cs="Times New Roman"/>
        </w:rPr>
        <w:t xml:space="preserve">HOPWA rental </w:t>
      </w:r>
      <w:r w:rsidRPr="00555620">
        <w:rPr>
          <w:rFonts w:cs="Times New Roman"/>
        </w:rPr>
        <w:t xml:space="preserve">assistance can </w:t>
      </w:r>
      <w:r>
        <w:rPr>
          <w:rFonts w:cs="Times New Roman"/>
        </w:rPr>
        <w:t>be tenant-</w:t>
      </w:r>
      <w:r w:rsidR="00421B91">
        <w:rPr>
          <w:rFonts w:cs="Times New Roman"/>
        </w:rPr>
        <w:t xml:space="preserve"> </w:t>
      </w:r>
      <w:r>
        <w:rPr>
          <w:rFonts w:cs="Times New Roman"/>
        </w:rPr>
        <w:t>or facility-based</w:t>
      </w:r>
      <w:r w:rsidR="00421B91">
        <w:rPr>
          <w:rFonts w:cs="Times New Roman"/>
        </w:rPr>
        <w:t xml:space="preserve">. </w:t>
      </w:r>
      <w:r w:rsidR="004D772C">
        <w:rPr>
          <w:rFonts w:cs="Times New Roman"/>
        </w:rPr>
        <w:t xml:space="preserve">All rental assistance services are subject to </w:t>
      </w:r>
      <w:r w:rsidR="00B207EA">
        <w:rPr>
          <w:rFonts w:cs="Times New Roman"/>
        </w:rPr>
        <w:t>the following components</w:t>
      </w:r>
      <w:r w:rsidR="004D772C">
        <w:rPr>
          <w:rFonts w:cs="Times New Roman"/>
        </w:rPr>
        <w:t>:</w:t>
      </w:r>
    </w:p>
    <w:p w14:paraId="02F387A9" w14:textId="03BF004A" w:rsidR="00C7556B" w:rsidRPr="00C7556B" w:rsidRDefault="00C7556B" w:rsidP="00D40F78">
      <w:pPr>
        <w:pStyle w:val="NoSpacing"/>
        <w:numPr>
          <w:ilvl w:val="0"/>
          <w:numId w:val="107"/>
        </w:numPr>
        <w:ind w:left="900"/>
        <w:rPr>
          <w:rFonts w:cs="Times New Roman"/>
        </w:rPr>
      </w:pPr>
      <w:r w:rsidRPr="00C7556B">
        <w:rPr>
          <w:rFonts w:cs="Times New Roman"/>
        </w:rPr>
        <w:t>Housing Quality Standards Certification;</w:t>
      </w:r>
    </w:p>
    <w:p w14:paraId="53A8147E" w14:textId="566E88FB" w:rsidR="00C7556B" w:rsidRPr="00C7556B" w:rsidRDefault="00C7556B" w:rsidP="00D40F78">
      <w:pPr>
        <w:pStyle w:val="NoSpacing"/>
        <w:numPr>
          <w:ilvl w:val="0"/>
          <w:numId w:val="107"/>
        </w:numPr>
        <w:ind w:left="900"/>
        <w:rPr>
          <w:rFonts w:cs="Times New Roman"/>
        </w:rPr>
      </w:pPr>
      <w:r w:rsidRPr="00C7556B">
        <w:rPr>
          <w:rFonts w:cs="Times New Roman"/>
        </w:rPr>
        <w:t xml:space="preserve">Rent Standard and Rent Reasonableness </w:t>
      </w:r>
      <w:r w:rsidR="00A806A7">
        <w:rPr>
          <w:rFonts w:cs="Times New Roman"/>
        </w:rPr>
        <w:t>Examination</w:t>
      </w:r>
      <w:r w:rsidRPr="00C7556B">
        <w:rPr>
          <w:rFonts w:cs="Times New Roman"/>
        </w:rPr>
        <w:t>; and</w:t>
      </w:r>
    </w:p>
    <w:p w14:paraId="327A6FB2" w14:textId="76254119" w:rsidR="00C7556B" w:rsidRDefault="00C7556B" w:rsidP="00D40F78">
      <w:pPr>
        <w:pStyle w:val="NoSpacing"/>
        <w:numPr>
          <w:ilvl w:val="0"/>
          <w:numId w:val="107"/>
        </w:numPr>
        <w:ind w:left="900"/>
        <w:rPr>
          <w:rFonts w:cs="Times New Roman"/>
        </w:rPr>
      </w:pPr>
      <w:r w:rsidRPr="00C7556B">
        <w:rPr>
          <w:rFonts w:cs="Times New Roman"/>
        </w:rPr>
        <w:t>Rental Assistance Calculation.</w:t>
      </w:r>
    </w:p>
    <w:p w14:paraId="060A9090" w14:textId="40A571F5" w:rsidR="00E23BFF" w:rsidRPr="00ED208F" w:rsidRDefault="00E23BFF" w:rsidP="00F1581D">
      <w:pPr>
        <w:pStyle w:val="NoSpacing"/>
        <w:ind w:left="540"/>
        <w:rPr>
          <w:rFonts w:cs="Times New Roman"/>
        </w:rPr>
      </w:pPr>
      <w:r w:rsidRPr="00E23BFF">
        <w:rPr>
          <w:rFonts w:cs="Times New Roman"/>
        </w:rPr>
        <w:t xml:space="preserve">Depending on </w:t>
      </w:r>
      <w:r>
        <w:rPr>
          <w:rFonts w:cs="Times New Roman"/>
        </w:rPr>
        <w:t>local needs</w:t>
      </w:r>
      <w:r w:rsidRPr="00E23BFF">
        <w:rPr>
          <w:rFonts w:cs="Times New Roman"/>
        </w:rPr>
        <w:t xml:space="preserve">, </w:t>
      </w:r>
      <w:r w:rsidR="00DF6814">
        <w:rPr>
          <w:rFonts w:cs="Times New Roman"/>
        </w:rPr>
        <w:t xml:space="preserve">Project Sponsors may design their </w:t>
      </w:r>
      <w:r>
        <w:rPr>
          <w:rFonts w:cs="Times New Roman"/>
        </w:rPr>
        <w:t xml:space="preserve">rental assistance </w:t>
      </w:r>
      <w:r w:rsidRPr="00E23BFF">
        <w:rPr>
          <w:rFonts w:cs="Times New Roman"/>
        </w:rPr>
        <w:t>as transitional or permanent</w:t>
      </w:r>
      <w:r w:rsidR="00D54255">
        <w:rPr>
          <w:rFonts w:cs="Times New Roman"/>
        </w:rPr>
        <w:t xml:space="preserve"> and include time limits</w:t>
      </w:r>
      <w:r w:rsidRPr="00E23BFF">
        <w:rPr>
          <w:rFonts w:cs="Times New Roman"/>
        </w:rPr>
        <w:t xml:space="preserve">. </w:t>
      </w:r>
      <w:r w:rsidR="00D54255" w:rsidRPr="00D54255">
        <w:rPr>
          <w:rFonts w:cs="Times New Roman"/>
        </w:rPr>
        <w:t xml:space="preserve">If a Project Sponsor establishes </w:t>
      </w:r>
      <w:r w:rsidR="00D54255">
        <w:rPr>
          <w:rFonts w:cs="Times New Roman"/>
        </w:rPr>
        <w:t>a time limit for rental assistance</w:t>
      </w:r>
      <w:r w:rsidR="00D54255" w:rsidRPr="00D54255">
        <w:rPr>
          <w:rFonts w:cs="Times New Roman"/>
        </w:rPr>
        <w:t xml:space="preserve">, they must collaborate with </w:t>
      </w:r>
      <w:r w:rsidR="00570DA0">
        <w:rPr>
          <w:rFonts w:cs="Times New Roman"/>
        </w:rPr>
        <w:t>their AA</w:t>
      </w:r>
      <w:r w:rsidR="00D54255" w:rsidRPr="00D54255">
        <w:rPr>
          <w:rFonts w:cs="Times New Roman"/>
        </w:rPr>
        <w:t xml:space="preserve"> to </w:t>
      </w:r>
      <w:r w:rsidR="00D54255">
        <w:rPr>
          <w:rFonts w:cs="Times New Roman"/>
        </w:rPr>
        <w:t xml:space="preserve">develop a local program policy that </w:t>
      </w:r>
      <w:r w:rsidRPr="00E23BFF">
        <w:rPr>
          <w:rFonts w:cs="Times New Roman"/>
        </w:rPr>
        <w:t>clearly define</w:t>
      </w:r>
      <w:r w:rsidR="00D54255">
        <w:rPr>
          <w:rFonts w:cs="Times New Roman"/>
        </w:rPr>
        <w:t>s</w:t>
      </w:r>
      <w:r w:rsidRPr="00E23BFF">
        <w:rPr>
          <w:rFonts w:cs="Times New Roman"/>
        </w:rPr>
        <w:t xml:space="preserve"> the length of time </w:t>
      </w:r>
      <w:r>
        <w:rPr>
          <w:rFonts w:cs="Times New Roman"/>
        </w:rPr>
        <w:t>households may receive rental assistance</w:t>
      </w:r>
      <w:r w:rsidR="00D54255">
        <w:rPr>
          <w:rFonts w:cs="Times New Roman"/>
        </w:rPr>
        <w:t xml:space="preserve"> and include a protocol for notifying households about local </w:t>
      </w:r>
      <w:r w:rsidR="00660DCD">
        <w:rPr>
          <w:rFonts w:cs="Times New Roman"/>
        </w:rPr>
        <w:t>time limits</w:t>
      </w:r>
      <w:r w:rsidRPr="00E23BFF">
        <w:rPr>
          <w:rFonts w:cs="Times New Roman"/>
        </w:rPr>
        <w:t>.</w:t>
      </w:r>
    </w:p>
    <w:p w14:paraId="1BA9BF0D" w14:textId="27499C20" w:rsidR="0001582B" w:rsidRDefault="0001582B" w:rsidP="00F1581D">
      <w:pPr>
        <w:pStyle w:val="NoSpacing"/>
        <w:numPr>
          <w:ilvl w:val="2"/>
          <w:numId w:val="28"/>
        </w:numPr>
        <w:ind w:left="540"/>
        <w:rPr>
          <w:rFonts w:cs="Times New Roman"/>
          <w:b/>
        </w:rPr>
      </w:pPr>
      <w:r>
        <w:rPr>
          <w:rFonts w:cs="Times New Roman"/>
          <w:b/>
        </w:rPr>
        <w:t>Rent Standard</w:t>
      </w:r>
    </w:p>
    <w:p w14:paraId="02DAC720" w14:textId="122E98E8" w:rsidR="006A35A1" w:rsidRDefault="003350AC" w:rsidP="00DE48B8">
      <w:pPr>
        <w:pStyle w:val="NoSpacing"/>
        <w:ind w:left="540"/>
        <w:rPr>
          <w:rFonts w:cs="Times New Roman"/>
        </w:rPr>
      </w:pPr>
      <w:r w:rsidRPr="003350AC">
        <w:rPr>
          <w:rFonts w:cs="Times New Roman"/>
          <w:bCs/>
        </w:rPr>
        <w:t>HOPWA grantees that authorize rental assistance activities must have rent standards, which set limits for housing costs for each unit size, from efficiencies to six-bedroom units. Rent standards should allow eligible households a reasonable selection of decent, safe, and sanitary units in a range of neighborhoods. As the grantee, DSHS must establish these rent standards, and any Project Sponsor using DSHS HOPWA Program funds to provide rental assistance must adopt them. Per 24 CFR §574.320(a)(2), the rent standard cannot exceed 1) the published Fair Market Rent (FMR) or 2) the HUD-approved community-wide exception rent.</w:t>
      </w:r>
      <w:r w:rsidR="0001582B">
        <w:rPr>
          <w:rFonts w:cs="Times New Roman"/>
          <w:bCs/>
        </w:rPr>
        <w:t xml:space="preserve"> </w:t>
      </w:r>
      <w:r w:rsidR="00606758" w:rsidRPr="003317E1">
        <w:rPr>
          <w:rFonts w:cs="Times New Roman"/>
        </w:rPr>
        <w:t xml:space="preserve">One of the two regulatory </w:t>
      </w:r>
      <w:r w:rsidR="00606758">
        <w:rPr>
          <w:rFonts w:cs="Times New Roman"/>
        </w:rPr>
        <w:t>options</w:t>
      </w:r>
      <w:r w:rsidR="00606758" w:rsidRPr="003317E1">
        <w:rPr>
          <w:rFonts w:cs="Times New Roman"/>
        </w:rPr>
        <w:t xml:space="preserve"> </w:t>
      </w:r>
      <w:r w:rsidR="00606758">
        <w:rPr>
          <w:rFonts w:cs="Times New Roman"/>
        </w:rPr>
        <w:t>DSHS</w:t>
      </w:r>
      <w:r w:rsidR="00606758" w:rsidRPr="003317E1">
        <w:rPr>
          <w:rFonts w:cs="Times New Roman"/>
        </w:rPr>
        <w:t xml:space="preserve"> may </w:t>
      </w:r>
      <w:r w:rsidR="00606758">
        <w:rPr>
          <w:rFonts w:cs="Times New Roman"/>
        </w:rPr>
        <w:t>utilize</w:t>
      </w:r>
      <w:r w:rsidR="00606758" w:rsidRPr="003317E1">
        <w:rPr>
          <w:rFonts w:cs="Times New Roman"/>
        </w:rPr>
        <w:t xml:space="preserve"> to set rent standard</w:t>
      </w:r>
      <w:r w:rsidR="00606758">
        <w:rPr>
          <w:rFonts w:cs="Times New Roman"/>
        </w:rPr>
        <w:t>s</w:t>
      </w:r>
      <w:r w:rsidR="00606758" w:rsidRPr="003317E1">
        <w:rPr>
          <w:rFonts w:cs="Times New Roman"/>
        </w:rPr>
        <w:t xml:space="preserve"> is the published FMR. FMRs are estimates of 40th percentile gross rents for standard quality units</w:t>
      </w:r>
      <w:r>
        <w:rPr>
          <w:rFonts w:cs="Times New Roman"/>
        </w:rPr>
        <w:t>, adjusted for each unit size,</w:t>
      </w:r>
      <w:r w:rsidR="00606758" w:rsidRPr="003317E1">
        <w:rPr>
          <w:rFonts w:cs="Times New Roman"/>
        </w:rPr>
        <w:t xml:space="preserve"> within a designated area. </w:t>
      </w:r>
      <w:r w:rsidRPr="003350AC">
        <w:rPr>
          <w:rFonts w:cs="Times New Roman"/>
        </w:rPr>
        <w:t>“Gross rent” means the unit rent plus the cost of all tenant-paid utilities, including electricity, fuel (e.g., natural gas, oil), water, sewer, and trash removal, but excluding telephone, internet, and cable services.</w:t>
      </w:r>
      <w:r w:rsidR="00606758" w:rsidRPr="003317E1">
        <w:rPr>
          <w:rFonts w:cs="Times New Roman"/>
        </w:rPr>
        <w:t xml:space="preserve"> </w:t>
      </w:r>
      <w:r w:rsidR="002F4BB4" w:rsidRPr="005707A2">
        <w:rPr>
          <w:rFonts w:cs="Calibri"/>
          <w:szCs w:val="24"/>
        </w:rPr>
        <w:t xml:space="preserve">HUD’s Office of Policy Development and Research </w:t>
      </w:r>
      <w:r>
        <w:rPr>
          <w:rFonts w:cs="Times New Roman"/>
        </w:rPr>
        <w:t>typically publishes FMRs in October of each year</w:t>
      </w:r>
      <w:r w:rsidRPr="00BC7D65">
        <w:rPr>
          <w:rFonts w:cs="Times New Roman"/>
        </w:rPr>
        <w:t xml:space="preserve"> </w:t>
      </w:r>
      <w:r w:rsidRPr="003317E1">
        <w:rPr>
          <w:rFonts w:cs="Times New Roman"/>
        </w:rPr>
        <w:t xml:space="preserve">and </w:t>
      </w:r>
      <w:r>
        <w:rPr>
          <w:rFonts w:cs="Times New Roman"/>
        </w:rPr>
        <w:t>makes them</w:t>
      </w:r>
      <w:r w:rsidRPr="003317E1">
        <w:rPr>
          <w:rFonts w:cs="Times New Roman"/>
        </w:rPr>
        <w:t xml:space="preserve"> available </w:t>
      </w:r>
      <w:hyperlink r:id="rId16" w:history="1">
        <w:r w:rsidRPr="003D3BC2">
          <w:rPr>
            <w:rStyle w:val="Hyperlink"/>
            <w:rFonts w:cs="Times New Roman"/>
          </w:rPr>
          <w:t>here</w:t>
        </w:r>
      </w:hyperlink>
      <w:r>
        <w:rPr>
          <w:rFonts w:cs="Times New Roman"/>
        </w:rPr>
        <w:t xml:space="preserve">. </w:t>
      </w:r>
      <w:r w:rsidR="006A35A1" w:rsidRPr="006A35A1">
        <w:rPr>
          <w:rFonts w:cs="Times New Roman"/>
        </w:rPr>
        <w:t xml:space="preserve">The other regulatory option </w:t>
      </w:r>
      <w:r w:rsidR="006A35A1">
        <w:rPr>
          <w:rFonts w:cs="Times New Roman"/>
        </w:rPr>
        <w:t>DSHS</w:t>
      </w:r>
      <w:r w:rsidR="006A35A1" w:rsidRPr="006A35A1">
        <w:rPr>
          <w:rFonts w:cs="Times New Roman"/>
        </w:rPr>
        <w:t xml:space="preserve"> may utilize to set </w:t>
      </w:r>
      <w:r w:rsidR="00FE6842">
        <w:rPr>
          <w:rFonts w:cs="Times New Roman"/>
        </w:rPr>
        <w:t>its</w:t>
      </w:r>
      <w:r w:rsidR="006A35A1" w:rsidRPr="006A35A1">
        <w:rPr>
          <w:rFonts w:cs="Times New Roman"/>
        </w:rPr>
        <w:t xml:space="preserve"> rent standards is a HUD-approved community-wide exception rent. Per </w:t>
      </w:r>
      <w:hyperlink r:id="rId17" w:history="1">
        <w:r w:rsidR="00FE6842">
          <w:rPr>
            <w:rStyle w:val="Hyperlink"/>
            <w:rFonts w:cs="Times New Roman"/>
          </w:rPr>
          <w:t>HUD Community Planning and Development (CPD) Notice 22-10</w:t>
        </w:r>
      </w:hyperlink>
      <w:r w:rsidR="006A35A1" w:rsidRPr="006A35A1">
        <w:rPr>
          <w:rFonts w:cs="Times New Roman"/>
        </w:rPr>
        <w:t xml:space="preserve">, HUD interprets the HUD-approved community-wide exception rent to mean </w:t>
      </w:r>
      <w:r w:rsidR="00292081">
        <w:rPr>
          <w:rFonts w:cs="Times New Roman"/>
        </w:rPr>
        <w:t>one of the following:</w:t>
      </w:r>
    </w:p>
    <w:p w14:paraId="61C83399" w14:textId="1D60A5D2" w:rsidR="006A35A1" w:rsidRPr="00861B1C" w:rsidRDefault="006A35A1" w:rsidP="006A35A1">
      <w:pPr>
        <w:pStyle w:val="NoSpacing"/>
        <w:numPr>
          <w:ilvl w:val="1"/>
          <w:numId w:val="100"/>
        </w:numPr>
        <w:ind w:left="900"/>
        <w:rPr>
          <w:rFonts w:cs="Times New Roman"/>
          <w:bCs/>
        </w:rPr>
      </w:pPr>
      <w:r w:rsidRPr="00DE48B8">
        <w:rPr>
          <w:rFonts w:cs="Times New Roman"/>
          <w:i/>
          <w:iCs/>
        </w:rPr>
        <w:lastRenderedPageBreak/>
        <w:t>Housing Choice Voucher Program (HCVP) Payment Standard.</w:t>
      </w:r>
      <w:r>
        <w:rPr>
          <w:rFonts w:cs="Times New Roman"/>
        </w:rPr>
        <w:t xml:space="preserve"> </w:t>
      </w:r>
      <w:r w:rsidR="00292081">
        <w:rPr>
          <w:rFonts w:cs="Times New Roman"/>
        </w:rPr>
        <w:t>DSHS</w:t>
      </w:r>
      <w:r w:rsidR="00292081" w:rsidRPr="00292081">
        <w:rPr>
          <w:rFonts w:cs="Times New Roman"/>
        </w:rPr>
        <w:t xml:space="preserve"> may adopt </w:t>
      </w:r>
      <w:r w:rsidR="00292081">
        <w:rPr>
          <w:rFonts w:cs="Times New Roman"/>
        </w:rPr>
        <w:t>a</w:t>
      </w:r>
      <w:r w:rsidR="00FE6842">
        <w:rPr>
          <w:rFonts w:cs="Times New Roman"/>
        </w:rPr>
        <w:t xml:space="preserve">n </w:t>
      </w:r>
      <w:r w:rsidR="00292081" w:rsidRPr="00292081">
        <w:rPr>
          <w:rFonts w:cs="Times New Roman"/>
        </w:rPr>
        <w:t>HCVP payment standard set by</w:t>
      </w:r>
      <w:r w:rsidR="00292081">
        <w:rPr>
          <w:rFonts w:cs="Times New Roman"/>
        </w:rPr>
        <w:t xml:space="preserve"> a</w:t>
      </w:r>
      <w:r w:rsidR="00292081" w:rsidRPr="00292081">
        <w:rPr>
          <w:rFonts w:cs="Times New Roman"/>
        </w:rPr>
        <w:t xml:space="preserve"> local Public Housing Agenc</w:t>
      </w:r>
      <w:r w:rsidR="00292081">
        <w:rPr>
          <w:rFonts w:cs="Times New Roman"/>
        </w:rPr>
        <w:t>y</w:t>
      </w:r>
      <w:r w:rsidR="00292081" w:rsidRPr="00292081">
        <w:rPr>
          <w:rFonts w:cs="Times New Roman"/>
        </w:rPr>
        <w:t xml:space="preserve"> (PHA) as the rent standard, meaning either the basic range, or the exception payment standard. Per 24 CFR §982.503, PHAs may set their payment standard</w:t>
      </w:r>
      <w:r w:rsidR="00292081">
        <w:rPr>
          <w:rFonts w:cs="Times New Roman"/>
        </w:rPr>
        <w:t>s</w:t>
      </w:r>
      <w:r w:rsidR="00292081" w:rsidRPr="00292081">
        <w:rPr>
          <w:rFonts w:cs="Times New Roman"/>
        </w:rPr>
        <w:t xml:space="preserve"> within the basic range, which is between 90 percent to 110 percent of the FMR without HUD approval. A PHA may also set exception payment standards below 90 percent or above 110 percent of the FMR for designated parts of the FMR area with HUD’s approval. </w:t>
      </w:r>
      <w:r w:rsidR="00292081">
        <w:rPr>
          <w:rFonts w:cs="Times New Roman"/>
        </w:rPr>
        <w:t>DSHS</w:t>
      </w:r>
      <w:r w:rsidR="00292081" w:rsidRPr="00292081">
        <w:rPr>
          <w:rFonts w:cs="Times New Roman"/>
        </w:rPr>
        <w:t xml:space="preserve"> may set </w:t>
      </w:r>
      <w:r w:rsidR="00292081">
        <w:rPr>
          <w:rFonts w:cs="Times New Roman"/>
        </w:rPr>
        <w:t>its</w:t>
      </w:r>
      <w:r w:rsidR="00292081" w:rsidRPr="00292081">
        <w:rPr>
          <w:rFonts w:cs="Times New Roman"/>
        </w:rPr>
        <w:t xml:space="preserve"> rent standard based on the payment standard (basic range or exception payment standard) adopted by </w:t>
      </w:r>
      <w:r w:rsidR="00292081">
        <w:rPr>
          <w:rFonts w:cs="Times New Roman"/>
        </w:rPr>
        <w:t>one of the</w:t>
      </w:r>
      <w:r w:rsidR="00292081" w:rsidRPr="00292081">
        <w:rPr>
          <w:rFonts w:cs="Times New Roman"/>
        </w:rPr>
        <w:t xml:space="preserve"> PHAs operating within </w:t>
      </w:r>
      <w:r w:rsidR="00292081">
        <w:rPr>
          <w:rFonts w:cs="Times New Roman"/>
        </w:rPr>
        <w:t>the State of Texas</w:t>
      </w:r>
      <w:r w:rsidR="00292081" w:rsidRPr="00292081">
        <w:rPr>
          <w:rFonts w:cs="Times New Roman"/>
        </w:rPr>
        <w:t xml:space="preserve">. </w:t>
      </w:r>
      <w:r w:rsidR="00292081">
        <w:rPr>
          <w:rFonts w:cs="Times New Roman"/>
        </w:rPr>
        <w:t xml:space="preserve">Note, this option </w:t>
      </w:r>
      <w:r w:rsidR="00292081" w:rsidRPr="00292081">
        <w:rPr>
          <w:rFonts w:cs="Times New Roman"/>
        </w:rPr>
        <w:t>does not</w:t>
      </w:r>
      <w:r w:rsidR="001036F0">
        <w:rPr>
          <w:rFonts w:cs="Times New Roman"/>
        </w:rPr>
        <w:t xml:space="preserve"> permit the use of 1) more than one HCVP payment standard, 2) a mix of local HCVP payment standards and FMRs, or 3)</w:t>
      </w:r>
      <w:r w:rsidR="00292081" w:rsidRPr="00292081">
        <w:rPr>
          <w:rFonts w:cs="Times New Roman"/>
        </w:rPr>
        <w:t xml:space="preserve"> Small-Area Fair Market Rents (SAFMRs)</w:t>
      </w:r>
      <w:r w:rsidR="001036F0">
        <w:rPr>
          <w:rFonts w:cs="Times New Roman"/>
        </w:rPr>
        <w:t>.</w:t>
      </w:r>
    </w:p>
    <w:p w14:paraId="0D7A5F81" w14:textId="0F8BFA05" w:rsidR="001036F0" w:rsidRDefault="001036F0" w:rsidP="001036F0">
      <w:pPr>
        <w:pStyle w:val="NoSpacing"/>
        <w:numPr>
          <w:ilvl w:val="1"/>
          <w:numId w:val="100"/>
        </w:numPr>
        <w:ind w:left="900"/>
        <w:rPr>
          <w:rFonts w:cs="Times New Roman"/>
        </w:rPr>
      </w:pPr>
      <w:r w:rsidRPr="00DE48B8">
        <w:rPr>
          <w:rFonts w:cs="Times New Roman"/>
          <w:i/>
          <w:iCs/>
        </w:rPr>
        <w:t>Other HUD-Approved Rent Standard.</w:t>
      </w:r>
      <w:r>
        <w:rPr>
          <w:rFonts w:cs="Times New Roman"/>
        </w:rPr>
        <w:t xml:space="preserve"> DSHS</w:t>
      </w:r>
      <w:r w:rsidRPr="001036F0">
        <w:rPr>
          <w:rFonts w:cs="Times New Roman"/>
        </w:rPr>
        <w:t xml:space="preserve"> may adopt a rent standard proposed and justified by DSHS and approved by the Fort Worth HUD field office. This option allows DSHS to propose and receive HUD</w:t>
      </w:r>
      <w:r w:rsidR="002F4BB4">
        <w:rPr>
          <w:rFonts w:cs="Times New Roman"/>
        </w:rPr>
        <w:t>’s</w:t>
      </w:r>
      <w:r w:rsidRPr="001036F0">
        <w:rPr>
          <w:rFonts w:cs="Times New Roman"/>
        </w:rPr>
        <w:t xml:space="preserve"> approval for a rent standard outside of the existing regulatory options to utilize FMR or </w:t>
      </w:r>
      <w:r>
        <w:rPr>
          <w:rFonts w:cs="Times New Roman"/>
        </w:rPr>
        <w:t>an</w:t>
      </w:r>
      <w:r w:rsidRPr="001036F0">
        <w:rPr>
          <w:rFonts w:cs="Times New Roman"/>
        </w:rPr>
        <w:t xml:space="preserve"> HCVP payment standard (basic range or exception payment standard) set by </w:t>
      </w:r>
      <w:r>
        <w:rPr>
          <w:rFonts w:cs="Times New Roman"/>
        </w:rPr>
        <w:t xml:space="preserve">a </w:t>
      </w:r>
      <w:r w:rsidRPr="001036F0">
        <w:rPr>
          <w:rFonts w:cs="Times New Roman"/>
        </w:rPr>
        <w:t xml:space="preserve">local PHA. HUD will only approve a proposed rent standard </w:t>
      </w:r>
      <w:r w:rsidR="002871E8">
        <w:rPr>
          <w:rFonts w:cs="Times New Roman"/>
        </w:rPr>
        <w:t>if a grantee can document</w:t>
      </w:r>
      <w:r w:rsidRPr="001036F0">
        <w:rPr>
          <w:rFonts w:cs="Times New Roman"/>
        </w:rPr>
        <w:t xml:space="preserve"> that </w:t>
      </w:r>
      <w:r>
        <w:rPr>
          <w:rFonts w:cs="Times New Roman"/>
        </w:rPr>
        <w:t xml:space="preserve">the </w:t>
      </w:r>
      <w:r w:rsidRPr="001036F0">
        <w:rPr>
          <w:rFonts w:cs="Times New Roman"/>
        </w:rPr>
        <w:t xml:space="preserve">other allowable options for establishing the rent standard do not provide households a reasonable selection of decent, safe, and sanitary units. DSHS will direct such proposals to the CPD Director of the Fort Worth HUD Field Office. If HUD approves a proposed rent standard, DSHS will provide further information and guidance pertaining to this approved rent standard on the DSHS HOPWA Program website </w:t>
      </w:r>
      <w:hyperlink r:id="rId18" w:history="1">
        <w:r w:rsidRPr="001036F0">
          <w:rPr>
            <w:rStyle w:val="Hyperlink"/>
            <w:rFonts w:cs="Times New Roman"/>
          </w:rPr>
          <w:t>here</w:t>
        </w:r>
      </w:hyperlink>
      <w:r w:rsidRPr="001036F0">
        <w:rPr>
          <w:rFonts w:cs="Times New Roman"/>
        </w:rPr>
        <w:t>.</w:t>
      </w:r>
    </w:p>
    <w:p w14:paraId="29B989BB" w14:textId="78EFED73" w:rsidR="001036F0" w:rsidRPr="001036F0" w:rsidRDefault="001036F0" w:rsidP="00DE48B8">
      <w:pPr>
        <w:pStyle w:val="NoSpacing"/>
        <w:ind w:left="540"/>
        <w:rPr>
          <w:rFonts w:cs="Times New Roman"/>
        </w:rPr>
      </w:pPr>
      <w:r w:rsidRPr="001036F0">
        <w:rPr>
          <w:rFonts w:cs="Times New Roman"/>
        </w:rPr>
        <w:t xml:space="preserve">Further, 24 §CFR 574.320(a)(2) </w:t>
      </w:r>
      <w:r w:rsidR="004C2422" w:rsidRPr="004C2422">
        <w:rPr>
          <w:rFonts w:cs="Times New Roman"/>
        </w:rPr>
        <w:t>allows Project Sponsors to increase the rent standard by 10 percent for up to 20 percent of the units that receive rental assistance on a unit-by-unit basis (i.e., Project Sponsors may use 110 percent of the rent standard for 1 out of 5 of the combined households that receive TBRA or TSH services at any given time</w:t>
      </w:r>
      <w:r w:rsidRPr="001036F0">
        <w:rPr>
          <w:rFonts w:cs="Times New Roman"/>
        </w:rPr>
        <w:t xml:space="preserve">). </w:t>
      </w:r>
      <w:r w:rsidR="002871E8">
        <w:rPr>
          <w:rFonts w:cs="Times New Roman"/>
        </w:rPr>
        <w:t>Project Sponsors may implement such increases</w:t>
      </w:r>
      <w:r w:rsidRPr="001036F0">
        <w:rPr>
          <w:rFonts w:cs="Times New Roman"/>
        </w:rPr>
        <w:t xml:space="preserve"> regardless of the method utilized for establishing the rent standard.</w:t>
      </w:r>
    </w:p>
    <w:p w14:paraId="4B427AD6" w14:textId="77E4B2BC" w:rsidR="00886B24" w:rsidRDefault="00886B24" w:rsidP="00F1581D">
      <w:pPr>
        <w:pStyle w:val="NoSpacing"/>
        <w:numPr>
          <w:ilvl w:val="2"/>
          <w:numId w:val="28"/>
        </w:numPr>
        <w:ind w:left="540"/>
        <w:rPr>
          <w:rFonts w:cs="Times New Roman"/>
          <w:b/>
        </w:rPr>
      </w:pPr>
      <w:r>
        <w:rPr>
          <w:rFonts w:cs="Times New Roman"/>
          <w:b/>
        </w:rPr>
        <w:t>Resource Identification</w:t>
      </w:r>
      <w:r w:rsidR="00043803">
        <w:rPr>
          <w:rFonts w:cs="Times New Roman"/>
          <w:b/>
        </w:rPr>
        <w:t xml:space="preserve"> (RI)</w:t>
      </w:r>
    </w:p>
    <w:p w14:paraId="506F4141" w14:textId="5C7703E3" w:rsidR="00886B24" w:rsidRPr="00066B7E" w:rsidRDefault="009778AB" w:rsidP="00F1581D">
      <w:pPr>
        <w:pStyle w:val="NoSpacing"/>
        <w:ind w:left="540"/>
        <w:rPr>
          <w:rFonts w:cs="Times New Roman"/>
        </w:rPr>
      </w:pPr>
      <w:r w:rsidRPr="009778AB">
        <w:rPr>
          <w:rFonts w:cs="Times New Roman"/>
        </w:rPr>
        <w:t>Activities that establish, coordinate, and develop housing assistance resources for eligible households (including preliminary research and expenditures necessary to determine the feasibility of specific housing-related initiatives).</w:t>
      </w:r>
    </w:p>
    <w:p w14:paraId="35C3B454" w14:textId="62946F0F" w:rsidR="00050C24" w:rsidRDefault="00050C24" w:rsidP="00F1581D">
      <w:pPr>
        <w:pStyle w:val="NoSpacing"/>
        <w:numPr>
          <w:ilvl w:val="2"/>
          <w:numId w:val="28"/>
        </w:numPr>
        <w:ind w:left="540"/>
        <w:rPr>
          <w:rFonts w:cs="Times New Roman"/>
          <w:b/>
        </w:rPr>
      </w:pPr>
      <w:r>
        <w:rPr>
          <w:rFonts w:cs="Times New Roman"/>
          <w:b/>
        </w:rPr>
        <w:t>Roommate</w:t>
      </w:r>
    </w:p>
    <w:p w14:paraId="2FE9D7BA" w14:textId="767558E6" w:rsidR="00050C24" w:rsidRPr="00050C24" w:rsidRDefault="00050C24" w:rsidP="00F1581D">
      <w:pPr>
        <w:pStyle w:val="NoSpacing"/>
        <w:ind w:left="540"/>
        <w:rPr>
          <w:rFonts w:cs="Times New Roman"/>
        </w:rPr>
      </w:pPr>
      <w:r>
        <w:rPr>
          <w:rFonts w:cs="Times New Roman"/>
        </w:rPr>
        <w:t>A</w:t>
      </w:r>
      <w:r w:rsidRPr="00050C24">
        <w:rPr>
          <w:rFonts w:cs="Times New Roman"/>
        </w:rPr>
        <w:t xml:space="preserve"> roommate</w:t>
      </w:r>
      <w:r>
        <w:rPr>
          <w:rFonts w:cs="Times New Roman"/>
        </w:rPr>
        <w:t xml:space="preserve"> relationship (i.e., a shared housing arrangement)</w:t>
      </w:r>
      <w:r w:rsidRPr="00050C24">
        <w:rPr>
          <w:rFonts w:cs="Times New Roman"/>
        </w:rPr>
        <w:t xml:space="preserve"> is established for the purposes of sharing rent and utility bills in return for receiving a share of the space available.</w:t>
      </w:r>
      <w:r>
        <w:rPr>
          <w:rFonts w:cs="Times New Roman"/>
        </w:rPr>
        <w:t xml:space="preserve"> Roommates are not considered household members as they are households unto themselves.</w:t>
      </w:r>
      <w:r w:rsidR="00945928">
        <w:rPr>
          <w:rFonts w:cs="Times New Roman"/>
        </w:rPr>
        <w:t xml:space="preserve"> </w:t>
      </w:r>
      <w:r w:rsidRPr="00050C24">
        <w:rPr>
          <w:rFonts w:cs="Times New Roman"/>
        </w:rPr>
        <w:t xml:space="preserve">The </w:t>
      </w:r>
      <w:r>
        <w:rPr>
          <w:rFonts w:cs="Times New Roman"/>
        </w:rPr>
        <w:t>household</w:t>
      </w:r>
      <w:r w:rsidRPr="00050C24">
        <w:rPr>
          <w:rFonts w:cs="Times New Roman"/>
        </w:rPr>
        <w:t xml:space="preserve"> must identify </w:t>
      </w:r>
      <w:r>
        <w:rPr>
          <w:rFonts w:cs="Times New Roman"/>
        </w:rPr>
        <w:t>whether an individual is a household member</w:t>
      </w:r>
      <w:r w:rsidRPr="00050C24">
        <w:rPr>
          <w:rFonts w:cs="Times New Roman"/>
        </w:rPr>
        <w:t xml:space="preserve"> or</w:t>
      </w:r>
      <w:r>
        <w:rPr>
          <w:rFonts w:cs="Times New Roman"/>
        </w:rPr>
        <w:t xml:space="preserve"> a roommate</w:t>
      </w:r>
      <w:r w:rsidRPr="00050C24">
        <w:rPr>
          <w:rFonts w:cs="Times New Roman"/>
        </w:rPr>
        <w:t xml:space="preserve"> at the time of application and at any subsequent renewals.</w:t>
      </w:r>
    </w:p>
    <w:p w14:paraId="2FA2B60F" w14:textId="77777777" w:rsidR="00F26422" w:rsidRDefault="00F26422" w:rsidP="00F1581D">
      <w:pPr>
        <w:pStyle w:val="NoSpacing"/>
        <w:numPr>
          <w:ilvl w:val="2"/>
          <w:numId w:val="28"/>
        </w:numPr>
        <w:ind w:left="540"/>
        <w:rPr>
          <w:rFonts w:cs="Times New Roman"/>
          <w:b/>
        </w:rPr>
      </w:pPr>
      <w:r>
        <w:rPr>
          <w:rFonts w:cs="Times New Roman"/>
          <w:b/>
        </w:rPr>
        <w:t>System for Award Management (SAM)</w:t>
      </w:r>
    </w:p>
    <w:p w14:paraId="350998A8" w14:textId="31A9AA69" w:rsidR="00F26422" w:rsidRPr="00DE48B8" w:rsidRDefault="00F26422" w:rsidP="00DE48B8">
      <w:pPr>
        <w:pStyle w:val="NoSpacing"/>
        <w:ind w:left="540"/>
        <w:rPr>
          <w:rFonts w:cs="Times New Roman"/>
          <w:bCs/>
        </w:rPr>
      </w:pPr>
      <w:r w:rsidRPr="00DE48B8">
        <w:rPr>
          <w:rFonts w:cs="Times New Roman"/>
          <w:bCs/>
        </w:rPr>
        <w:t xml:space="preserve">All organizations applying for a </w:t>
      </w:r>
      <w:r w:rsidRPr="00F26422">
        <w:rPr>
          <w:rFonts w:cs="Times New Roman"/>
          <w:bCs/>
        </w:rPr>
        <w:t>federal</w:t>
      </w:r>
      <w:r w:rsidRPr="00DE48B8">
        <w:rPr>
          <w:rFonts w:cs="Times New Roman"/>
          <w:bCs/>
        </w:rPr>
        <w:t xml:space="preserve"> award must have a valid registration </w:t>
      </w:r>
      <w:r>
        <w:rPr>
          <w:rFonts w:cs="Times New Roman"/>
          <w:bCs/>
        </w:rPr>
        <w:t xml:space="preserve">at </w:t>
      </w:r>
      <w:r w:rsidRPr="00DE48B8">
        <w:rPr>
          <w:rFonts w:cs="Times New Roman"/>
          <w:bCs/>
        </w:rPr>
        <w:t xml:space="preserve">sam.gov. SAM </w:t>
      </w:r>
      <w:r>
        <w:rPr>
          <w:rFonts w:cs="Times New Roman"/>
          <w:bCs/>
        </w:rPr>
        <w:t>r</w:t>
      </w:r>
      <w:r w:rsidRPr="00DE48B8">
        <w:rPr>
          <w:rFonts w:cs="Times New Roman"/>
          <w:bCs/>
        </w:rPr>
        <w:t>egistration includes maintaining current information and providing a valid DUNS number.</w:t>
      </w:r>
    </w:p>
    <w:p w14:paraId="53FE1EA8" w14:textId="3F4429EF" w:rsidR="00105E6B" w:rsidRPr="00105E6B" w:rsidRDefault="00A64C0C" w:rsidP="00F1581D">
      <w:pPr>
        <w:pStyle w:val="NoSpacing"/>
        <w:numPr>
          <w:ilvl w:val="2"/>
          <w:numId w:val="28"/>
        </w:numPr>
        <w:ind w:left="540"/>
        <w:rPr>
          <w:rFonts w:cs="Times New Roman"/>
          <w:b/>
        </w:rPr>
      </w:pPr>
      <w:r>
        <w:rPr>
          <w:rFonts w:cs="Times New Roman"/>
          <w:b/>
        </w:rPr>
        <w:t>Short-T</w:t>
      </w:r>
      <w:r w:rsidR="00105E6B" w:rsidRPr="00105E6B">
        <w:rPr>
          <w:rFonts w:cs="Times New Roman"/>
          <w:b/>
        </w:rPr>
        <w:t>erm Rent, Mortgage, and</w:t>
      </w:r>
      <w:r w:rsidR="001411AF">
        <w:rPr>
          <w:rFonts w:cs="Times New Roman"/>
          <w:b/>
        </w:rPr>
        <w:t xml:space="preserve"> Utility</w:t>
      </w:r>
      <w:r w:rsidR="009431A2">
        <w:rPr>
          <w:rFonts w:cs="Times New Roman"/>
          <w:b/>
        </w:rPr>
        <w:t xml:space="preserve"> (STRMU)</w:t>
      </w:r>
      <w:r w:rsidR="00105E6B" w:rsidRPr="00105E6B">
        <w:rPr>
          <w:rFonts w:cs="Times New Roman"/>
          <w:b/>
        </w:rPr>
        <w:t xml:space="preserve"> Services</w:t>
      </w:r>
    </w:p>
    <w:p w14:paraId="4A230942" w14:textId="7C6AC5FC" w:rsidR="00552FE5" w:rsidRDefault="0082659C" w:rsidP="00F1581D">
      <w:pPr>
        <w:pStyle w:val="NoSpacing"/>
        <w:ind w:left="540"/>
        <w:rPr>
          <w:rFonts w:cs="Times New Roman"/>
        </w:rPr>
      </w:pPr>
      <w:r w:rsidRPr="00105E6B">
        <w:rPr>
          <w:rFonts w:cs="Times New Roman"/>
        </w:rPr>
        <w:t>Time-limited</w:t>
      </w:r>
      <w:r w:rsidR="00105E6B" w:rsidRPr="00105E6B">
        <w:rPr>
          <w:rFonts w:cs="Times New Roman"/>
        </w:rPr>
        <w:t xml:space="preserve"> housing assistance designed to prevent homelessness an</w:t>
      </w:r>
      <w:r w:rsidR="00105E6B">
        <w:rPr>
          <w:rFonts w:cs="Times New Roman"/>
        </w:rPr>
        <w:t>d increase housing stability. Project Sponsors</w:t>
      </w:r>
      <w:r w:rsidR="00105E6B" w:rsidRPr="00105E6B">
        <w:rPr>
          <w:rFonts w:cs="Times New Roman"/>
        </w:rPr>
        <w:t xml:space="preserve"> may </w:t>
      </w:r>
      <w:r w:rsidR="00E85E57">
        <w:rPr>
          <w:rFonts w:cs="Times New Roman"/>
        </w:rPr>
        <w:t>assist with</w:t>
      </w:r>
      <w:r w:rsidR="00E85E57" w:rsidRPr="00105E6B">
        <w:rPr>
          <w:rFonts w:cs="Times New Roman"/>
        </w:rPr>
        <w:t xml:space="preserve"> </w:t>
      </w:r>
      <w:r w:rsidR="00745B58">
        <w:rPr>
          <w:rFonts w:cs="Times New Roman"/>
        </w:rPr>
        <w:t>up to 21 weeks</w:t>
      </w:r>
      <w:r w:rsidR="00E85E57">
        <w:rPr>
          <w:rFonts w:cs="Times New Roman"/>
        </w:rPr>
        <w:t xml:space="preserve"> of accrued costs</w:t>
      </w:r>
      <w:r w:rsidR="00745B58">
        <w:rPr>
          <w:rFonts w:cs="Times New Roman"/>
        </w:rPr>
        <w:t xml:space="preserve"> in a</w:t>
      </w:r>
      <w:r w:rsidR="0068493A">
        <w:rPr>
          <w:rFonts w:cs="Times New Roman"/>
        </w:rPr>
        <w:t xml:space="preserve"> </w:t>
      </w:r>
      <w:r w:rsidR="00745B58">
        <w:rPr>
          <w:rFonts w:cs="Times New Roman"/>
        </w:rPr>
        <w:t>52-</w:t>
      </w:r>
      <w:r w:rsidR="00105E6B" w:rsidRPr="00105E6B">
        <w:rPr>
          <w:rFonts w:cs="Times New Roman"/>
        </w:rPr>
        <w:t>week period.</w:t>
      </w:r>
      <w:r w:rsidR="00945928">
        <w:rPr>
          <w:rFonts w:cs="Times New Roman"/>
        </w:rPr>
        <w:t xml:space="preserve"> </w:t>
      </w:r>
      <w:r w:rsidR="00105E6B" w:rsidRPr="00105E6B">
        <w:rPr>
          <w:rFonts w:cs="Times New Roman"/>
        </w:rPr>
        <w:t xml:space="preserve">The amount of assistance varies per </w:t>
      </w:r>
      <w:r w:rsidR="001411AF">
        <w:rPr>
          <w:rFonts w:cs="Times New Roman"/>
        </w:rPr>
        <w:t>household</w:t>
      </w:r>
      <w:r w:rsidR="00105E6B" w:rsidRPr="00105E6B">
        <w:rPr>
          <w:rFonts w:cs="Times New Roman"/>
        </w:rPr>
        <w:t xml:space="preserve"> depending on funds available, need</w:t>
      </w:r>
      <w:r w:rsidR="001411AF">
        <w:rPr>
          <w:rFonts w:cs="Times New Roman"/>
        </w:rPr>
        <w:t>,</w:t>
      </w:r>
      <w:r w:rsidR="00105E6B" w:rsidRPr="00105E6B">
        <w:rPr>
          <w:rFonts w:cs="Times New Roman"/>
        </w:rPr>
        <w:t xml:space="preserve"> and program guidelines.</w:t>
      </w:r>
    </w:p>
    <w:p w14:paraId="741B44FC" w14:textId="03164550" w:rsidR="008468F9" w:rsidRDefault="00A64C0C" w:rsidP="00F1581D">
      <w:pPr>
        <w:pStyle w:val="NoSpacing"/>
        <w:numPr>
          <w:ilvl w:val="2"/>
          <w:numId w:val="28"/>
        </w:numPr>
        <w:ind w:left="540"/>
        <w:rPr>
          <w:rFonts w:cs="Times New Roman"/>
          <w:b/>
        </w:rPr>
      </w:pPr>
      <w:r>
        <w:rPr>
          <w:rFonts w:cs="Times New Roman"/>
          <w:b/>
        </w:rPr>
        <w:t>Short-T</w:t>
      </w:r>
      <w:r w:rsidR="008468F9">
        <w:rPr>
          <w:rFonts w:cs="Times New Roman"/>
          <w:b/>
        </w:rPr>
        <w:t>erm Supportive Housing</w:t>
      </w:r>
      <w:r w:rsidR="009431A2">
        <w:rPr>
          <w:rFonts w:cs="Times New Roman"/>
          <w:b/>
        </w:rPr>
        <w:t xml:space="preserve"> (STSH)</w:t>
      </w:r>
      <w:r w:rsidR="006A50B7">
        <w:rPr>
          <w:rFonts w:cs="Times New Roman"/>
          <w:b/>
        </w:rPr>
        <w:t xml:space="preserve"> Services</w:t>
      </w:r>
    </w:p>
    <w:p w14:paraId="15BA38F7" w14:textId="4FBA9704" w:rsidR="008468F9" w:rsidRPr="00D634DA" w:rsidRDefault="00745B58" w:rsidP="00F1581D">
      <w:pPr>
        <w:pStyle w:val="NoSpacing"/>
        <w:ind w:left="540"/>
        <w:rPr>
          <w:rFonts w:cs="Times New Roman"/>
        </w:rPr>
      </w:pPr>
      <w:r>
        <w:rPr>
          <w:rFonts w:cs="Times New Roman"/>
        </w:rPr>
        <w:t xml:space="preserve">A type of facility-based </w:t>
      </w:r>
      <w:r w:rsidR="00763BBB">
        <w:rPr>
          <w:rFonts w:cs="Times New Roman"/>
        </w:rPr>
        <w:t>housing assistance</w:t>
      </w:r>
      <w:r>
        <w:rPr>
          <w:rFonts w:cs="Times New Roman"/>
        </w:rPr>
        <w:t xml:space="preserve"> that p</w:t>
      </w:r>
      <w:r w:rsidR="00D634DA" w:rsidRPr="00D634DA">
        <w:rPr>
          <w:rFonts w:cs="Times New Roman"/>
        </w:rPr>
        <w:t>rovide</w:t>
      </w:r>
      <w:r>
        <w:rPr>
          <w:rFonts w:cs="Times New Roman"/>
        </w:rPr>
        <w:t>s</w:t>
      </w:r>
      <w:r w:rsidR="00D634DA" w:rsidRPr="00D634DA">
        <w:rPr>
          <w:rFonts w:cs="Times New Roman"/>
        </w:rPr>
        <w:t xml:space="preserve"> temporary shelter to eligible </w:t>
      </w:r>
      <w:r>
        <w:rPr>
          <w:rFonts w:cs="Times New Roman"/>
        </w:rPr>
        <w:t xml:space="preserve">households </w:t>
      </w:r>
      <w:r w:rsidR="008945AD">
        <w:rPr>
          <w:rFonts w:cs="Times New Roman"/>
        </w:rPr>
        <w:t xml:space="preserve">that </w:t>
      </w:r>
      <w:r>
        <w:rPr>
          <w:rFonts w:cs="Times New Roman"/>
        </w:rPr>
        <w:t xml:space="preserve">are homeless. </w:t>
      </w:r>
      <w:r w:rsidR="006A50B7">
        <w:rPr>
          <w:rFonts w:cs="Times New Roman"/>
        </w:rPr>
        <w:t xml:space="preserve">Services allow </w:t>
      </w:r>
      <w:r w:rsidR="007B7A59">
        <w:rPr>
          <w:rFonts w:cs="Times New Roman"/>
        </w:rPr>
        <w:t>households to</w:t>
      </w:r>
      <w:r w:rsidR="006A50B7">
        <w:rPr>
          <w:rFonts w:cs="Times New Roman"/>
        </w:rPr>
        <w:t xml:space="preserve"> develop individualized housing plan</w:t>
      </w:r>
      <w:r w:rsidR="007B7A59">
        <w:rPr>
          <w:rFonts w:cs="Times New Roman"/>
        </w:rPr>
        <w:t>s</w:t>
      </w:r>
      <w:r w:rsidR="006A50B7">
        <w:rPr>
          <w:rFonts w:cs="Times New Roman"/>
        </w:rPr>
        <w:t xml:space="preserve"> </w:t>
      </w:r>
      <w:r w:rsidR="007B7A59">
        <w:rPr>
          <w:rFonts w:cs="Times New Roman"/>
        </w:rPr>
        <w:t>that culminate in</w:t>
      </w:r>
      <w:r w:rsidR="006A50B7">
        <w:rPr>
          <w:rFonts w:cs="Times New Roman"/>
        </w:rPr>
        <w:t xml:space="preserve"> permanent housing. </w:t>
      </w:r>
      <w:r w:rsidRPr="00745B58">
        <w:rPr>
          <w:rFonts w:cs="Times New Roman"/>
        </w:rPr>
        <w:t xml:space="preserve">Project Sponsors may </w:t>
      </w:r>
      <w:r w:rsidR="00E85E57">
        <w:rPr>
          <w:rFonts w:cs="Times New Roman"/>
        </w:rPr>
        <w:t>assist with</w:t>
      </w:r>
      <w:r w:rsidRPr="00745B58">
        <w:rPr>
          <w:rFonts w:cs="Times New Roman"/>
        </w:rPr>
        <w:t xml:space="preserve"> up to </w:t>
      </w:r>
      <w:r>
        <w:rPr>
          <w:rFonts w:cs="Times New Roman"/>
        </w:rPr>
        <w:t xml:space="preserve">60 days </w:t>
      </w:r>
      <w:r w:rsidR="0068493A">
        <w:rPr>
          <w:rFonts w:cs="Times New Roman"/>
        </w:rPr>
        <w:t xml:space="preserve">of accrued costs </w:t>
      </w:r>
      <w:r>
        <w:rPr>
          <w:rFonts w:cs="Times New Roman"/>
        </w:rPr>
        <w:t>in a six-month</w:t>
      </w:r>
      <w:r w:rsidRPr="00745B58">
        <w:rPr>
          <w:rFonts w:cs="Times New Roman"/>
        </w:rPr>
        <w:t xml:space="preserve"> period. The amount of assistance varies per household depending on funds available, need, and program guidelines.</w:t>
      </w:r>
    </w:p>
    <w:p w14:paraId="4B9C4691" w14:textId="48CDF9B5" w:rsidR="00050C24" w:rsidRPr="00053E57" w:rsidRDefault="00050C24" w:rsidP="00F1581D">
      <w:pPr>
        <w:pStyle w:val="NoSpacing"/>
        <w:numPr>
          <w:ilvl w:val="2"/>
          <w:numId w:val="28"/>
        </w:numPr>
        <w:ind w:left="540"/>
        <w:rPr>
          <w:rFonts w:cs="Times New Roman"/>
          <w:b/>
        </w:rPr>
      </w:pPr>
      <w:r w:rsidRPr="00053E57">
        <w:rPr>
          <w:rFonts w:cs="Times New Roman"/>
          <w:b/>
        </w:rPr>
        <w:t>Supportive Services</w:t>
      </w:r>
    </w:p>
    <w:p w14:paraId="454BF960" w14:textId="6C6798B0" w:rsidR="00050C24" w:rsidRPr="00A51B1A" w:rsidRDefault="00421B91" w:rsidP="00F1581D">
      <w:pPr>
        <w:pStyle w:val="NoSpacing"/>
        <w:ind w:left="540"/>
        <w:rPr>
          <w:rFonts w:cs="Times New Roman"/>
        </w:rPr>
      </w:pPr>
      <w:r>
        <w:rPr>
          <w:rFonts w:cs="Times New Roman"/>
        </w:rPr>
        <w:t>Supportive S</w:t>
      </w:r>
      <w:r w:rsidRPr="00421B91">
        <w:rPr>
          <w:rFonts w:cs="Times New Roman"/>
        </w:rPr>
        <w:t xml:space="preserve">ervices include, but are not limited to, health, mental health, assessment, substance use treatment and counseling, day care, personal assistance, nutritional services, intensive care </w:t>
      </w:r>
      <w:r w:rsidR="00FD5ABA">
        <w:rPr>
          <w:rFonts w:cs="Times New Roman"/>
        </w:rPr>
        <w:t>if required</w:t>
      </w:r>
      <w:r w:rsidRPr="00421B91">
        <w:rPr>
          <w:rFonts w:cs="Times New Roman"/>
        </w:rPr>
        <w:t xml:space="preserve">, and assistance in gaining access to local, State, and Federal government benefits and services, except that </w:t>
      </w:r>
      <w:r w:rsidR="00DF6814">
        <w:rPr>
          <w:rFonts w:cs="Times New Roman"/>
        </w:rPr>
        <w:t xml:space="preserve">Project Sponsors may only provide </w:t>
      </w:r>
      <w:r w:rsidRPr="00421B91">
        <w:rPr>
          <w:rFonts w:cs="Times New Roman"/>
        </w:rPr>
        <w:t xml:space="preserve">health services to PLWH. The DSHS HOPWA Program currently limits the use of Supportive Service funds to </w:t>
      </w:r>
      <w:r w:rsidR="00032EC0">
        <w:rPr>
          <w:rFonts w:cs="Times New Roman"/>
        </w:rPr>
        <w:t>H</w:t>
      </w:r>
      <w:r w:rsidRPr="00421B91">
        <w:rPr>
          <w:rFonts w:cs="Times New Roman"/>
        </w:rPr>
        <w:t xml:space="preserve">ousing </w:t>
      </w:r>
      <w:r w:rsidR="00032EC0">
        <w:rPr>
          <w:rFonts w:cs="Times New Roman"/>
        </w:rPr>
        <w:t>C</w:t>
      </w:r>
      <w:r w:rsidRPr="00421B91">
        <w:rPr>
          <w:rFonts w:cs="Times New Roman"/>
        </w:rPr>
        <w:t xml:space="preserve">ase </w:t>
      </w:r>
      <w:r w:rsidR="00032EC0">
        <w:rPr>
          <w:rFonts w:cs="Times New Roman"/>
        </w:rPr>
        <w:t>M</w:t>
      </w:r>
      <w:r w:rsidRPr="00421B91">
        <w:rPr>
          <w:rFonts w:cs="Times New Roman"/>
        </w:rPr>
        <w:t>anagement</w:t>
      </w:r>
      <w:r w:rsidR="00032EC0">
        <w:rPr>
          <w:rFonts w:cs="Times New Roman"/>
        </w:rPr>
        <w:t xml:space="preserve"> (HCM)</w:t>
      </w:r>
      <w:r w:rsidRPr="00421B91">
        <w:rPr>
          <w:rFonts w:cs="Times New Roman"/>
        </w:rPr>
        <w:t xml:space="preserve">. </w:t>
      </w:r>
      <w:r w:rsidR="00DF6814">
        <w:rPr>
          <w:rFonts w:cs="Times New Roman"/>
        </w:rPr>
        <w:t>Project Sponsors may provide S</w:t>
      </w:r>
      <w:r w:rsidRPr="00421B91">
        <w:rPr>
          <w:rFonts w:cs="Times New Roman"/>
        </w:rPr>
        <w:t>upportive Services in conjunction with HOPWA housing assistance or as a standalone service (Supportive Services Only).</w:t>
      </w:r>
    </w:p>
    <w:p w14:paraId="39980B89" w14:textId="008902E2" w:rsidR="001411AF" w:rsidRPr="001411AF" w:rsidRDefault="00A64C0C" w:rsidP="00F1581D">
      <w:pPr>
        <w:pStyle w:val="NoSpacing"/>
        <w:numPr>
          <w:ilvl w:val="2"/>
          <w:numId w:val="28"/>
        </w:numPr>
        <w:ind w:left="540"/>
        <w:rPr>
          <w:rFonts w:cs="Times New Roman"/>
          <w:b/>
        </w:rPr>
      </w:pPr>
      <w:r>
        <w:rPr>
          <w:rFonts w:cs="Times New Roman"/>
          <w:b/>
        </w:rPr>
        <w:t>Tenant-B</w:t>
      </w:r>
      <w:r w:rsidR="001411AF" w:rsidRPr="001411AF">
        <w:rPr>
          <w:rFonts w:cs="Times New Roman"/>
          <w:b/>
        </w:rPr>
        <w:t>ased Rental Assistance</w:t>
      </w:r>
      <w:r w:rsidR="009431A2">
        <w:rPr>
          <w:rFonts w:cs="Times New Roman"/>
          <w:b/>
        </w:rPr>
        <w:t xml:space="preserve"> (TBRA)</w:t>
      </w:r>
      <w:r w:rsidR="001411AF" w:rsidRPr="001411AF">
        <w:rPr>
          <w:rFonts w:cs="Times New Roman"/>
          <w:b/>
        </w:rPr>
        <w:t xml:space="preserve"> Services</w:t>
      </w:r>
    </w:p>
    <w:p w14:paraId="5F3C6FDF" w14:textId="063830BC" w:rsidR="00C16DD7" w:rsidRPr="00427671" w:rsidRDefault="0082659C" w:rsidP="00F1581D">
      <w:pPr>
        <w:pStyle w:val="NoSpacing"/>
        <w:ind w:left="540"/>
        <w:rPr>
          <w:rFonts w:cs="Times New Roman"/>
        </w:rPr>
      </w:pPr>
      <w:r>
        <w:rPr>
          <w:rFonts w:cs="Times New Roman"/>
        </w:rPr>
        <w:lastRenderedPageBreak/>
        <w:t>A</w:t>
      </w:r>
      <w:r w:rsidRPr="001411AF">
        <w:rPr>
          <w:rFonts w:cs="Times New Roman"/>
        </w:rPr>
        <w:t xml:space="preserve"> rental </w:t>
      </w:r>
      <w:r>
        <w:rPr>
          <w:rFonts w:cs="Times New Roman"/>
        </w:rPr>
        <w:t>assistance</w:t>
      </w:r>
      <w:r w:rsidRPr="001411AF">
        <w:rPr>
          <w:rFonts w:cs="Times New Roman"/>
        </w:rPr>
        <w:t xml:space="preserve"> </w:t>
      </w:r>
      <w:r>
        <w:rPr>
          <w:rFonts w:cs="Times New Roman"/>
        </w:rPr>
        <w:t>service</w:t>
      </w:r>
      <w:r w:rsidRPr="001411AF">
        <w:rPr>
          <w:rFonts w:cs="Times New Roman"/>
        </w:rPr>
        <w:t xml:space="preserve"> </w:t>
      </w:r>
      <w:proofErr w:type="gramStart"/>
      <w:r w:rsidRPr="001411AF">
        <w:rPr>
          <w:rFonts w:cs="Times New Roman"/>
        </w:rPr>
        <w:t>similar to</w:t>
      </w:r>
      <w:proofErr w:type="gramEnd"/>
      <w:r w:rsidRPr="001411AF">
        <w:rPr>
          <w:rFonts w:cs="Times New Roman"/>
        </w:rPr>
        <w:t xml:space="preserve"> the Housing Choice Voucher </w:t>
      </w:r>
      <w:r w:rsidR="005A7294">
        <w:rPr>
          <w:rFonts w:cs="Times New Roman"/>
        </w:rPr>
        <w:t>P</w:t>
      </w:r>
      <w:r w:rsidRPr="001411AF">
        <w:rPr>
          <w:rFonts w:cs="Times New Roman"/>
        </w:rPr>
        <w:t>rogram</w:t>
      </w:r>
      <w:r w:rsidR="004D5CDF">
        <w:rPr>
          <w:rFonts w:cs="Times New Roman"/>
        </w:rPr>
        <w:t xml:space="preserve"> (HCVP)</w:t>
      </w:r>
      <w:r w:rsidRPr="001411AF">
        <w:rPr>
          <w:rFonts w:cs="Times New Roman"/>
        </w:rPr>
        <w:t xml:space="preserve"> that </w:t>
      </w:r>
      <w:r w:rsidR="00745B58">
        <w:rPr>
          <w:rFonts w:cs="Times New Roman"/>
        </w:rPr>
        <w:t>helps</w:t>
      </w:r>
      <w:r w:rsidRPr="001411AF">
        <w:rPr>
          <w:rFonts w:cs="Times New Roman"/>
        </w:rPr>
        <w:t xml:space="preserve"> low-income househ</w:t>
      </w:r>
      <w:r>
        <w:rPr>
          <w:rFonts w:cs="Times New Roman"/>
        </w:rPr>
        <w:t>olds access affordable housing</w:t>
      </w:r>
      <w:r w:rsidR="004D772C">
        <w:rPr>
          <w:rFonts w:cs="Times New Roman"/>
        </w:rPr>
        <w:t xml:space="preserve"> </w:t>
      </w:r>
      <w:r w:rsidR="004D772C" w:rsidRPr="004D772C">
        <w:rPr>
          <w:rFonts w:cs="Times New Roman"/>
        </w:rPr>
        <w:t>(see “Rental Assistance”)</w:t>
      </w:r>
      <w:r>
        <w:rPr>
          <w:rFonts w:cs="Times New Roman"/>
        </w:rPr>
        <w:t xml:space="preserve">. </w:t>
      </w:r>
      <w:r w:rsidR="000B3112" w:rsidRPr="000B3112">
        <w:rPr>
          <w:rFonts w:cs="Times New Roman"/>
        </w:rPr>
        <w:t>Unlike facility-based rental assistance, services do not link to a specific unit. If a household moves out of their unit, they may transfer their assistance to another unit, subject to individual program rules.</w:t>
      </w:r>
      <w:r w:rsidR="007072AE">
        <w:rPr>
          <w:rFonts w:cs="Times New Roman"/>
        </w:rPr>
        <w:t xml:space="preserve"> </w:t>
      </w:r>
      <w:r w:rsidR="007072AE" w:rsidRPr="007072AE">
        <w:rPr>
          <w:rFonts w:cs="Times New Roman"/>
        </w:rPr>
        <w:t>The subsidy amount depends on several factors, including household income and rental costs associated with the household’s lease.</w:t>
      </w:r>
    </w:p>
    <w:p w14:paraId="148E0061" w14:textId="77777777" w:rsidR="001411AF" w:rsidRPr="001411AF" w:rsidRDefault="001411AF" w:rsidP="00F1581D">
      <w:pPr>
        <w:pStyle w:val="NoSpacing"/>
        <w:numPr>
          <w:ilvl w:val="2"/>
          <w:numId w:val="28"/>
        </w:numPr>
        <w:ind w:left="540"/>
        <w:rPr>
          <w:rFonts w:cs="Times New Roman"/>
          <w:b/>
        </w:rPr>
      </w:pPr>
      <w:r w:rsidRPr="001411AF">
        <w:rPr>
          <w:rFonts w:cs="Times New Roman"/>
          <w:b/>
        </w:rPr>
        <w:t>Transgender</w:t>
      </w:r>
    </w:p>
    <w:p w14:paraId="26CFFC8C" w14:textId="3E82175F" w:rsidR="00552FE5" w:rsidRDefault="001411AF" w:rsidP="00F1581D">
      <w:pPr>
        <w:pStyle w:val="NoSpacing"/>
        <w:ind w:left="540"/>
        <w:rPr>
          <w:rFonts w:cs="Times New Roman"/>
        </w:rPr>
      </w:pPr>
      <w:r w:rsidRPr="001411AF">
        <w:rPr>
          <w:rFonts w:cs="Times New Roman"/>
        </w:rPr>
        <w:t xml:space="preserve">Transgender is defined as a person who identifies with, or presents as, a gender that is different from </w:t>
      </w:r>
      <w:r w:rsidR="006B2A2B">
        <w:rPr>
          <w:rFonts w:cs="Times New Roman"/>
        </w:rPr>
        <w:t xml:space="preserve">the </w:t>
      </w:r>
      <w:r w:rsidRPr="001411AF">
        <w:rPr>
          <w:rFonts w:cs="Times New Roman"/>
        </w:rPr>
        <w:t>gender</w:t>
      </w:r>
      <w:r w:rsidR="006B2A2B">
        <w:rPr>
          <w:rFonts w:cs="Times New Roman"/>
        </w:rPr>
        <w:t xml:space="preserve"> assigned to them</w:t>
      </w:r>
      <w:r w:rsidRPr="001411AF">
        <w:rPr>
          <w:rFonts w:cs="Times New Roman"/>
        </w:rPr>
        <w:t xml:space="preserve"> at birth.</w:t>
      </w:r>
    </w:p>
    <w:p w14:paraId="08A096B2" w14:textId="06158002" w:rsidR="00E6274D" w:rsidRDefault="00E6274D" w:rsidP="00F1581D">
      <w:pPr>
        <w:pStyle w:val="NoSpacing"/>
        <w:numPr>
          <w:ilvl w:val="2"/>
          <w:numId w:val="28"/>
        </w:numPr>
        <w:ind w:left="540"/>
        <w:rPr>
          <w:rFonts w:cs="Times New Roman"/>
          <w:b/>
        </w:rPr>
      </w:pPr>
      <w:r>
        <w:rPr>
          <w:rFonts w:cs="Times New Roman"/>
          <w:b/>
        </w:rPr>
        <w:t>Transitional Supportive Housing</w:t>
      </w:r>
      <w:r w:rsidR="009431A2">
        <w:rPr>
          <w:rFonts w:cs="Times New Roman"/>
          <w:b/>
        </w:rPr>
        <w:t xml:space="preserve"> (TSH)</w:t>
      </w:r>
      <w:r w:rsidR="006A50B7">
        <w:rPr>
          <w:rFonts w:cs="Times New Roman"/>
          <w:b/>
        </w:rPr>
        <w:t xml:space="preserve"> Services</w:t>
      </w:r>
    </w:p>
    <w:p w14:paraId="0D93710B" w14:textId="0863A2D6" w:rsidR="00E6274D" w:rsidRPr="00E6274D" w:rsidRDefault="006A50B7" w:rsidP="00F1581D">
      <w:pPr>
        <w:pStyle w:val="NoSpacing"/>
        <w:ind w:left="540"/>
        <w:rPr>
          <w:rFonts w:cs="Times New Roman"/>
        </w:rPr>
      </w:pPr>
      <w:r w:rsidRPr="006A50B7">
        <w:rPr>
          <w:rFonts w:cs="Times New Roman"/>
        </w:rPr>
        <w:t xml:space="preserve">A facility-based </w:t>
      </w:r>
      <w:r w:rsidR="00221D84">
        <w:rPr>
          <w:rFonts w:cs="Times New Roman"/>
        </w:rPr>
        <w:t xml:space="preserve">housing </w:t>
      </w:r>
      <w:r w:rsidR="00763BBB">
        <w:rPr>
          <w:rFonts w:cs="Times New Roman"/>
        </w:rPr>
        <w:t>assistance</w:t>
      </w:r>
      <w:r w:rsidRPr="006A50B7">
        <w:rPr>
          <w:rFonts w:cs="Times New Roman"/>
        </w:rPr>
        <w:t xml:space="preserve"> </w:t>
      </w:r>
      <w:r w:rsidR="009E69C1">
        <w:rPr>
          <w:rFonts w:cs="Times New Roman"/>
        </w:rPr>
        <w:t xml:space="preserve">model </w:t>
      </w:r>
      <w:r w:rsidRPr="006A50B7">
        <w:rPr>
          <w:rFonts w:cs="Times New Roman"/>
        </w:rPr>
        <w:t xml:space="preserve">that provides up to </w:t>
      </w:r>
      <w:r>
        <w:rPr>
          <w:rFonts w:cs="Times New Roman"/>
        </w:rPr>
        <w:t xml:space="preserve">24 </w:t>
      </w:r>
      <w:r w:rsidR="00763BBB">
        <w:rPr>
          <w:rFonts w:cs="Times New Roman"/>
        </w:rPr>
        <w:t xml:space="preserve">cumulative </w:t>
      </w:r>
      <w:r>
        <w:rPr>
          <w:rFonts w:cs="Times New Roman"/>
        </w:rPr>
        <w:t>months</w:t>
      </w:r>
      <w:r w:rsidR="00763BBB">
        <w:rPr>
          <w:rFonts w:cs="Times New Roman"/>
        </w:rPr>
        <w:t xml:space="preserve"> of </w:t>
      </w:r>
      <w:r w:rsidR="009E69C1">
        <w:rPr>
          <w:rFonts w:cs="Times New Roman"/>
        </w:rPr>
        <w:t xml:space="preserve">non-portable </w:t>
      </w:r>
      <w:r w:rsidR="00221D84">
        <w:rPr>
          <w:rFonts w:cs="Times New Roman"/>
        </w:rPr>
        <w:t xml:space="preserve">facility-based </w:t>
      </w:r>
      <w:r w:rsidR="00763BBB">
        <w:rPr>
          <w:rFonts w:cs="Times New Roman"/>
        </w:rPr>
        <w:t xml:space="preserve">rental assistance to households </w:t>
      </w:r>
      <w:r w:rsidR="008945AD">
        <w:rPr>
          <w:rFonts w:cs="Times New Roman"/>
        </w:rPr>
        <w:t xml:space="preserve">that </w:t>
      </w:r>
      <w:r w:rsidR="00763BBB">
        <w:rPr>
          <w:rFonts w:cs="Times New Roman"/>
        </w:rPr>
        <w:t xml:space="preserve">are homeless or at risk of homelessness. Services allow </w:t>
      </w:r>
      <w:r w:rsidR="00221D84" w:rsidRPr="00221D84">
        <w:rPr>
          <w:rFonts w:cs="Times New Roman"/>
        </w:rPr>
        <w:t xml:space="preserve">households to prepare for permanent housing and develop individualized housing plans that </w:t>
      </w:r>
      <w:r w:rsidR="00221D84">
        <w:rPr>
          <w:rFonts w:cs="Times New Roman"/>
        </w:rPr>
        <w:t>culminate in</w:t>
      </w:r>
      <w:r w:rsidR="00221D84" w:rsidRPr="00221D84">
        <w:rPr>
          <w:rFonts w:cs="Times New Roman"/>
        </w:rPr>
        <w:t xml:space="preserve"> permanent housing</w:t>
      </w:r>
      <w:r w:rsidR="00221D84">
        <w:rPr>
          <w:rFonts w:cs="Times New Roman"/>
        </w:rPr>
        <w:t>.</w:t>
      </w:r>
    </w:p>
    <w:p w14:paraId="7CEF8234" w14:textId="77777777" w:rsidR="00684FCE" w:rsidRDefault="00684FCE" w:rsidP="00F1581D">
      <w:pPr>
        <w:pStyle w:val="NoSpacing"/>
        <w:numPr>
          <w:ilvl w:val="2"/>
          <w:numId w:val="28"/>
        </w:numPr>
        <w:ind w:left="540"/>
        <w:rPr>
          <w:rFonts w:cs="Times New Roman"/>
          <w:b/>
        </w:rPr>
      </w:pPr>
      <w:r w:rsidRPr="00684FCE">
        <w:rPr>
          <w:rFonts w:cs="Times New Roman"/>
          <w:b/>
        </w:rPr>
        <w:t>VAWA Internal Emergency Transfers</w:t>
      </w:r>
    </w:p>
    <w:p w14:paraId="6BFCC3AC" w14:textId="5D597D64" w:rsidR="00684FCE" w:rsidRDefault="00684FCE" w:rsidP="00684FCE">
      <w:pPr>
        <w:pStyle w:val="NoSpacing"/>
        <w:ind w:left="540"/>
        <w:rPr>
          <w:rFonts w:cs="Times New Roman"/>
          <w:bCs/>
        </w:rPr>
      </w:pPr>
      <w:r>
        <w:rPr>
          <w:rFonts w:cs="Times New Roman"/>
          <w:bCs/>
        </w:rPr>
        <w:t>A</w:t>
      </w:r>
      <w:r w:rsidRPr="00DE48B8">
        <w:rPr>
          <w:rFonts w:cs="Times New Roman"/>
          <w:bCs/>
        </w:rPr>
        <w:t xml:space="preserve">n emergency transfer under the VAWA protections refers to an emergency relocation of a tenant to another unit where the </w:t>
      </w:r>
      <w:r w:rsidR="008D711E">
        <w:rPr>
          <w:rFonts w:cs="Times New Roman"/>
          <w:bCs/>
        </w:rPr>
        <w:t xml:space="preserve">Project Sponsor would not categorize the </w:t>
      </w:r>
      <w:r w:rsidRPr="00DE48B8">
        <w:rPr>
          <w:rFonts w:cs="Times New Roman"/>
          <w:bCs/>
        </w:rPr>
        <w:t>tenant as a new applicant; that is, the tenant may reside in the new unit without having to undergo an application process.</w:t>
      </w:r>
    </w:p>
    <w:p w14:paraId="4879CB9E" w14:textId="77777777" w:rsidR="00684FCE" w:rsidRDefault="00684FCE" w:rsidP="00F1581D">
      <w:pPr>
        <w:pStyle w:val="NoSpacing"/>
        <w:numPr>
          <w:ilvl w:val="2"/>
          <w:numId w:val="28"/>
        </w:numPr>
        <w:ind w:left="540"/>
        <w:rPr>
          <w:rFonts w:cs="Times New Roman"/>
          <w:b/>
        </w:rPr>
      </w:pPr>
      <w:r w:rsidRPr="00684FCE">
        <w:rPr>
          <w:rFonts w:cs="Times New Roman"/>
          <w:b/>
        </w:rPr>
        <w:t>VAWA External Emergency Transfers</w:t>
      </w:r>
    </w:p>
    <w:p w14:paraId="59FA123B" w14:textId="4D2C3D12" w:rsidR="00684FCE" w:rsidRPr="00DE48B8" w:rsidRDefault="00684FCE" w:rsidP="00DE48B8">
      <w:pPr>
        <w:pStyle w:val="NoSpacing"/>
        <w:ind w:left="540"/>
        <w:rPr>
          <w:rFonts w:cs="Times New Roman"/>
          <w:bCs/>
        </w:rPr>
      </w:pPr>
      <w:r>
        <w:rPr>
          <w:rFonts w:cs="Times New Roman"/>
          <w:bCs/>
        </w:rPr>
        <w:t>A</w:t>
      </w:r>
      <w:r w:rsidRPr="00DE48B8">
        <w:rPr>
          <w:rFonts w:cs="Times New Roman"/>
          <w:bCs/>
        </w:rPr>
        <w:t xml:space="preserve">n emergency transfer under the VAWA protections refers to an emergency relocation of a tenant to another unit where the </w:t>
      </w:r>
      <w:r w:rsidR="008D711E">
        <w:rPr>
          <w:rFonts w:cs="Times New Roman"/>
          <w:bCs/>
        </w:rPr>
        <w:t xml:space="preserve">Project Sponsor would categorize the </w:t>
      </w:r>
      <w:r w:rsidRPr="00DE48B8">
        <w:rPr>
          <w:rFonts w:cs="Times New Roman"/>
          <w:bCs/>
        </w:rPr>
        <w:t xml:space="preserve">tenant as a new applicant; that is, the tenant must undergo an application process </w:t>
      </w:r>
      <w:r w:rsidR="000A08A7" w:rsidRPr="00DE48B8">
        <w:rPr>
          <w:rFonts w:cs="Times New Roman"/>
          <w:bCs/>
        </w:rPr>
        <w:t>to</w:t>
      </w:r>
      <w:r w:rsidRPr="00DE48B8">
        <w:rPr>
          <w:rFonts w:cs="Times New Roman"/>
          <w:bCs/>
        </w:rPr>
        <w:t xml:space="preserve"> reside in the new unit.</w:t>
      </w:r>
    </w:p>
    <w:p w14:paraId="1851EB76" w14:textId="6BE20C2D" w:rsidR="001411AF" w:rsidRPr="001411AF" w:rsidRDefault="001411AF" w:rsidP="00F1581D">
      <w:pPr>
        <w:pStyle w:val="NoSpacing"/>
        <w:numPr>
          <w:ilvl w:val="2"/>
          <w:numId w:val="28"/>
        </w:numPr>
        <w:ind w:left="540"/>
        <w:rPr>
          <w:rFonts w:cs="Times New Roman"/>
          <w:b/>
        </w:rPr>
      </w:pPr>
      <w:r w:rsidRPr="001411AF">
        <w:rPr>
          <w:rFonts w:cs="Times New Roman"/>
          <w:b/>
        </w:rPr>
        <w:t>Veteran</w:t>
      </w:r>
    </w:p>
    <w:p w14:paraId="3A092FCC" w14:textId="5FF5FCD7" w:rsidR="00BB0872" w:rsidRPr="00FE5373" w:rsidRDefault="001411AF" w:rsidP="00FE5373">
      <w:pPr>
        <w:pStyle w:val="NoSpacing"/>
        <w:ind w:left="540"/>
      </w:pPr>
      <w:r w:rsidRPr="001411AF">
        <w:t>A veteran is someone who has served on active duty in the Arm</w:t>
      </w:r>
      <w:r>
        <w:t>ed Forces of the United States.</w:t>
      </w:r>
      <w:r w:rsidRPr="001411AF">
        <w:t xml:space="preserve"> This does not </w:t>
      </w:r>
      <w:r w:rsidRPr="00FE5373">
        <w:t>include inactive military reserves or the National Guard unless the person was called to active duty.</w:t>
      </w:r>
    </w:p>
    <w:p w14:paraId="7524B882" w14:textId="716A9CD1" w:rsidR="00FE5373" w:rsidRPr="00DE48B8" w:rsidRDefault="00FE5373" w:rsidP="00DE48B8">
      <w:pPr>
        <w:pStyle w:val="NoSpacing"/>
      </w:pPr>
    </w:p>
    <w:p w14:paraId="02FFB1B3" w14:textId="1063E94D" w:rsidR="007C3C5A" w:rsidRPr="008A2696" w:rsidRDefault="004F12E9" w:rsidP="00B109D9">
      <w:pPr>
        <w:pStyle w:val="Heading1"/>
      </w:pPr>
      <w:bookmarkStart w:id="3" w:name="_Toc140755458"/>
      <w:r w:rsidRPr="008A2696">
        <w:t>Section 4. Program Purpose, Administration, and Overview</w:t>
      </w:r>
      <w:bookmarkEnd w:id="3"/>
    </w:p>
    <w:p w14:paraId="2650C6B1" w14:textId="77777777" w:rsidR="00903C64" w:rsidRPr="00786AC9" w:rsidRDefault="004F12E9" w:rsidP="00754E9B">
      <w:pPr>
        <w:pStyle w:val="NoSpacing"/>
        <w:numPr>
          <w:ilvl w:val="1"/>
          <w:numId w:val="29"/>
        </w:numPr>
        <w:rPr>
          <w:rFonts w:cs="Times New Roman"/>
          <w:b/>
          <w:u w:val="single"/>
        </w:rPr>
      </w:pPr>
      <w:r w:rsidRPr="00786AC9">
        <w:rPr>
          <w:rFonts w:cs="Times New Roman"/>
          <w:b/>
          <w:u w:val="single"/>
        </w:rPr>
        <w:t>Program Purpose</w:t>
      </w:r>
    </w:p>
    <w:p w14:paraId="03E343A8" w14:textId="720F6C34" w:rsidR="00372634" w:rsidRDefault="00CF23A4" w:rsidP="00850524">
      <w:pPr>
        <w:pStyle w:val="NoSpacing"/>
        <w:ind w:left="720"/>
        <w:rPr>
          <w:rFonts w:cs="Times New Roman"/>
        </w:rPr>
      </w:pPr>
      <w:r w:rsidRPr="00CF23A4">
        <w:rPr>
          <w:rFonts w:cs="Times New Roman"/>
          <w:iCs/>
        </w:rPr>
        <w:t xml:space="preserve">HOPWA </w:t>
      </w:r>
      <w:r w:rsidR="005104FB">
        <w:rPr>
          <w:rFonts w:cs="Times New Roman"/>
          <w:iCs/>
        </w:rPr>
        <w:t>serves as</w:t>
      </w:r>
      <w:r w:rsidRPr="00CF23A4">
        <w:rPr>
          <w:rFonts w:cs="Times New Roman"/>
          <w:iCs/>
        </w:rPr>
        <w:t xml:space="preserve"> the only federal program dedicated to addressing the housing needs of low-income PLWH and their households.</w:t>
      </w:r>
      <w:r>
        <w:rPr>
          <w:rFonts w:cs="Times New Roman"/>
          <w:iCs/>
        </w:rPr>
        <w:t xml:space="preserve"> </w:t>
      </w:r>
      <w:r w:rsidR="00D22424" w:rsidRPr="00D22424">
        <w:rPr>
          <w:rFonts w:cs="Times New Roman"/>
          <w:iCs/>
        </w:rPr>
        <w:t>The DSHS HOPWA Program helps eligible PLWH and their households establish or maintain affordable and stable housing, reduce their risk of homelessness, and improve their access to health care and supportive services.</w:t>
      </w:r>
      <w:r w:rsidRPr="00CF23A4">
        <w:t xml:space="preserve"> </w:t>
      </w:r>
      <w:r w:rsidRPr="00CF23A4">
        <w:rPr>
          <w:rFonts w:cs="Times New Roman"/>
          <w:iCs/>
        </w:rPr>
        <w:t xml:space="preserve">Stable housing </w:t>
      </w:r>
      <w:r>
        <w:rPr>
          <w:rFonts w:cs="Times New Roman"/>
          <w:iCs/>
        </w:rPr>
        <w:t>helps</w:t>
      </w:r>
      <w:r w:rsidRPr="00CF23A4">
        <w:rPr>
          <w:rFonts w:cs="Times New Roman"/>
          <w:iCs/>
        </w:rPr>
        <w:t xml:space="preserve"> PLWH access comprehensive healthcare, adhere to HIV treatment, and achieve viral suppression.</w:t>
      </w:r>
    </w:p>
    <w:p w14:paraId="303B6F55" w14:textId="77777777" w:rsidR="00BE4BAB" w:rsidRDefault="00BE4BAB" w:rsidP="00850524">
      <w:pPr>
        <w:pStyle w:val="NoSpacing"/>
        <w:ind w:left="720"/>
        <w:rPr>
          <w:rFonts w:cs="Times New Roman"/>
        </w:rPr>
      </w:pPr>
    </w:p>
    <w:p w14:paraId="40A735DC" w14:textId="77777777" w:rsidR="00903C64" w:rsidRPr="00786AC9" w:rsidRDefault="004F12E9" w:rsidP="00754E9B">
      <w:pPr>
        <w:pStyle w:val="NoSpacing"/>
        <w:numPr>
          <w:ilvl w:val="1"/>
          <w:numId w:val="29"/>
        </w:numPr>
        <w:rPr>
          <w:rFonts w:cs="Times New Roman"/>
          <w:b/>
          <w:u w:val="single"/>
        </w:rPr>
      </w:pPr>
      <w:r w:rsidRPr="00786AC9">
        <w:rPr>
          <w:rFonts w:cs="Times New Roman"/>
          <w:b/>
          <w:u w:val="single"/>
        </w:rPr>
        <w:t>Program Administration</w:t>
      </w:r>
    </w:p>
    <w:p w14:paraId="2E79303E" w14:textId="5F7AD648" w:rsidR="00CF23A4" w:rsidRDefault="00EB440B" w:rsidP="00850524">
      <w:pPr>
        <w:pStyle w:val="NoSpacing"/>
        <w:ind w:left="720"/>
        <w:rPr>
          <w:rFonts w:cs="Times New Roman"/>
        </w:rPr>
      </w:pPr>
      <w:r>
        <w:rPr>
          <w:rFonts w:cs="Times New Roman"/>
        </w:rPr>
        <w:t>The DSHS HIV Care and Medications Unit</w:t>
      </w:r>
      <w:r w:rsidR="00252C02">
        <w:rPr>
          <w:rFonts w:cs="Times New Roman"/>
        </w:rPr>
        <w:t xml:space="preserve"> administers the </w:t>
      </w:r>
      <w:r w:rsidR="00CF23A4">
        <w:rPr>
          <w:rFonts w:cs="Times New Roman"/>
        </w:rPr>
        <w:t>State of Texas HOPWA</w:t>
      </w:r>
      <w:r w:rsidR="00372634" w:rsidRPr="008026D4">
        <w:rPr>
          <w:rFonts w:cs="Times New Roman"/>
        </w:rPr>
        <w:t xml:space="preserve"> formula grant from </w:t>
      </w:r>
      <w:r w:rsidR="00C2679E">
        <w:rPr>
          <w:rFonts w:cs="Times New Roman"/>
        </w:rPr>
        <w:t>HUD</w:t>
      </w:r>
      <w:r w:rsidR="00372634" w:rsidRPr="008026D4">
        <w:rPr>
          <w:rFonts w:cs="Times New Roman"/>
        </w:rPr>
        <w:t xml:space="preserve">. </w:t>
      </w:r>
      <w:r w:rsidR="00CF23A4" w:rsidRPr="00CF23A4">
        <w:rPr>
          <w:rFonts w:cs="Times New Roman"/>
        </w:rPr>
        <w:t xml:space="preserve">The DSHS HOPWA Program serves all </w:t>
      </w:r>
      <w:r w:rsidR="002907C4">
        <w:rPr>
          <w:rFonts w:cs="Times New Roman"/>
        </w:rPr>
        <w:t>254 counties in Texas</w:t>
      </w:r>
      <w:r w:rsidR="00CF23A4" w:rsidRPr="00CF23A4">
        <w:rPr>
          <w:rFonts w:cs="Times New Roman"/>
        </w:rPr>
        <w:t xml:space="preserve">, prioritizing </w:t>
      </w:r>
      <w:r w:rsidR="00192B16">
        <w:rPr>
          <w:rFonts w:cs="Times New Roman"/>
        </w:rPr>
        <w:t>those</w:t>
      </w:r>
      <w:r w:rsidR="00CF23A4" w:rsidRPr="00CF23A4">
        <w:rPr>
          <w:rFonts w:cs="Times New Roman"/>
        </w:rPr>
        <w:t xml:space="preserve"> </w:t>
      </w:r>
      <w:r w:rsidR="002907C4">
        <w:rPr>
          <w:rFonts w:cs="Times New Roman"/>
        </w:rPr>
        <w:t xml:space="preserve">located </w:t>
      </w:r>
      <w:r w:rsidR="00CF23A4" w:rsidRPr="00CF23A4">
        <w:rPr>
          <w:rFonts w:cs="Times New Roman"/>
        </w:rPr>
        <w:t xml:space="preserve">outside </w:t>
      </w:r>
      <w:r w:rsidR="00192B16">
        <w:rPr>
          <w:rFonts w:cs="Times New Roman"/>
        </w:rPr>
        <w:t xml:space="preserve">of </w:t>
      </w:r>
      <w:r w:rsidR="00CF23A4" w:rsidRPr="00CF23A4">
        <w:rPr>
          <w:rFonts w:cs="Times New Roman"/>
        </w:rPr>
        <w:t>the six HOPWA-funded Metropolitan Statistical Areas</w:t>
      </w:r>
      <w:r w:rsidR="00CC120B">
        <w:rPr>
          <w:rFonts w:cs="Times New Roman"/>
        </w:rPr>
        <w:t xml:space="preserve">: </w:t>
      </w:r>
      <w:r w:rsidR="00CF23A4" w:rsidRPr="00CF23A4">
        <w:rPr>
          <w:rFonts w:cs="Times New Roman"/>
        </w:rPr>
        <w:t xml:space="preserve">Austin, Dallas, El Paso, Fort Worth, Houston, and San Antonio. </w:t>
      </w:r>
      <w:r w:rsidR="002907C4">
        <w:rPr>
          <w:rFonts w:cs="Times New Roman"/>
        </w:rPr>
        <w:t>Therefore</w:t>
      </w:r>
      <w:r w:rsidR="00CF23A4" w:rsidRPr="00CF23A4">
        <w:rPr>
          <w:rFonts w:cs="Times New Roman"/>
        </w:rPr>
        <w:t xml:space="preserve">, the </w:t>
      </w:r>
      <w:r w:rsidR="002907C4">
        <w:rPr>
          <w:rFonts w:cs="Times New Roman"/>
        </w:rPr>
        <w:t>program</w:t>
      </w:r>
      <w:r w:rsidR="00CF23A4" w:rsidRPr="00CF23A4">
        <w:rPr>
          <w:rFonts w:cs="Times New Roman"/>
        </w:rPr>
        <w:t xml:space="preserve"> targets </w:t>
      </w:r>
      <w:r w:rsidR="00A4684C" w:rsidRPr="00CF23A4">
        <w:rPr>
          <w:rFonts w:cs="Times New Roman"/>
        </w:rPr>
        <w:t>less populated</w:t>
      </w:r>
      <w:r w:rsidR="00CF23A4" w:rsidRPr="00CF23A4">
        <w:rPr>
          <w:rFonts w:cs="Times New Roman"/>
        </w:rPr>
        <w:t xml:space="preserve"> </w:t>
      </w:r>
      <w:r w:rsidR="002907C4">
        <w:rPr>
          <w:rFonts w:cs="Times New Roman"/>
        </w:rPr>
        <w:t xml:space="preserve">and non-urban </w:t>
      </w:r>
      <w:r w:rsidR="00CF23A4" w:rsidRPr="00CF23A4">
        <w:rPr>
          <w:rFonts w:cs="Times New Roman"/>
        </w:rPr>
        <w:t xml:space="preserve">areas of </w:t>
      </w:r>
      <w:r w:rsidR="00A4684C">
        <w:rPr>
          <w:rFonts w:cs="Times New Roman"/>
        </w:rPr>
        <w:t>Texas</w:t>
      </w:r>
      <w:r w:rsidR="00CF23A4" w:rsidRPr="00CF23A4">
        <w:rPr>
          <w:rFonts w:cs="Times New Roman"/>
        </w:rPr>
        <w:t>.</w:t>
      </w:r>
    </w:p>
    <w:p w14:paraId="12607746" w14:textId="77777777" w:rsidR="00CF23A4" w:rsidRDefault="00CF23A4" w:rsidP="00850524">
      <w:pPr>
        <w:pStyle w:val="NoSpacing"/>
        <w:ind w:left="720"/>
        <w:rPr>
          <w:rFonts w:cs="Times New Roman"/>
        </w:rPr>
      </w:pPr>
    </w:p>
    <w:p w14:paraId="69CA0ABE" w14:textId="4368241D" w:rsidR="00372634" w:rsidRDefault="00372634" w:rsidP="00850524">
      <w:pPr>
        <w:pStyle w:val="NoSpacing"/>
        <w:ind w:left="720"/>
        <w:rPr>
          <w:rFonts w:cs="Times New Roman"/>
        </w:rPr>
      </w:pPr>
      <w:r w:rsidRPr="008026D4">
        <w:rPr>
          <w:rFonts w:cs="Times New Roman"/>
        </w:rPr>
        <w:t>DSHS contracts with AAs</w:t>
      </w:r>
      <w:r w:rsidR="004839CF" w:rsidRPr="008026D4">
        <w:rPr>
          <w:rFonts w:cs="Times New Roman"/>
        </w:rPr>
        <w:t xml:space="preserve"> in </w:t>
      </w:r>
      <w:r w:rsidR="003C03E4">
        <w:rPr>
          <w:rFonts w:cs="Times New Roman"/>
        </w:rPr>
        <w:t>six</w:t>
      </w:r>
      <w:r w:rsidR="003C03E4" w:rsidRPr="008026D4">
        <w:rPr>
          <w:rFonts w:cs="Times New Roman"/>
        </w:rPr>
        <w:t xml:space="preserve"> </w:t>
      </w:r>
      <w:r w:rsidR="004839CF" w:rsidRPr="008026D4">
        <w:rPr>
          <w:rFonts w:cs="Times New Roman"/>
        </w:rPr>
        <w:t>Ryan White Part B HIV Planning Areas</w:t>
      </w:r>
      <w:r w:rsidRPr="008026D4">
        <w:rPr>
          <w:rFonts w:cs="Times New Roman"/>
        </w:rPr>
        <w:t xml:space="preserve"> </w:t>
      </w:r>
      <w:r w:rsidR="004839CF" w:rsidRPr="008026D4">
        <w:rPr>
          <w:rFonts w:cs="Times New Roman"/>
        </w:rPr>
        <w:t>encompassing</w:t>
      </w:r>
      <w:r w:rsidRPr="008026D4">
        <w:rPr>
          <w:rFonts w:cs="Times New Roman"/>
        </w:rPr>
        <w:t xml:space="preserve"> 26 HIV Service Delivery Areas (HSDA</w:t>
      </w:r>
      <w:r w:rsidR="008071DD" w:rsidRPr="008026D4">
        <w:rPr>
          <w:rFonts w:cs="Times New Roman"/>
        </w:rPr>
        <w:t>s</w:t>
      </w:r>
      <w:r w:rsidRPr="008026D4">
        <w:rPr>
          <w:rFonts w:cs="Times New Roman"/>
        </w:rPr>
        <w:t xml:space="preserve">). AAs </w:t>
      </w:r>
      <w:r w:rsidR="004839CF" w:rsidRPr="008026D4">
        <w:rPr>
          <w:rFonts w:cs="Times New Roman"/>
        </w:rPr>
        <w:t>subcontract with Project Sponsors</w:t>
      </w:r>
      <w:r w:rsidR="003F42F1">
        <w:rPr>
          <w:rFonts w:cs="Times New Roman"/>
        </w:rPr>
        <w:t xml:space="preserve"> in each HSDA</w:t>
      </w:r>
      <w:r w:rsidR="004839CF" w:rsidRPr="008026D4">
        <w:rPr>
          <w:rFonts w:cs="Times New Roman"/>
        </w:rPr>
        <w:t xml:space="preserve"> for statewide </w:t>
      </w:r>
      <w:r w:rsidR="00CB60E3">
        <w:rPr>
          <w:rFonts w:cs="Times New Roman"/>
        </w:rPr>
        <w:t xml:space="preserve">service delivery (see Appendix G: </w:t>
      </w:r>
      <w:r w:rsidR="00F82961">
        <w:rPr>
          <w:rFonts w:cs="Times New Roman"/>
        </w:rPr>
        <w:t>HSDA M</w:t>
      </w:r>
      <w:r w:rsidR="00CB60E3">
        <w:rPr>
          <w:rFonts w:cs="Times New Roman"/>
        </w:rPr>
        <w:t>ap).</w:t>
      </w:r>
      <w:r w:rsidR="00D60153">
        <w:rPr>
          <w:rFonts w:cs="Times New Roman"/>
        </w:rPr>
        <w:t xml:space="preserve"> </w:t>
      </w:r>
      <w:r w:rsidR="00D60153" w:rsidRPr="00D60153">
        <w:rPr>
          <w:rFonts w:cs="Times New Roman"/>
        </w:rPr>
        <w:t xml:space="preserve">DSHS selects AAs through a combination of competitive Requests for </w:t>
      </w:r>
      <w:r w:rsidR="00A4684C">
        <w:rPr>
          <w:rFonts w:cs="Times New Roman"/>
        </w:rPr>
        <w:t>Applications</w:t>
      </w:r>
      <w:r w:rsidR="00A4684C" w:rsidRPr="00D60153">
        <w:rPr>
          <w:rFonts w:cs="Times New Roman"/>
        </w:rPr>
        <w:t xml:space="preserve"> </w:t>
      </w:r>
      <w:r w:rsidR="00D60153" w:rsidRPr="00D60153">
        <w:rPr>
          <w:rFonts w:cs="Times New Roman"/>
        </w:rPr>
        <w:t>(RF</w:t>
      </w:r>
      <w:r w:rsidR="00A4684C">
        <w:rPr>
          <w:rFonts w:cs="Times New Roman"/>
        </w:rPr>
        <w:t>As</w:t>
      </w:r>
      <w:r w:rsidR="00D60153" w:rsidRPr="00D60153">
        <w:rPr>
          <w:rFonts w:cs="Times New Roman"/>
        </w:rPr>
        <w:t>) and intergovernmental contracts. AAs act as an administrative arm for DSHS, with DSHS oversight, by administering the HOPWA program locally for a five-year project period.</w:t>
      </w:r>
    </w:p>
    <w:p w14:paraId="732ADE07" w14:textId="77777777" w:rsidR="00BE4BAB" w:rsidRDefault="00BE4BAB" w:rsidP="00850524">
      <w:pPr>
        <w:pStyle w:val="NoSpacing"/>
        <w:ind w:left="720"/>
        <w:rPr>
          <w:rFonts w:cs="Times New Roman"/>
        </w:rPr>
      </w:pPr>
    </w:p>
    <w:p w14:paraId="070B025A" w14:textId="454C3946" w:rsidR="00903C64" w:rsidRPr="00786AC9" w:rsidRDefault="00CD15A2" w:rsidP="00754E9B">
      <w:pPr>
        <w:pStyle w:val="NoSpacing"/>
        <w:numPr>
          <w:ilvl w:val="1"/>
          <w:numId w:val="29"/>
        </w:numPr>
        <w:rPr>
          <w:rFonts w:cs="Times New Roman"/>
          <w:b/>
          <w:u w:val="single"/>
        </w:rPr>
      </w:pPr>
      <w:r w:rsidRPr="00786AC9">
        <w:rPr>
          <w:rFonts w:cs="Times New Roman"/>
          <w:b/>
          <w:u w:val="single"/>
        </w:rPr>
        <w:t>A</w:t>
      </w:r>
      <w:r w:rsidR="004F12E9" w:rsidRPr="00786AC9">
        <w:rPr>
          <w:rFonts w:cs="Times New Roman"/>
          <w:b/>
          <w:u w:val="single"/>
        </w:rPr>
        <w:t xml:space="preserve">uthorized </w:t>
      </w:r>
      <w:r w:rsidR="00A80A29">
        <w:rPr>
          <w:rFonts w:cs="Times New Roman"/>
          <w:b/>
          <w:u w:val="single"/>
        </w:rPr>
        <w:t>Activities</w:t>
      </w:r>
    </w:p>
    <w:p w14:paraId="4C65FCAE" w14:textId="35D0CD6A" w:rsidR="00CD15A2" w:rsidRPr="008026D4" w:rsidRDefault="00CD15A2" w:rsidP="00850524">
      <w:pPr>
        <w:pStyle w:val="NoSpacing"/>
        <w:ind w:left="720"/>
        <w:rPr>
          <w:rFonts w:cs="Times New Roman"/>
        </w:rPr>
      </w:pPr>
      <w:r w:rsidRPr="008026D4">
        <w:rPr>
          <w:rFonts w:cs="Times New Roman"/>
        </w:rPr>
        <w:t>DSHS authorizes the following</w:t>
      </w:r>
      <w:r w:rsidR="00F751BF">
        <w:rPr>
          <w:rFonts w:cs="Times New Roman"/>
        </w:rPr>
        <w:t xml:space="preserve"> program</w:t>
      </w:r>
      <w:r w:rsidRPr="008026D4">
        <w:rPr>
          <w:rFonts w:cs="Times New Roman"/>
        </w:rPr>
        <w:t xml:space="preserve"> </w:t>
      </w:r>
      <w:r w:rsidR="005956AB">
        <w:rPr>
          <w:rFonts w:cs="Times New Roman"/>
        </w:rPr>
        <w:t xml:space="preserve">activities </w:t>
      </w:r>
      <w:r w:rsidR="00D2024E">
        <w:rPr>
          <w:rFonts w:cs="Times New Roman"/>
        </w:rPr>
        <w:t xml:space="preserve">(see </w:t>
      </w:r>
      <w:r w:rsidR="00083D25">
        <w:rPr>
          <w:rFonts w:cs="Times New Roman"/>
        </w:rPr>
        <w:t>Section 14</w:t>
      </w:r>
      <w:r w:rsidR="00D2024E" w:rsidRPr="00D2024E">
        <w:rPr>
          <w:rFonts w:cs="Times New Roman"/>
        </w:rPr>
        <w:t xml:space="preserve">. </w:t>
      </w:r>
      <w:r w:rsidR="00F751BF">
        <w:rPr>
          <w:rFonts w:cs="Times New Roman"/>
        </w:rPr>
        <w:t>Program Activities</w:t>
      </w:r>
      <w:r w:rsidR="00D2024E">
        <w:rPr>
          <w:rFonts w:cs="Times New Roman"/>
        </w:rPr>
        <w:t>):</w:t>
      </w:r>
    </w:p>
    <w:tbl>
      <w:tblPr>
        <w:tblStyle w:val="TableGrid"/>
        <w:tblW w:w="0" w:type="auto"/>
        <w:tblInd w:w="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4675"/>
      </w:tblGrid>
      <w:tr w:rsidR="009201A5" w:rsidRPr="00843F9B" w14:paraId="2A9E84A5" w14:textId="77777777" w:rsidTr="00843F9B">
        <w:trPr>
          <w:trHeight w:val="185"/>
        </w:trPr>
        <w:tc>
          <w:tcPr>
            <w:tcW w:w="5130" w:type="dxa"/>
          </w:tcPr>
          <w:p w14:paraId="460C42B5" w14:textId="0F5E6E38" w:rsidR="009201A5" w:rsidRPr="00843F9B" w:rsidRDefault="009201A5" w:rsidP="009201A5">
            <w:pPr>
              <w:pStyle w:val="NoSpacing"/>
              <w:numPr>
                <w:ilvl w:val="2"/>
                <w:numId w:val="30"/>
              </w:numPr>
              <w:ind w:left="340"/>
              <w:rPr>
                <w:rFonts w:cs="Times New Roman"/>
              </w:rPr>
            </w:pPr>
            <w:r w:rsidRPr="00843F9B">
              <w:rPr>
                <w:rFonts w:cs="Times New Roman"/>
              </w:rPr>
              <w:t>Tenant-Based Rental Assistance</w:t>
            </w:r>
            <w:r w:rsidR="00843F9B" w:rsidRPr="00843F9B">
              <w:rPr>
                <w:rFonts w:cs="Times New Roman"/>
              </w:rPr>
              <w:t xml:space="preserve"> (TBRA)</w:t>
            </w:r>
          </w:p>
          <w:p w14:paraId="019D1935" w14:textId="77777777" w:rsidR="009201A5" w:rsidRPr="00843F9B" w:rsidRDefault="009201A5" w:rsidP="009201A5">
            <w:pPr>
              <w:pStyle w:val="NoSpacing"/>
              <w:numPr>
                <w:ilvl w:val="2"/>
                <w:numId w:val="30"/>
              </w:numPr>
              <w:ind w:left="340"/>
              <w:rPr>
                <w:rFonts w:cs="Times New Roman"/>
              </w:rPr>
            </w:pPr>
            <w:r w:rsidRPr="00843F9B">
              <w:rPr>
                <w:rFonts w:cs="Times New Roman"/>
              </w:rPr>
              <w:t>Short-Term Rent, Mortgage, and Utility (STRMU)</w:t>
            </w:r>
          </w:p>
          <w:p w14:paraId="333CA64A" w14:textId="704849AB" w:rsidR="009201A5" w:rsidRDefault="009201A5" w:rsidP="009201A5">
            <w:pPr>
              <w:pStyle w:val="NoSpacing"/>
              <w:numPr>
                <w:ilvl w:val="2"/>
                <w:numId w:val="30"/>
              </w:numPr>
              <w:ind w:left="340"/>
              <w:rPr>
                <w:rFonts w:cs="Times New Roman"/>
              </w:rPr>
            </w:pPr>
            <w:r w:rsidRPr="00843F9B">
              <w:rPr>
                <w:rFonts w:cs="Times New Roman"/>
              </w:rPr>
              <w:t>Facility-Based Housing Assistance (FBHA)</w:t>
            </w:r>
          </w:p>
          <w:p w14:paraId="203F240D" w14:textId="4A130E87" w:rsidR="00225DB3" w:rsidRDefault="00225DB3" w:rsidP="00FD5ABA">
            <w:pPr>
              <w:pStyle w:val="NoSpacing"/>
              <w:numPr>
                <w:ilvl w:val="3"/>
                <w:numId w:val="30"/>
              </w:numPr>
              <w:ind w:left="801" w:hanging="450"/>
              <w:rPr>
                <w:rFonts w:cs="Times New Roman"/>
              </w:rPr>
            </w:pPr>
            <w:r>
              <w:rPr>
                <w:rFonts w:cs="Times New Roman"/>
              </w:rPr>
              <w:t>Short-Term Supportive Housing (STSH)</w:t>
            </w:r>
          </w:p>
          <w:p w14:paraId="58212E1A" w14:textId="2B160D4E" w:rsidR="00225DB3" w:rsidRPr="00843F9B" w:rsidRDefault="00225DB3" w:rsidP="00FD5ABA">
            <w:pPr>
              <w:pStyle w:val="NoSpacing"/>
              <w:numPr>
                <w:ilvl w:val="3"/>
                <w:numId w:val="30"/>
              </w:numPr>
              <w:ind w:left="801" w:hanging="450"/>
              <w:rPr>
                <w:rFonts w:cs="Times New Roman"/>
              </w:rPr>
            </w:pPr>
            <w:r>
              <w:rPr>
                <w:rFonts w:cs="Times New Roman"/>
              </w:rPr>
              <w:t>Transitional Supportive Housing (TSH)</w:t>
            </w:r>
          </w:p>
          <w:p w14:paraId="6707260C" w14:textId="22C22369" w:rsidR="009201A5" w:rsidRPr="00225DB3" w:rsidRDefault="009201A5" w:rsidP="00225DB3">
            <w:pPr>
              <w:pStyle w:val="NoSpacing"/>
              <w:numPr>
                <w:ilvl w:val="2"/>
                <w:numId w:val="30"/>
              </w:numPr>
              <w:ind w:left="340"/>
              <w:rPr>
                <w:rFonts w:cs="Times New Roman"/>
              </w:rPr>
            </w:pPr>
            <w:r w:rsidRPr="00843F9B">
              <w:rPr>
                <w:rFonts w:cs="Times New Roman"/>
              </w:rPr>
              <w:t>Permanent Housing Placement (PHP</w:t>
            </w:r>
            <w:r w:rsidR="00225DB3">
              <w:rPr>
                <w:rFonts w:cs="Times New Roman"/>
              </w:rPr>
              <w:t>)</w:t>
            </w:r>
          </w:p>
        </w:tc>
        <w:tc>
          <w:tcPr>
            <w:tcW w:w="4675" w:type="dxa"/>
          </w:tcPr>
          <w:p w14:paraId="1D6D5DE6" w14:textId="07B7F9E1" w:rsidR="00225DB3" w:rsidRDefault="00225DB3" w:rsidP="00843F9B">
            <w:pPr>
              <w:pStyle w:val="NoSpacing"/>
              <w:numPr>
                <w:ilvl w:val="2"/>
                <w:numId w:val="30"/>
              </w:numPr>
              <w:ind w:left="340"/>
              <w:rPr>
                <w:rFonts w:cs="Times New Roman"/>
              </w:rPr>
            </w:pPr>
            <w:r w:rsidRPr="00843F9B">
              <w:rPr>
                <w:rFonts w:cs="Times New Roman"/>
              </w:rPr>
              <w:t>Housing Case Management (HCM)</w:t>
            </w:r>
          </w:p>
          <w:p w14:paraId="44DE7FD6" w14:textId="624F75F7" w:rsidR="00843F9B" w:rsidRPr="00843F9B" w:rsidRDefault="00843F9B" w:rsidP="00843F9B">
            <w:pPr>
              <w:pStyle w:val="NoSpacing"/>
              <w:numPr>
                <w:ilvl w:val="2"/>
                <w:numId w:val="30"/>
              </w:numPr>
              <w:ind w:left="340"/>
              <w:rPr>
                <w:rFonts w:cs="Times New Roman"/>
              </w:rPr>
            </w:pPr>
            <w:r w:rsidRPr="00843F9B">
              <w:rPr>
                <w:rFonts w:cs="Times New Roman"/>
              </w:rPr>
              <w:t>Housing Information Services (HIS)</w:t>
            </w:r>
          </w:p>
          <w:p w14:paraId="1411A909" w14:textId="0716C650" w:rsidR="00843F9B" w:rsidRPr="00843F9B" w:rsidRDefault="00843F9B" w:rsidP="00843F9B">
            <w:pPr>
              <w:pStyle w:val="NoSpacing"/>
              <w:numPr>
                <w:ilvl w:val="2"/>
                <w:numId w:val="30"/>
              </w:numPr>
              <w:ind w:left="340"/>
              <w:rPr>
                <w:rFonts w:cs="Times New Roman"/>
              </w:rPr>
            </w:pPr>
            <w:r w:rsidRPr="00843F9B">
              <w:rPr>
                <w:rFonts w:cs="Times New Roman"/>
              </w:rPr>
              <w:t>Resource Identification (RI)</w:t>
            </w:r>
          </w:p>
          <w:p w14:paraId="0FC28DAF" w14:textId="084A966D" w:rsidR="00843F9B" w:rsidRDefault="00843F9B" w:rsidP="00843F9B">
            <w:pPr>
              <w:pStyle w:val="NoSpacing"/>
              <w:numPr>
                <w:ilvl w:val="2"/>
                <w:numId w:val="30"/>
              </w:numPr>
              <w:ind w:left="340"/>
              <w:rPr>
                <w:rFonts w:cs="Times New Roman"/>
              </w:rPr>
            </w:pPr>
            <w:r w:rsidRPr="00843F9B">
              <w:rPr>
                <w:rFonts w:cs="Times New Roman"/>
              </w:rPr>
              <w:t>Project Sponsor Administration</w:t>
            </w:r>
          </w:p>
          <w:p w14:paraId="7C92E66B" w14:textId="0C6503E2" w:rsidR="009201A5" w:rsidRPr="00843F9B" w:rsidRDefault="00FD790F" w:rsidP="00FD790F">
            <w:pPr>
              <w:pStyle w:val="NoSpacing"/>
              <w:numPr>
                <w:ilvl w:val="2"/>
                <w:numId w:val="30"/>
              </w:numPr>
              <w:ind w:left="340"/>
              <w:rPr>
                <w:rFonts w:cs="Times New Roman"/>
              </w:rPr>
            </w:pPr>
            <w:r>
              <w:rPr>
                <w:rFonts w:cs="Times New Roman"/>
              </w:rPr>
              <w:t>Grantee Administration</w:t>
            </w:r>
          </w:p>
        </w:tc>
      </w:tr>
    </w:tbl>
    <w:p w14:paraId="73914421" w14:textId="77777777" w:rsidR="00FE5373" w:rsidRPr="00DE48B8" w:rsidRDefault="00FE5373" w:rsidP="00DE48B8">
      <w:pPr>
        <w:pStyle w:val="NoSpacing"/>
        <w:rPr>
          <w:sz w:val="10"/>
          <w:szCs w:val="10"/>
        </w:rPr>
      </w:pPr>
      <w:r w:rsidRPr="00DE48B8">
        <w:rPr>
          <w:sz w:val="10"/>
          <w:szCs w:val="10"/>
        </w:rPr>
        <w:br w:type="page"/>
      </w:r>
    </w:p>
    <w:p w14:paraId="20409DA2" w14:textId="1B9ED8F4" w:rsidR="00903C64" w:rsidRPr="008A2696" w:rsidRDefault="0093694B" w:rsidP="00B109D9">
      <w:pPr>
        <w:pStyle w:val="Heading1"/>
      </w:pPr>
      <w:bookmarkStart w:id="4" w:name="_Toc140755459"/>
      <w:r w:rsidRPr="008A2696">
        <w:lastRenderedPageBreak/>
        <w:t xml:space="preserve">Section 5. </w:t>
      </w:r>
      <w:r w:rsidR="00855D37">
        <w:t>Administrative Agency</w:t>
      </w:r>
      <w:r w:rsidRPr="008A2696">
        <w:t xml:space="preserve"> and Project Sponsor Roles and Responsibilities</w:t>
      </w:r>
      <w:bookmarkEnd w:id="4"/>
    </w:p>
    <w:p w14:paraId="69EC0CB1" w14:textId="14F42841" w:rsidR="00903C64" w:rsidRPr="00786AC9" w:rsidRDefault="009A5AA8" w:rsidP="002A61C8">
      <w:pPr>
        <w:pStyle w:val="NoSpacing"/>
        <w:numPr>
          <w:ilvl w:val="1"/>
          <w:numId w:val="156"/>
        </w:numPr>
        <w:rPr>
          <w:rFonts w:cs="Times New Roman"/>
          <w:b/>
          <w:u w:val="single"/>
        </w:rPr>
      </w:pPr>
      <w:r w:rsidRPr="00786AC9">
        <w:rPr>
          <w:rFonts w:cs="Times New Roman"/>
          <w:b/>
          <w:u w:val="single"/>
        </w:rPr>
        <w:t>AA</w:t>
      </w:r>
      <w:r w:rsidR="00784623" w:rsidRPr="00786AC9">
        <w:rPr>
          <w:rFonts w:cs="Times New Roman"/>
          <w:b/>
          <w:u w:val="single"/>
        </w:rPr>
        <w:t xml:space="preserve"> Roles and Responsibilities</w:t>
      </w:r>
    </w:p>
    <w:p w14:paraId="1FAFCF06" w14:textId="61D8895C" w:rsidR="003B7D88" w:rsidRPr="008026D4" w:rsidRDefault="009A5AA8" w:rsidP="002A61C8">
      <w:pPr>
        <w:pStyle w:val="NoSpacing"/>
        <w:numPr>
          <w:ilvl w:val="2"/>
          <w:numId w:val="156"/>
        </w:numPr>
        <w:rPr>
          <w:rFonts w:cs="Times New Roman"/>
        </w:rPr>
      </w:pPr>
      <w:r w:rsidRPr="008026D4">
        <w:rPr>
          <w:rFonts w:cs="Times New Roman"/>
        </w:rPr>
        <w:t>AA</w:t>
      </w:r>
      <w:r w:rsidR="0016758A">
        <w:rPr>
          <w:rFonts w:cs="Times New Roman"/>
        </w:rPr>
        <w:t>s</w:t>
      </w:r>
      <w:r w:rsidR="0093694B" w:rsidRPr="008026D4">
        <w:rPr>
          <w:rFonts w:cs="Times New Roman"/>
        </w:rPr>
        <w:t xml:space="preserve"> must comply with all </w:t>
      </w:r>
      <w:r w:rsidRPr="008026D4">
        <w:rPr>
          <w:rFonts w:cs="Times New Roman"/>
        </w:rPr>
        <w:t>federal and state regulations, policies</w:t>
      </w:r>
      <w:r w:rsidR="0093694B" w:rsidRPr="008026D4">
        <w:rPr>
          <w:rFonts w:cs="Times New Roman"/>
        </w:rPr>
        <w:t>, standards, and guidelines as specified in the contract</w:t>
      </w:r>
      <w:r w:rsidR="00342F1A">
        <w:rPr>
          <w:rFonts w:cs="Times New Roman"/>
        </w:rPr>
        <w:t xml:space="preserve">, the </w:t>
      </w:r>
      <w:r w:rsidR="00DC5075" w:rsidRPr="002A61C8">
        <w:t>Texas Health and Human Services Uniform Terms and Conditions</w:t>
      </w:r>
      <w:r w:rsidR="00342F1A">
        <w:rPr>
          <w:rFonts w:cs="Times New Roman"/>
        </w:rPr>
        <w:t>,</w:t>
      </w:r>
      <w:r w:rsidR="00B553FE">
        <w:rPr>
          <w:rFonts w:cs="Times New Roman"/>
        </w:rPr>
        <w:t xml:space="preserve"> and this manual</w:t>
      </w:r>
      <w:r w:rsidR="003B7D88" w:rsidRPr="008026D4">
        <w:rPr>
          <w:rFonts w:cs="Times New Roman"/>
        </w:rPr>
        <w:t>.</w:t>
      </w:r>
    </w:p>
    <w:p w14:paraId="14E21597" w14:textId="2DE9D8DF" w:rsidR="003B7D88" w:rsidRPr="008026D4" w:rsidRDefault="009A5AA8" w:rsidP="002A61C8">
      <w:pPr>
        <w:pStyle w:val="NoSpacing"/>
        <w:numPr>
          <w:ilvl w:val="2"/>
          <w:numId w:val="156"/>
        </w:numPr>
        <w:rPr>
          <w:rFonts w:cs="Times New Roman"/>
        </w:rPr>
      </w:pPr>
      <w:r w:rsidRPr="008026D4">
        <w:rPr>
          <w:rFonts w:cs="Times New Roman"/>
        </w:rPr>
        <w:t>AA</w:t>
      </w:r>
      <w:r w:rsidR="0016758A">
        <w:rPr>
          <w:rFonts w:cs="Times New Roman"/>
        </w:rPr>
        <w:t>s</w:t>
      </w:r>
      <w:r w:rsidRPr="008026D4">
        <w:rPr>
          <w:rFonts w:cs="Times New Roman"/>
        </w:rPr>
        <w:t xml:space="preserve"> must</w:t>
      </w:r>
      <w:r w:rsidR="0093694B" w:rsidRPr="008026D4">
        <w:rPr>
          <w:rFonts w:cs="Times New Roman"/>
        </w:rPr>
        <w:t xml:space="preserve"> </w:t>
      </w:r>
      <w:r w:rsidR="00FD790F">
        <w:rPr>
          <w:rFonts w:cs="Times New Roman"/>
        </w:rPr>
        <w:t xml:space="preserve">subcontract with eligible Project Sponsors and </w:t>
      </w:r>
      <w:r w:rsidR="003B7D88" w:rsidRPr="008026D4">
        <w:rPr>
          <w:rFonts w:cs="Times New Roman"/>
        </w:rPr>
        <w:t>confirm</w:t>
      </w:r>
      <w:r w:rsidR="0093694B" w:rsidRPr="008026D4">
        <w:rPr>
          <w:rFonts w:cs="Times New Roman"/>
        </w:rPr>
        <w:t xml:space="preserve"> that Project Sponsors manage </w:t>
      </w:r>
      <w:r w:rsidRPr="008026D4">
        <w:rPr>
          <w:rFonts w:cs="Times New Roman"/>
        </w:rPr>
        <w:t>program</w:t>
      </w:r>
      <w:r w:rsidR="0093694B" w:rsidRPr="008026D4">
        <w:rPr>
          <w:rFonts w:cs="Times New Roman"/>
        </w:rPr>
        <w:t xml:space="preserve"> funds in compliance with </w:t>
      </w:r>
      <w:r w:rsidRPr="008026D4">
        <w:rPr>
          <w:rFonts w:cs="Times New Roman"/>
        </w:rPr>
        <w:t>HUD and DSHS regulations</w:t>
      </w:r>
      <w:r w:rsidR="0093694B" w:rsidRPr="008026D4">
        <w:rPr>
          <w:rFonts w:cs="Times New Roman"/>
        </w:rPr>
        <w:t>.</w:t>
      </w:r>
      <w:r w:rsidR="00AE201A">
        <w:rPr>
          <w:rFonts w:cs="Times New Roman"/>
        </w:rPr>
        <w:t xml:space="preserve"> AAs may only provide grant funds to Project Sponsors pursuant to legally binding agreements that contain the provisions required by 2 CFR </w:t>
      </w:r>
      <w:r w:rsidR="00AE201A" w:rsidRPr="00AE201A">
        <w:rPr>
          <w:rFonts w:cs="Times New Roman"/>
        </w:rPr>
        <w:t>§</w:t>
      </w:r>
      <w:r w:rsidR="00AE201A">
        <w:rPr>
          <w:rFonts w:cs="Times New Roman"/>
        </w:rPr>
        <w:t xml:space="preserve">200.332(a) and state each commitment to which the Project Sponsor must agree under 24 CFR </w:t>
      </w:r>
      <w:r w:rsidR="00AE201A" w:rsidRPr="00AE201A">
        <w:rPr>
          <w:rFonts w:cs="Times New Roman"/>
        </w:rPr>
        <w:t>§</w:t>
      </w:r>
      <w:r w:rsidR="00AE201A">
        <w:rPr>
          <w:rFonts w:cs="Times New Roman"/>
        </w:rPr>
        <w:t xml:space="preserve">574.500(b)(1) through </w:t>
      </w:r>
      <w:r w:rsidR="00AE201A" w:rsidRPr="00AE201A">
        <w:rPr>
          <w:rFonts w:cs="Times New Roman"/>
        </w:rPr>
        <w:t>§</w:t>
      </w:r>
      <w:r w:rsidR="00AE201A">
        <w:rPr>
          <w:rFonts w:cs="Times New Roman"/>
        </w:rPr>
        <w:t>574.500 (b)(4).</w:t>
      </w:r>
    </w:p>
    <w:p w14:paraId="518603AE" w14:textId="562EB521" w:rsidR="0020379D" w:rsidRDefault="0020379D" w:rsidP="002A61C8">
      <w:pPr>
        <w:pStyle w:val="NoSpacing"/>
        <w:numPr>
          <w:ilvl w:val="2"/>
          <w:numId w:val="156"/>
        </w:numPr>
        <w:rPr>
          <w:rFonts w:cs="Times New Roman"/>
        </w:rPr>
      </w:pPr>
      <w:r>
        <w:rPr>
          <w:rFonts w:cs="Times New Roman"/>
        </w:rPr>
        <w:t xml:space="preserve">AAs must </w:t>
      </w:r>
      <w:r w:rsidR="00FD790F">
        <w:rPr>
          <w:rFonts w:cs="Times New Roman"/>
        </w:rPr>
        <w:t xml:space="preserve">ensure that direct and indirect </w:t>
      </w:r>
      <w:r w:rsidR="00AD6502">
        <w:rPr>
          <w:rFonts w:cs="Times New Roman"/>
        </w:rPr>
        <w:t xml:space="preserve">grantee </w:t>
      </w:r>
      <w:r w:rsidR="00FD790F">
        <w:rPr>
          <w:rFonts w:cs="Times New Roman"/>
        </w:rPr>
        <w:t xml:space="preserve">administrative costs do not exceed the </w:t>
      </w:r>
      <w:r w:rsidR="00AD6502">
        <w:rPr>
          <w:rFonts w:cs="Times New Roman"/>
        </w:rPr>
        <w:t xml:space="preserve">cap established </w:t>
      </w:r>
      <w:r w:rsidR="003709D7">
        <w:rPr>
          <w:rFonts w:cs="Times New Roman"/>
        </w:rPr>
        <w:t xml:space="preserve">by DSHS </w:t>
      </w:r>
      <w:r w:rsidR="00C93811">
        <w:rPr>
          <w:rFonts w:cs="Times New Roman"/>
        </w:rPr>
        <w:t xml:space="preserve">during procurement </w:t>
      </w:r>
      <w:r w:rsidR="00AD6502">
        <w:rPr>
          <w:rFonts w:cs="Times New Roman"/>
        </w:rPr>
        <w:t>in Table A: Allocations by HIV Service Delivery Area</w:t>
      </w:r>
      <w:r w:rsidR="003709D7">
        <w:rPr>
          <w:rFonts w:cs="Times New Roman"/>
        </w:rPr>
        <w:t>.</w:t>
      </w:r>
    </w:p>
    <w:p w14:paraId="14FE11D5" w14:textId="5423B321" w:rsidR="00B146DD" w:rsidRPr="008026D4" w:rsidRDefault="00B146DD" w:rsidP="002A61C8">
      <w:pPr>
        <w:pStyle w:val="NoSpacing"/>
        <w:numPr>
          <w:ilvl w:val="2"/>
          <w:numId w:val="156"/>
        </w:numPr>
        <w:rPr>
          <w:rFonts w:cs="Times New Roman"/>
        </w:rPr>
      </w:pPr>
      <w:r w:rsidRPr="008026D4">
        <w:rPr>
          <w:rFonts w:cs="Times New Roman"/>
        </w:rPr>
        <w:t>AA</w:t>
      </w:r>
      <w:r w:rsidR="0016758A">
        <w:rPr>
          <w:rFonts w:cs="Times New Roman"/>
        </w:rPr>
        <w:t>s</w:t>
      </w:r>
      <w:r w:rsidRPr="008026D4">
        <w:rPr>
          <w:rFonts w:cs="Times New Roman"/>
        </w:rPr>
        <w:t xml:space="preserve"> must </w:t>
      </w:r>
      <w:r w:rsidR="0059255B">
        <w:rPr>
          <w:rFonts w:cs="Times New Roman"/>
        </w:rPr>
        <w:t>ensure</w:t>
      </w:r>
      <w:r w:rsidR="0059255B" w:rsidRPr="008026D4">
        <w:rPr>
          <w:rFonts w:cs="Times New Roman"/>
        </w:rPr>
        <w:t xml:space="preserve"> </w:t>
      </w:r>
      <w:r w:rsidRPr="008026D4">
        <w:rPr>
          <w:rFonts w:cs="Times New Roman"/>
        </w:rPr>
        <w:t>that</w:t>
      </w:r>
      <w:r w:rsidR="00485120">
        <w:rPr>
          <w:rFonts w:cs="Times New Roman"/>
        </w:rPr>
        <w:t xml:space="preserve"> direct and indirect</w:t>
      </w:r>
      <w:r w:rsidRPr="008026D4">
        <w:rPr>
          <w:rFonts w:cs="Times New Roman"/>
        </w:rPr>
        <w:t xml:space="preserve"> Project Sponsor administrative costs</w:t>
      </w:r>
      <w:r w:rsidR="00485120">
        <w:rPr>
          <w:rFonts w:cs="Times New Roman"/>
        </w:rPr>
        <w:t xml:space="preserve"> </w:t>
      </w:r>
      <w:r w:rsidRPr="008026D4">
        <w:rPr>
          <w:rFonts w:cs="Times New Roman"/>
        </w:rPr>
        <w:t>do not exceed seven percent of each Project Sponsor’s total program allocation.</w:t>
      </w:r>
    </w:p>
    <w:p w14:paraId="0CC6FF15" w14:textId="029AB015" w:rsidR="00A16496" w:rsidRPr="008026D4" w:rsidRDefault="00A16496" w:rsidP="002A61C8">
      <w:pPr>
        <w:pStyle w:val="NoSpacing"/>
        <w:numPr>
          <w:ilvl w:val="2"/>
          <w:numId w:val="156"/>
        </w:numPr>
        <w:rPr>
          <w:rFonts w:cs="Times New Roman"/>
        </w:rPr>
      </w:pPr>
      <w:r w:rsidRPr="008026D4">
        <w:rPr>
          <w:rFonts w:cs="Times New Roman"/>
        </w:rPr>
        <w:t>AA</w:t>
      </w:r>
      <w:r w:rsidR="0016758A">
        <w:rPr>
          <w:rFonts w:cs="Times New Roman"/>
        </w:rPr>
        <w:t>s</w:t>
      </w:r>
      <w:r w:rsidRPr="008026D4">
        <w:rPr>
          <w:rFonts w:cs="Times New Roman"/>
        </w:rPr>
        <w:t xml:space="preserve"> must </w:t>
      </w:r>
      <w:r w:rsidR="00D46F7C">
        <w:rPr>
          <w:rFonts w:cs="Times New Roman"/>
        </w:rPr>
        <w:t xml:space="preserve">conduct programmatic and fiscal subcontract monitoring to </w:t>
      </w:r>
      <w:r w:rsidRPr="008026D4">
        <w:rPr>
          <w:rFonts w:cs="Times New Roman"/>
        </w:rPr>
        <w:t xml:space="preserve">ensure that Project Sponsors </w:t>
      </w:r>
      <w:r w:rsidR="00D46F7C" w:rsidRPr="00D46F7C">
        <w:rPr>
          <w:rFonts w:cs="Times New Roman"/>
        </w:rPr>
        <w:t>comply with all federal and state regulations, policies, standards, and guidelines</w:t>
      </w:r>
      <w:r w:rsidR="00D46F7C">
        <w:rPr>
          <w:rFonts w:cs="Times New Roman"/>
        </w:rPr>
        <w:t xml:space="preserve">, and to ensure that Project Sponsors </w:t>
      </w:r>
      <w:r w:rsidRPr="008026D4">
        <w:rPr>
          <w:rFonts w:cs="Times New Roman"/>
        </w:rPr>
        <w:t>implement the program efficiently, effectively, and properly in each HSDA.</w:t>
      </w:r>
    </w:p>
    <w:p w14:paraId="4062FB67" w14:textId="17F9F98F" w:rsidR="00903C64" w:rsidRPr="008026D4" w:rsidRDefault="0093694B" w:rsidP="002A61C8">
      <w:pPr>
        <w:pStyle w:val="NoSpacing"/>
        <w:numPr>
          <w:ilvl w:val="2"/>
          <w:numId w:val="156"/>
        </w:numPr>
        <w:rPr>
          <w:rFonts w:cs="Times New Roman"/>
        </w:rPr>
      </w:pPr>
      <w:r w:rsidRPr="008026D4">
        <w:rPr>
          <w:rFonts w:cs="Times New Roman"/>
        </w:rPr>
        <w:t>AA</w:t>
      </w:r>
      <w:r w:rsidR="0016758A">
        <w:rPr>
          <w:rFonts w:cs="Times New Roman"/>
        </w:rPr>
        <w:t>s</w:t>
      </w:r>
      <w:r w:rsidRPr="008026D4">
        <w:rPr>
          <w:rFonts w:cs="Times New Roman"/>
        </w:rPr>
        <w:t xml:space="preserve"> must </w:t>
      </w:r>
      <w:r w:rsidR="00023FA4" w:rsidRPr="008026D4">
        <w:rPr>
          <w:rFonts w:cs="Times New Roman"/>
        </w:rPr>
        <w:t>collaborate with</w:t>
      </w:r>
      <w:r w:rsidRPr="008026D4">
        <w:rPr>
          <w:rFonts w:cs="Times New Roman"/>
        </w:rPr>
        <w:t xml:space="preserve"> Project Sponsors </w:t>
      </w:r>
      <w:r w:rsidR="00023FA4" w:rsidRPr="008026D4">
        <w:rPr>
          <w:rFonts w:cs="Times New Roman"/>
        </w:rPr>
        <w:t xml:space="preserve">to </w:t>
      </w:r>
      <w:r w:rsidRPr="008026D4">
        <w:rPr>
          <w:rFonts w:cs="Times New Roman"/>
        </w:rPr>
        <w:t>develop l</w:t>
      </w:r>
      <w:r w:rsidR="003B7D88" w:rsidRPr="008026D4">
        <w:rPr>
          <w:rFonts w:cs="Times New Roman"/>
        </w:rPr>
        <w:t>ocal program policies as needed. L</w:t>
      </w:r>
      <w:r w:rsidRPr="008026D4">
        <w:rPr>
          <w:rFonts w:cs="Times New Roman"/>
        </w:rPr>
        <w:t>ocal policies:</w:t>
      </w:r>
    </w:p>
    <w:p w14:paraId="30536514" w14:textId="651BD769" w:rsidR="00903C64" w:rsidRPr="008026D4" w:rsidRDefault="003B7D88" w:rsidP="00FD5ABA">
      <w:pPr>
        <w:pStyle w:val="NoSpacing"/>
        <w:numPr>
          <w:ilvl w:val="3"/>
          <w:numId w:val="156"/>
        </w:numPr>
        <w:ind w:left="1890" w:hanging="450"/>
        <w:rPr>
          <w:rFonts w:cs="Times New Roman"/>
        </w:rPr>
      </w:pPr>
      <w:r w:rsidRPr="008026D4">
        <w:rPr>
          <w:rFonts w:cs="Times New Roman"/>
        </w:rPr>
        <w:t>S</w:t>
      </w:r>
      <w:r w:rsidR="0093694B" w:rsidRPr="008026D4">
        <w:rPr>
          <w:rFonts w:cs="Times New Roman"/>
        </w:rPr>
        <w:t xml:space="preserve">hould not conflict with </w:t>
      </w:r>
      <w:r w:rsidRPr="008026D4">
        <w:rPr>
          <w:rFonts w:cs="Times New Roman"/>
        </w:rPr>
        <w:t>federal and state regulations, policies, standards, and guidelines</w:t>
      </w:r>
      <w:r w:rsidR="001717BA">
        <w:rPr>
          <w:rFonts w:cs="Times New Roman"/>
        </w:rPr>
        <w:t>; and</w:t>
      </w:r>
    </w:p>
    <w:p w14:paraId="23ECD68A" w14:textId="39FAA9D7" w:rsidR="00956ED6" w:rsidRDefault="003B7D88" w:rsidP="00FD5ABA">
      <w:pPr>
        <w:pStyle w:val="NoSpacing"/>
        <w:numPr>
          <w:ilvl w:val="3"/>
          <w:numId w:val="156"/>
        </w:numPr>
        <w:ind w:left="1890" w:hanging="450"/>
        <w:rPr>
          <w:rFonts w:cs="Times New Roman"/>
        </w:rPr>
      </w:pPr>
      <w:r w:rsidRPr="008026D4">
        <w:rPr>
          <w:rFonts w:cs="Times New Roman"/>
        </w:rPr>
        <w:t>M</w:t>
      </w:r>
      <w:r w:rsidR="0093694B" w:rsidRPr="008026D4">
        <w:rPr>
          <w:rFonts w:cs="Times New Roman"/>
        </w:rPr>
        <w:t xml:space="preserve">ay address, but are not limited to, issues </w:t>
      </w:r>
      <w:r w:rsidRPr="008026D4">
        <w:rPr>
          <w:rFonts w:cs="Times New Roman"/>
        </w:rPr>
        <w:t>related to</w:t>
      </w:r>
      <w:r w:rsidR="0093694B" w:rsidRPr="008026D4">
        <w:rPr>
          <w:rFonts w:cs="Times New Roman"/>
        </w:rPr>
        <w:t xml:space="preserve"> </w:t>
      </w:r>
      <w:r w:rsidRPr="008026D4">
        <w:rPr>
          <w:rFonts w:cs="Times New Roman"/>
        </w:rPr>
        <w:t>transitioning assisted households</w:t>
      </w:r>
      <w:r w:rsidR="0093694B" w:rsidRPr="008026D4">
        <w:rPr>
          <w:rFonts w:cs="Times New Roman"/>
        </w:rPr>
        <w:t xml:space="preserve"> into the Housing Choice Voucher</w:t>
      </w:r>
      <w:r w:rsidRPr="008026D4">
        <w:rPr>
          <w:rFonts w:cs="Times New Roman"/>
        </w:rPr>
        <w:t xml:space="preserve"> Program</w:t>
      </w:r>
      <w:r w:rsidR="0093694B" w:rsidRPr="008026D4">
        <w:rPr>
          <w:rFonts w:cs="Times New Roman"/>
        </w:rPr>
        <w:t xml:space="preserve"> </w:t>
      </w:r>
      <w:r w:rsidR="00C2594C" w:rsidRPr="008026D4">
        <w:rPr>
          <w:rFonts w:cs="Times New Roman"/>
        </w:rPr>
        <w:t>(HCV</w:t>
      </w:r>
      <w:r w:rsidR="00C2594C">
        <w:rPr>
          <w:rFonts w:cs="Times New Roman"/>
        </w:rPr>
        <w:t>P</w:t>
      </w:r>
      <w:r w:rsidR="00C2594C" w:rsidRPr="008026D4">
        <w:rPr>
          <w:rFonts w:cs="Times New Roman"/>
        </w:rPr>
        <w:t xml:space="preserve">) </w:t>
      </w:r>
      <w:r w:rsidR="0093694B" w:rsidRPr="008026D4">
        <w:rPr>
          <w:rFonts w:cs="Times New Roman"/>
        </w:rPr>
        <w:t xml:space="preserve">or other affordable housing programs, </w:t>
      </w:r>
      <w:r w:rsidR="005D162C" w:rsidRPr="008026D4">
        <w:rPr>
          <w:rFonts w:cs="Times New Roman"/>
        </w:rPr>
        <w:t xml:space="preserve">establishing </w:t>
      </w:r>
      <w:r w:rsidR="00354BE7">
        <w:rPr>
          <w:rFonts w:cs="Times New Roman"/>
        </w:rPr>
        <w:t>service caps</w:t>
      </w:r>
      <w:r w:rsidR="0093694B" w:rsidRPr="008026D4">
        <w:rPr>
          <w:rFonts w:cs="Times New Roman"/>
        </w:rPr>
        <w:t xml:space="preserve">, and </w:t>
      </w:r>
      <w:r w:rsidR="00354BE7">
        <w:rPr>
          <w:rFonts w:cs="Times New Roman"/>
        </w:rPr>
        <w:t>establishing additional</w:t>
      </w:r>
      <w:r w:rsidR="0093694B" w:rsidRPr="008026D4">
        <w:rPr>
          <w:rFonts w:cs="Times New Roman"/>
        </w:rPr>
        <w:t xml:space="preserve"> </w:t>
      </w:r>
      <w:r w:rsidR="006919D0">
        <w:rPr>
          <w:rFonts w:cs="Times New Roman"/>
        </w:rPr>
        <w:t xml:space="preserve">program </w:t>
      </w:r>
      <w:r w:rsidR="0093694B" w:rsidRPr="008026D4">
        <w:rPr>
          <w:rFonts w:cs="Times New Roman"/>
        </w:rPr>
        <w:t>eligibility</w:t>
      </w:r>
      <w:r w:rsidR="005D162C" w:rsidRPr="008026D4">
        <w:rPr>
          <w:rFonts w:cs="Times New Roman"/>
        </w:rPr>
        <w:t xml:space="preserve"> </w:t>
      </w:r>
      <w:r w:rsidR="00A41FEB">
        <w:rPr>
          <w:rFonts w:cs="Times New Roman"/>
        </w:rPr>
        <w:t xml:space="preserve">criteria </w:t>
      </w:r>
      <w:r w:rsidR="005D162C" w:rsidRPr="008026D4">
        <w:rPr>
          <w:rFonts w:cs="Times New Roman"/>
        </w:rPr>
        <w:t>or service</w:t>
      </w:r>
      <w:r w:rsidR="0093694B" w:rsidRPr="008026D4">
        <w:rPr>
          <w:rFonts w:cs="Times New Roman"/>
        </w:rPr>
        <w:t xml:space="preserve"> requirements beyond </w:t>
      </w:r>
      <w:r w:rsidR="00023FA4" w:rsidRPr="008026D4">
        <w:rPr>
          <w:rFonts w:cs="Times New Roman"/>
        </w:rPr>
        <w:t>basic</w:t>
      </w:r>
      <w:r w:rsidR="005D162C" w:rsidRPr="008026D4">
        <w:rPr>
          <w:rFonts w:cs="Times New Roman"/>
        </w:rPr>
        <w:t xml:space="preserve"> regulations</w:t>
      </w:r>
      <w:r w:rsidR="0093694B" w:rsidRPr="008026D4">
        <w:rPr>
          <w:rFonts w:cs="Times New Roman"/>
        </w:rPr>
        <w:t xml:space="preserve">. </w:t>
      </w:r>
      <w:r w:rsidR="00023FA4" w:rsidRPr="008026D4">
        <w:rPr>
          <w:rFonts w:cs="Times New Roman"/>
        </w:rPr>
        <w:t>Project Sponsors may consult with local housing experts for policy development</w:t>
      </w:r>
      <w:r w:rsidR="00E73738">
        <w:rPr>
          <w:rFonts w:cs="Times New Roman"/>
        </w:rPr>
        <w:t>.</w:t>
      </w:r>
    </w:p>
    <w:p w14:paraId="36C1F395" w14:textId="550EE614" w:rsidR="009B64E4" w:rsidRDefault="009B64E4" w:rsidP="002A61C8">
      <w:pPr>
        <w:pStyle w:val="NoSpacing"/>
        <w:numPr>
          <w:ilvl w:val="2"/>
          <w:numId w:val="156"/>
        </w:numPr>
        <w:rPr>
          <w:rFonts w:cs="Times New Roman"/>
        </w:rPr>
      </w:pPr>
      <w:r>
        <w:rPr>
          <w:rFonts w:cs="Times New Roman"/>
        </w:rPr>
        <w:t>AAs</w:t>
      </w:r>
      <w:r w:rsidRPr="009B64E4">
        <w:rPr>
          <w:rFonts w:cs="Times New Roman"/>
        </w:rPr>
        <w:t xml:space="preserve"> </w:t>
      </w:r>
      <w:r w:rsidR="00D160D2" w:rsidRPr="009B64E4">
        <w:rPr>
          <w:rFonts w:cs="Times New Roman"/>
        </w:rPr>
        <w:t xml:space="preserve">must </w:t>
      </w:r>
      <w:r w:rsidR="00175397">
        <w:rPr>
          <w:rFonts w:cs="Times New Roman"/>
        </w:rPr>
        <w:t>maintain</w:t>
      </w:r>
      <w:r w:rsidR="00D160D2">
        <w:rPr>
          <w:rFonts w:cs="Times New Roman"/>
        </w:rPr>
        <w:t xml:space="preserve"> programmatic and fiscal records</w:t>
      </w:r>
      <w:r w:rsidR="00D160D2" w:rsidRPr="009B64E4">
        <w:rPr>
          <w:rFonts w:cs="Times New Roman"/>
        </w:rPr>
        <w:t xml:space="preserve"> for a </w:t>
      </w:r>
      <w:r w:rsidR="00D160D2">
        <w:rPr>
          <w:rFonts w:cs="Times New Roman"/>
        </w:rPr>
        <w:t>four</w:t>
      </w:r>
      <w:r w:rsidR="00D160D2" w:rsidRPr="009B64E4">
        <w:rPr>
          <w:rFonts w:cs="Times New Roman"/>
        </w:rPr>
        <w:t xml:space="preserve">-year period to document </w:t>
      </w:r>
      <w:r w:rsidR="00D160D2">
        <w:rPr>
          <w:rFonts w:cs="Times New Roman"/>
        </w:rPr>
        <w:t>compliance</w:t>
      </w:r>
      <w:r w:rsidR="00592581">
        <w:rPr>
          <w:rFonts w:cs="Times New Roman"/>
        </w:rPr>
        <w:t xml:space="preserve"> with </w:t>
      </w:r>
      <w:r w:rsidR="00592581" w:rsidRPr="00592581">
        <w:rPr>
          <w:rFonts w:cs="Times New Roman"/>
        </w:rPr>
        <w:t>federal and state regulations, policies, standards, and guidelines</w:t>
      </w:r>
      <w:r w:rsidRPr="009B64E4">
        <w:rPr>
          <w:rFonts w:cs="Times New Roman"/>
        </w:rPr>
        <w:t xml:space="preserve">. </w:t>
      </w:r>
      <w:r>
        <w:rPr>
          <w:rFonts w:cs="Times New Roman"/>
        </w:rPr>
        <w:t>AAs</w:t>
      </w:r>
      <w:r w:rsidRPr="009B64E4">
        <w:rPr>
          <w:rFonts w:cs="Times New Roman"/>
        </w:rPr>
        <w:t xml:space="preserve"> must </w:t>
      </w:r>
      <w:r>
        <w:rPr>
          <w:rFonts w:cs="Times New Roman"/>
        </w:rPr>
        <w:t xml:space="preserve">also </w:t>
      </w:r>
      <w:r w:rsidR="00175397">
        <w:rPr>
          <w:rFonts w:cs="Times New Roman"/>
        </w:rPr>
        <w:t>maintain</w:t>
      </w:r>
      <w:r w:rsidRPr="009B64E4">
        <w:rPr>
          <w:rFonts w:cs="Times New Roman"/>
        </w:rPr>
        <w:t xml:space="preserve"> the following:</w:t>
      </w:r>
    </w:p>
    <w:p w14:paraId="599C3DF9" w14:textId="233A2FC3" w:rsidR="009B64E4" w:rsidRDefault="009B64E4" w:rsidP="00FD5ABA">
      <w:pPr>
        <w:pStyle w:val="NoSpacing"/>
        <w:numPr>
          <w:ilvl w:val="3"/>
          <w:numId w:val="156"/>
        </w:numPr>
        <w:ind w:left="1890" w:hanging="450"/>
        <w:rPr>
          <w:rFonts w:cs="Times New Roman"/>
        </w:rPr>
      </w:pPr>
      <w:r w:rsidRPr="009B64E4">
        <w:rPr>
          <w:rFonts w:cs="Times New Roman"/>
        </w:rPr>
        <w:t>Current and accurate data on the race and ethnicity of program participants.</w:t>
      </w:r>
    </w:p>
    <w:p w14:paraId="0A47077D" w14:textId="158E0C33" w:rsidR="009B64E4" w:rsidRDefault="009B64E4" w:rsidP="00FD5ABA">
      <w:pPr>
        <w:pStyle w:val="NoSpacing"/>
        <w:numPr>
          <w:ilvl w:val="3"/>
          <w:numId w:val="156"/>
        </w:numPr>
        <w:ind w:left="1890" w:hanging="450"/>
        <w:rPr>
          <w:rFonts w:cs="Times New Roman"/>
        </w:rPr>
      </w:pPr>
      <w:r w:rsidRPr="009B64E4">
        <w:rPr>
          <w:rFonts w:cs="Times New Roman"/>
        </w:rPr>
        <w:t xml:space="preserve">Documentation of the actions the </w:t>
      </w:r>
      <w:r>
        <w:rPr>
          <w:rFonts w:cs="Times New Roman"/>
        </w:rPr>
        <w:t>AA</w:t>
      </w:r>
      <w:r w:rsidRPr="009B64E4">
        <w:rPr>
          <w:rFonts w:cs="Times New Roman"/>
        </w:rPr>
        <w:t xml:space="preserve"> has taken to affirmatively further fair housing, pursuant to </w:t>
      </w:r>
      <w:r>
        <w:rPr>
          <w:rFonts w:cs="Times New Roman"/>
        </w:rPr>
        <w:t xml:space="preserve">24 CFR </w:t>
      </w:r>
      <w:hyperlink r:id="rId19" w:history="1">
        <w:r w:rsidRPr="009B64E4">
          <w:rPr>
            <w:rStyle w:val="Hyperlink"/>
            <w:rFonts w:cs="Times New Roman"/>
          </w:rPr>
          <w:t>§5.151</w:t>
        </w:r>
      </w:hyperlink>
      <w:r w:rsidRPr="009B64E4">
        <w:rPr>
          <w:rFonts w:cs="Times New Roman"/>
        </w:rPr>
        <w:t xml:space="preserve"> and </w:t>
      </w:r>
      <w:hyperlink r:id="rId20" w:history="1">
        <w:r w:rsidRPr="009B64E4">
          <w:rPr>
            <w:rStyle w:val="Hyperlink"/>
            <w:rFonts w:cs="Times New Roman"/>
          </w:rPr>
          <w:t>§5.152</w:t>
        </w:r>
      </w:hyperlink>
      <w:r w:rsidRPr="009B64E4">
        <w:rPr>
          <w:rFonts w:cs="Times New Roman"/>
        </w:rPr>
        <w:t>.</w:t>
      </w:r>
    </w:p>
    <w:p w14:paraId="0576B6C8" w14:textId="0EDDCE9B" w:rsidR="009B64E4" w:rsidRDefault="009B64E4" w:rsidP="00FD5ABA">
      <w:pPr>
        <w:pStyle w:val="NoSpacing"/>
        <w:numPr>
          <w:ilvl w:val="3"/>
          <w:numId w:val="156"/>
        </w:numPr>
        <w:ind w:left="1890" w:hanging="450"/>
        <w:rPr>
          <w:rFonts w:cs="Times New Roman"/>
        </w:rPr>
      </w:pPr>
      <w:r w:rsidRPr="009B64E4">
        <w:rPr>
          <w:rFonts w:cs="Times New Roman"/>
        </w:rPr>
        <w:t xml:space="preserve">Data on emergency transfers requested under </w:t>
      </w:r>
      <w:hyperlink r:id="rId21" w:anchor="p-5.2005(e)" w:history="1">
        <w:r w:rsidRPr="009B64E4">
          <w:rPr>
            <w:rStyle w:val="Hyperlink"/>
            <w:rFonts w:cs="Times New Roman"/>
          </w:rPr>
          <w:t>24 CFR §5.2005(e)</w:t>
        </w:r>
      </w:hyperlink>
      <w:r w:rsidRPr="009B64E4">
        <w:rPr>
          <w:rFonts w:cs="Times New Roman"/>
        </w:rPr>
        <w:t xml:space="preserve">, pertaining to </w:t>
      </w:r>
      <w:r>
        <w:rPr>
          <w:rFonts w:cs="Times New Roman"/>
        </w:rPr>
        <w:t>survivors</w:t>
      </w:r>
      <w:r w:rsidRPr="009B64E4">
        <w:rPr>
          <w:rFonts w:cs="Times New Roman"/>
        </w:rPr>
        <w:t xml:space="preserve"> of domestic violence, dating violence, sexual assault, or stalking, including data on the outcomes of such requests.</w:t>
      </w:r>
    </w:p>
    <w:p w14:paraId="6D3A8E85" w14:textId="7317B654" w:rsidR="00A6262D" w:rsidRDefault="00A6262D" w:rsidP="002A61C8">
      <w:pPr>
        <w:pStyle w:val="NoSpacing"/>
        <w:numPr>
          <w:ilvl w:val="2"/>
          <w:numId w:val="156"/>
        </w:numPr>
        <w:rPr>
          <w:rFonts w:cs="Times New Roman"/>
        </w:rPr>
      </w:pPr>
      <w:r>
        <w:rPr>
          <w:rFonts w:cs="Times New Roman"/>
        </w:rPr>
        <w:t>AAs must safeguard against conflicts of interest. I</w:t>
      </w:r>
      <w:r w:rsidRPr="00771289">
        <w:rPr>
          <w:rFonts w:cs="Times New Roman"/>
        </w:rPr>
        <w:t xml:space="preserve">n addition to the conflict of interest requirements in 2 CFR §200.317 (for </w:t>
      </w:r>
      <w:r w:rsidR="00956D42">
        <w:rPr>
          <w:rFonts w:cs="Times New Roman"/>
        </w:rPr>
        <w:t xml:space="preserve">State </w:t>
      </w:r>
      <w:r w:rsidRPr="00771289">
        <w:rPr>
          <w:rFonts w:cs="Times New Roman"/>
        </w:rPr>
        <w:t xml:space="preserve">recipients and subrecipients) and 2 CFR §200.318 through §200.326 (for </w:t>
      </w:r>
      <w:r w:rsidR="00956D42">
        <w:rPr>
          <w:rFonts w:cs="Times New Roman"/>
        </w:rPr>
        <w:t xml:space="preserve">non-State </w:t>
      </w:r>
      <w:r w:rsidRPr="00771289">
        <w:rPr>
          <w:rFonts w:cs="Times New Roman"/>
        </w:rPr>
        <w:t xml:space="preserve">recipients and subrecipients), no employee, agent, consultant, officer, or elected or appointed official of </w:t>
      </w:r>
      <w:r>
        <w:rPr>
          <w:rFonts w:cs="Times New Roman"/>
        </w:rPr>
        <w:t>the</w:t>
      </w:r>
      <w:r w:rsidRPr="00771289">
        <w:rPr>
          <w:rFonts w:cs="Times New Roman"/>
        </w:rPr>
        <w:t xml:space="preserve"> </w:t>
      </w:r>
      <w:r>
        <w:rPr>
          <w:rFonts w:cs="Times New Roman"/>
        </w:rPr>
        <w:t>AA</w:t>
      </w:r>
      <w:r w:rsidRPr="00771289">
        <w:rPr>
          <w:rFonts w:cs="Times New Roman"/>
        </w:rPr>
        <w:t xml:space="preserve"> who exercises or has exercised any functions or responsibilities with respect to assisted activities, or who </w:t>
      </w:r>
      <w:r w:rsidR="001903DE">
        <w:rPr>
          <w:rFonts w:cs="Times New Roman"/>
        </w:rPr>
        <w:t>participates</w:t>
      </w:r>
      <w:r w:rsidRPr="00771289">
        <w:rPr>
          <w:rFonts w:cs="Times New Roman"/>
        </w:rPr>
        <w:t xml:space="preserve"> in a decision making process or </w:t>
      </w:r>
      <w:r w:rsidR="001903DE">
        <w:rPr>
          <w:rFonts w:cs="Times New Roman"/>
        </w:rPr>
        <w:t>gains</w:t>
      </w:r>
      <w:r w:rsidR="001903DE" w:rsidRPr="00771289">
        <w:rPr>
          <w:rFonts w:cs="Times New Roman"/>
        </w:rPr>
        <w:t xml:space="preserve"> </w:t>
      </w:r>
      <w:r w:rsidRPr="00771289">
        <w:rPr>
          <w:rFonts w:cs="Times New Roman"/>
        </w:rPr>
        <w:t xml:space="preserve">inside information with regard to such activities, may obtain a financial interest or benefit from the activity, or have an interest in any contract, subcontract, or agreement with respect thereto, or the proceeds thereunder, either for themselves or for those with whom they have family or business ties, during their tenure or for one year thereafter. </w:t>
      </w:r>
      <w:r>
        <w:rPr>
          <w:rFonts w:cs="Times New Roman"/>
        </w:rPr>
        <w:t>AAs</w:t>
      </w:r>
      <w:r w:rsidRPr="00771289">
        <w:rPr>
          <w:rFonts w:cs="Times New Roman"/>
        </w:rPr>
        <w:t xml:space="preserve"> should have policies in place that identify and handle real or potential conflicts of interest on the part of board members, staff persons, and other representatives of the organization, such as volunteers. HUD requires such a policy, often part of an organization’s “code of conduct” for board, staff, and volunteers. </w:t>
      </w:r>
      <w:r w:rsidR="00453B44">
        <w:rPr>
          <w:rFonts w:cs="Times New Roman"/>
        </w:rPr>
        <w:t>DSHS</w:t>
      </w:r>
      <w:r w:rsidRPr="00771289">
        <w:rPr>
          <w:rFonts w:cs="Times New Roman"/>
        </w:rPr>
        <w:t xml:space="preserve"> advis</w:t>
      </w:r>
      <w:r w:rsidR="00453B44">
        <w:rPr>
          <w:rFonts w:cs="Times New Roman"/>
        </w:rPr>
        <w:t>es</w:t>
      </w:r>
      <w:r w:rsidRPr="00771289">
        <w:rPr>
          <w:rFonts w:cs="Times New Roman"/>
        </w:rPr>
        <w:t xml:space="preserve"> </w:t>
      </w:r>
      <w:r w:rsidR="00453B44">
        <w:rPr>
          <w:rFonts w:cs="Times New Roman"/>
        </w:rPr>
        <w:t xml:space="preserve">AAs </w:t>
      </w:r>
      <w:r w:rsidRPr="00771289">
        <w:rPr>
          <w:rFonts w:cs="Times New Roman"/>
        </w:rPr>
        <w:t xml:space="preserve">to </w:t>
      </w:r>
      <w:r w:rsidR="00453B44">
        <w:rPr>
          <w:rFonts w:cs="Times New Roman"/>
        </w:rPr>
        <w:t>assess and address conflicts of interest</w:t>
      </w:r>
      <w:r w:rsidRPr="00771289">
        <w:rPr>
          <w:rFonts w:cs="Times New Roman"/>
        </w:rPr>
        <w:t xml:space="preserve"> on an annual basis. Additionally, the policy must comply with the DSHS HIV/STD Program Policies located </w:t>
      </w:r>
      <w:hyperlink r:id="rId22" w:history="1">
        <w:r w:rsidRPr="00C25505">
          <w:rPr>
            <w:rStyle w:val="Hyperlink"/>
            <w:rFonts w:cs="Times New Roman"/>
          </w:rPr>
          <w:t>here</w:t>
        </w:r>
      </w:hyperlink>
      <w:r w:rsidRPr="00771289">
        <w:rPr>
          <w:rFonts w:cs="Times New Roman"/>
        </w:rPr>
        <w:t>.</w:t>
      </w:r>
    </w:p>
    <w:p w14:paraId="4E949DB1" w14:textId="77777777" w:rsidR="00BE4BAB" w:rsidRDefault="00BE4BAB" w:rsidP="00DE48B8">
      <w:pPr>
        <w:pStyle w:val="NoSpacing"/>
        <w:ind w:left="1440"/>
        <w:rPr>
          <w:rFonts w:cs="Times New Roman"/>
        </w:rPr>
      </w:pPr>
    </w:p>
    <w:p w14:paraId="67D7F0FB" w14:textId="77777777" w:rsidR="00903C64" w:rsidRPr="00786AC9" w:rsidRDefault="0093694B" w:rsidP="002A61C8">
      <w:pPr>
        <w:pStyle w:val="NoSpacing"/>
        <w:numPr>
          <w:ilvl w:val="1"/>
          <w:numId w:val="156"/>
        </w:numPr>
        <w:rPr>
          <w:rFonts w:cs="Times New Roman"/>
          <w:b/>
          <w:u w:val="single"/>
        </w:rPr>
      </w:pPr>
      <w:r w:rsidRPr="00786AC9">
        <w:rPr>
          <w:rFonts w:cs="Times New Roman"/>
          <w:b/>
          <w:u w:val="single"/>
        </w:rPr>
        <w:t>Project Sponsor Roles and Responsibilities</w:t>
      </w:r>
    </w:p>
    <w:p w14:paraId="6244AC1E" w14:textId="521BA4B8" w:rsidR="00903C64" w:rsidRPr="008026D4" w:rsidRDefault="00784623" w:rsidP="002A61C8">
      <w:pPr>
        <w:pStyle w:val="NoSpacing"/>
        <w:numPr>
          <w:ilvl w:val="2"/>
          <w:numId w:val="156"/>
        </w:numPr>
        <w:rPr>
          <w:rFonts w:cs="Times New Roman"/>
        </w:rPr>
      </w:pPr>
      <w:r w:rsidRPr="008026D4">
        <w:rPr>
          <w:rFonts w:cs="Times New Roman"/>
        </w:rPr>
        <w:t>Project Sponsor</w:t>
      </w:r>
      <w:r w:rsidR="00CB0822" w:rsidRPr="008026D4">
        <w:rPr>
          <w:rFonts w:cs="Times New Roman"/>
        </w:rPr>
        <w:t>s</w:t>
      </w:r>
      <w:r w:rsidRPr="008026D4">
        <w:rPr>
          <w:rFonts w:cs="Times New Roman"/>
        </w:rPr>
        <w:t xml:space="preserve"> must comply with all federal and state regulations, policies, standards, and guidelines as</w:t>
      </w:r>
      <w:r w:rsidR="002E608F">
        <w:rPr>
          <w:rFonts w:cs="Times New Roman"/>
        </w:rPr>
        <w:t xml:space="preserve"> specified in the subcontract</w:t>
      </w:r>
      <w:r w:rsidR="00342F1A">
        <w:rPr>
          <w:rFonts w:cs="Times New Roman"/>
        </w:rPr>
        <w:t>,</w:t>
      </w:r>
      <w:r w:rsidR="00AF4690">
        <w:rPr>
          <w:rFonts w:cs="Times New Roman"/>
        </w:rPr>
        <w:t xml:space="preserve"> the</w:t>
      </w:r>
      <w:r w:rsidR="00342F1A" w:rsidRPr="00342F1A">
        <w:rPr>
          <w:rFonts w:cs="Times New Roman"/>
        </w:rPr>
        <w:t xml:space="preserve"> </w:t>
      </w:r>
      <w:r w:rsidR="00DC5075" w:rsidRPr="002A61C8">
        <w:t>Texas Health and Human Services Uniform Terms and Conditions</w:t>
      </w:r>
      <w:r w:rsidR="00342F1A">
        <w:rPr>
          <w:rFonts w:cs="Times New Roman"/>
        </w:rPr>
        <w:t xml:space="preserve">, </w:t>
      </w:r>
      <w:r w:rsidR="00B553FE">
        <w:rPr>
          <w:rFonts w:cs="Times New Roman"/>
        </w:rPr>
        <w:t>and this manual</w:t>
      </w:r>
      <w:r w:rsidR="002E608F">
        <w:rPr>
          <w:rFonts w:cs="Times New Roman"/>
        </w:rPr>
        <w:t>.</w:t>
      </w:r>
    </w:p>
    <w:p w14:paraId="4566FE0A" w14:textId="49435B3B" w:rsidR="00B146DD" w:rsidRPr="008026D4" w:rsidRDefault="00784623" w:rsidP="002A61C8">
      <w:pPr>
        <w:pStyle w:val="NoSpacing"/>
        <w:numPr>
          <w:ilvl w:val="2"/>
          <w:numId w:val="156"/>
        </w:numPr>
        <w:rPr>
          <w:rFonts w:cs="Times New Roman"/>
        </w:rPr>
      </w:pPr>
      <w:r w:rsidRPr="008026D4">
        <w:rPr>
          <w:rFonts w:cs="Times New Roman"/>
        </w:rPr>
        <w:t>Project Sponsors must manage program funds in compliance with HUD and DSHS regulations</w:t>
      </w:r>
      <w:r w:rsidR="00CA4BFD" w:rsidRPr="008026D4">
        <w:rPr>
          <w:rFonts w:cs="Times New Roman"/>
        </w:rPr>
        <w:t xml:space="preserve"> and charge costs to the appropriate contract (</w:t>
      </w:r>
      <w:r w:rsidR="008D711E">
        <w:rPr>
          <w:rFonts w:cs="Times New Roman"/>
        </w:rPr>
        <w:t xml:space="preserve">they cannot pay </w:t>
      </w:r>
      <w:r w:rsidR="00CA4BFD" w:rsidRPr="008026D4">
        <w:rPr>
          <w:rFonts w:cs="Times New Roman"/>
        </w:rPr>
        <w:t>costs incurred in one contract year</w:t>
      </w:r>
      <w:r w:rsidR="008D711E">
        <w:rPr>
          <w:rFonts w:cs="Times New Roman"/>
        </w:rPr>
        <w:t xml:space="preserve"> </w:t>
      </w:r>
      <w:r w:rsidR="00CA4BFD" w:rsidRPr="008026D4">
        <w:rPr>
          <w:rFonts w:cs="Times New Roman"/>
        </w:rPr>
        <w:t>with funds from a different contract year)</w:t>
      </w:r>
      <w:r w:rsidRPr="008026D4">
        <w:rPr>
          <w:rFonts w:cs="Times New Roman"/>
        </w:rPr>
        <w:t>.</w:t>
      </w:r>
      <w:r w:rsidR="00F667F5" w:rsidRPr="008026D4">
        <w:rPr>
          <w:rFonts w:cs="Times New Roman"/>
        </w:rPr>
        <w:t xml:space="preserve"> </w:t>
      </w:r>
      <w:r w:rsidR="008D711E">
        <w:rPr>
          <w:rFonts w:cs="Times New Roman"/>
        </w:rPr>
        <w:t>Project Sponsors should use c</w:t>
      </w:r>
      <w:r w:rsidR="00CA4BFD" w:rsidRPr="008026D4">
        <w:rPr>
          <w:rFonts w:cs="Times New Roman"/>
        </w:rPr>
        <w:t>urrent and historical spending data</w:t>
      </w:r>
      <w:r w:rsidR="008D711E">
        <w:rPr>
          <w:rFonts w:cs="Times New Roman"/>
        </w:rPr>
        <w:t xml:space="preserve"> </w:t>
      </w:r>
      <w:r w:rsidR="00CA4BFD" w:rsidRPr="008026D4">
        <w:rPr>
          <w:rFonts w:cs="Times New Roman"/>
        </w:rPr>
        <w:t>for service planning</w:t>
      </w:r>
      <w:r w:rsidR="00136CFD" w:rsidRPr="008026D4">
        <w:rPr>
          <w:rFonts w:cs="Times New Roman"/>
        </w:rPr>
        <w:t xml:space="preserve"> purposes</w:t>
      </w:r>
      <w:r w:rsidR="00CA4BFD" w:rsidRPr="008026D4">
        <w:rPr>
          <w:rFonts w:cs="Times New Roman"/>
        </w:rPr>
        <w:t xml:space="preserve">. </w:t>
      </w:r>
      <w:r w:rsidR="00F667F5" w:rsidRPr="008026D4">
        <w:rPr>
          <w:rFonts w:cs="Times New Roman"/>
        </w:rPr>
        <w:t xml:space="preserve">Throughout the program year, Project Sponsors </w:t>
      </w:r>
      <w:r w:rsidR="00CB0822" w:rsidRPr="008026D4">
        <w:rPr>
          <w:rFonts w:cs="Times New Roman"/>
        </w:rPr>
        <w:t>should</w:t>
      </w:r>
      <w:r w:rsidR="00F667F5" w:rsidRPr="008026D4">
        <w:rPr>
          <w:rFonts w:cs="Times New Roman"/>
        </w:rPr>
        <w:t xml:space="preserve"> monitor expenditures to </w:t>
      </w:r>
      <w:r w:rsidR="00B74129">
        <w:rPr>
          <w:rFonts w:cs="Times New Roman"/>
        </w:rPr>
        <w:t xml:space="preserve">prevent </w:t>
      </w:r>
      <w:r w:rsidRPr="008026D4">
        <w:rPr>
          <w:rFonts w:cs="Times New Roman"/>
        </w:rPr>
        <w:t>prematurely</w:t>
      </w:r>
      <w:r w:rsidR="00B74129">
        <w:rPr>
          <w:rFonts w:cs="Times New Roman"/>
        </w:rPr>
        <w:t xml:space="preserve"> depleting their funds</w:t>
      </w:r>
      <w:r w:rsidRPr="008026D4">
        <w:rPr>
          <w:rFonts w:cs="Times New Roman"/>
        </w:rPr>
        <w:t xml:space="preserve">. </w:t>
      </w:r>
      <w:r w:rsidR="00B146DD" w:rsidRPr="008026D4">
        <w:rPr>
          <w:rFonts w:cs="Times New Roman"/>
        </w:rPr>
        <w:t xml:space="preserve">For example, </w:t>
      </w:r>
      <w:r w:rsidR="008D711E">
        <w:rPr>
          <w:rFonts w:cs="Times New Roman"/>
        </w:rPr>
        <w:t xml:space="preserve">Project Sponsors could divide </w:t>
      </w:r>
      <w:r w:rsidR="00B146DD" w:rsidRPr="008026D4">
        <w:rPr>
          <w:rFonts w:cs="Times New Roman"/>
        </w:rPr>
        <w:t xml:space="preserve">service </w:t>
      </w:r>
      <w:r w:rsidR="00B146DD" w:rsidRPr="008026D4">
        <w:rPr>
          <w:rFonts w:cs="Times New Roman"/>
        </w:rPr>
        <w:lastRenderedPageBreak/>
        <w:t xml:space="preserve">allocations </w:t>
      </w:r>
      <w:r w:rsidR="008D711E">
        <w:rPr>
          <w:rFonts w:cs="Times New Roman"/>
        </w:rPr>
        <w:t>into</w:t>
      </w:r>
      <w:r w:rsidR="00B146DD" w:rsidRPr="008026D4">
        <w:rPr>
          <w:rFonts w:cs="Times New Roman"/>
        </w:rPr>
        <w:t xml:space="preserve"> month</w:t>
      </w:r>
      <w:r w:rsidR="008D711E">
        <w:rPr>
          <w:rFonts w:cs="Times New Roman"/>
        </w:rPr>
        <w:t>s</w:t>
      </w:r>
      <w:r w:rsidR="00B146DD" w:rsidRPr="008026D4">
        <w:rPr>
          <w:rFonts w:cs="Times New Roman"/>
        </w:rPr>
        <w:t xml:space="preserve"> (1/12). In this way, Project Sponsors </w:t>
      </w:r>
      <w:r w:rsidR="00373AD5" w:rsidRPr="008026D4">
        <w:rPr>
          <w:rFonts w:cs="Times New Roman"/>
        </w:rPr>
        <w:t>could</w:t>
      </w:r>
      <w:r w:rsidR="00B146DD" w:rsidRPr="008026D4">
        <w:rPr>
          <w:rFonts w:cs="Times New Roman"/>
        </w:rPr>
        <w:t xml:space="preserve"> determine the balance of available funds based on over- or under-spending </w:t>
      </w:r>
      <w:proofErr w:type="gramStart"/>
      <w:r w:rsidR="00B146DD" w:rsidRPr="008026D4">
        <w:rPr>
          <w:rFonts w:cs="Times New Roman"/>
        </w:rPr>
        <w:t>in a given</w:t>
      </w:r>
      <w:proofErr w:type="gramEnd"/>
      <w:r w:rsidR="00B146DD" w:rsidRPr="008026D4">
        <w:rPr>
          <w:rFonts w:cs="Times New Roman"/>
        </w:rPr>
        <w:t xml:space="preserve"> month</w:t>
      </w:r>
      <w:r w:rsidR="00CA4BFD" w:rsidRPr="008026D4">
        <w:rPr>
          <w:rFonts w:cs="Times New Roman"/>
        </w:rPr>
        <w:t xml:space="preserve"> and adjust current spending accordingly</w:t>
      </w:r>
      <w:r w:rsidR="002E608F">
        <w:rPr>
          <w:rFonts w:cs="Times New Roman"/>
        </w:rPr>
        <w:t>.</w:t>
      </w:r>
    </w:p>
    <w:p w14:paraId="06662798" w14:textId="35442422" w:rsidR="00784623" w:rsidRPr="008026D4" w:rsidRDefault="00CB0822" w:rsidP="002A61C8">
      <w:pPr>
        <w:pStyle w:val="NoSpacing"/>
        <w:numPr>
          <w:ilvl w:val="2"/>
          <w:numId w:val="156"/>
        </w:numPr>
        <w:rPr>
          <w:rFonts w:cs="Times New Roman"/>
        </w:rPr>
      </w:pPr>
      <w:r w:rsidRPr="008026D4">
        <w:rPr>
          <w:rFonts w:cs="Times New Roman"/>
        </w:rPr>
        <w:t xml:space="preserve">Project Sponsors must ensure </w:t>
      </w:r>
      <w:r w:rsidR="00485120">
        <w:rPr>
          <w:rFonts w:cs="Times New Roman"/>
        </w:rPr>
        <w:t xml:space="preserve">direct and indirect </w:t>
      </w:r>
      <w:r w:rsidRPr="008026D4">
        <w:rPr>
          <w:rFonts w:cs="Times New Roman"/>
        </w:rPr>
        <w:t xml:space="preserve">administrative costs do not exceed seven percent of </w:t>
      </w:r>
      <w:r w:rsidR="00B146DD" w:rsidRPr="008026D4">
        <w:rPr>
          <w:rFonts w:cs="Times New Roman"/>
        </w:rPr>
        <w:t>their</w:t>
      </w:r>
      <w:r w:rsidRPr="008026D4">
        <w:rPr>
          <w:rFonts w:cs="Times New Roman"/>
        </w:rPr>
        <w:t xml:space="preserve"> total program allocation.</w:t>
      </w:r>
    </w:p>
    <w:p w14:paraId="33393F27" w14:textId="2270E7B5" w:rsidR="00903C64" w:rsidRPr="008026D4" w:rsidRDefault="00784623" w:rsidP="002A61C8">
      <w:pPr>
        <w:pStyle w:val="NoSpacing"/>
        <w:numPr>
          <w:ilvl w:val="2"/>
          <w:numId w:val="156"/>
        </w:numPr>
        <w:rPr>
          <w:rFonts w:cs="Times New Roman"/>
        </w:rPr>
      </w:pPr>
      <w:r w:rsidRPr="008026D4">
        <w:rPr>
          <w:rFonts w:cs="Times New Roman"/>
        </w:rPr>
        <w:t xml:space="preserve">Project Sponsors must implement the program efficiently, effectively, and properly in </w:t>
      </w:r>
      <w:r w:rsidR="002756DA" w:rsidRPr="008026D4">
        <w:rPr>
          <w:rFonts w:cs="Times New Roman"/>
        </w:rPr>
        <w:t>their</w:t>
      </w:r>
      <w:r w:rsidRPr="008026D4">
        <w:rPr>
          <w:rFonts w:cs="Times New Roman"/>
        </w:rPr>
        <w:t xml:space="preserve"> HSDA</w:t>
      </w:r>
      <w:r w:rsidR="002756DA" w:rsidRPr="008026D4">
        <w:rPr>
          <w:rFonts w:cs="Times New Roman"/>
        </w:rPr>
        <w:t>(s)</w:t>
      </w:r>
      <w:r w:rsidRPr="008026D4">
        <w:rPr>
          <w:rFonts w:cs="Times New Roman"/>
        </w:rPr>
        <w:t>.</w:t>
      </w:r>
    </w:p>
    <w:p w14:paraId="45600BEF" w14:textId="407A72EB" w:rsidR="00784623" w:rsidRPr="008026D4" w:rsidRDefault="00784623" w:rsidP="002A61C8">
      <w:pPr>
        <w:pStyle w:val="NoSpacing"/>
        <w:numPr>
          <w:ilvl w:val="2"/>
          <w:numId w:val="156"/>
        </w:numPr>
        <w:rPr>
          <w:rFonts w:cs="Times New Roman"/>
        </w:rPr>
      </w:pPr>
      <w:r w:rsidRPr="008026D4">
        <w:rPr>
          <w:rFonts w:cs="Times New Roman"/>
        </w:rPr>
        <w:t xml:space="preserve">Project Sponsors must </w:t>
      </w:r>
      <w:r w:rsidR="003F2301" w:rsidRPr="008026D4">
        <w:rPr>
          <w:rFonts w:cs="Times New Roman"/>
        </w:rPr>
        <w:t xml:space="preserve">collaborate with </w:t>
      </w:r>
      <w:r w:rsidR="00570DA0">
        <w:rPr>
          <w:rFonts w:cs="Times New Roman"/>
        </w:rPr>
        <w:t>their AA</w:t>
      </w:r>
      <w:r w:rsidR="003F2301" w:rsidRPr="008026D4">
        <w:rPr>
          <w:rFonts w:cs="Times New Roman"/>
        </w:rPr>
        <w:t xml:space="preserve"> to </w:t>
      </w:r>
      <w:r w:rsidRPr="008026D4">
        <w:rPr>
          <w:rFonts w:cs="Times New Roman"/>
        </w:rPr>
        <w:t>develop local program policies as needed.</w:t>
      </w:r>
    </w:p>
    <w:p w14:paraId="108B435E" w14:textId="5078E01E" w:rsidR="009B64E4" w:rsidRDefault="009B64E4" w:rsidP="009B64E4">
      <w:pPr>
        <w:pStyle w:val="NoSpacing"/>
        <w:numPr>
          <w:ilvl w:val="2"/>
          <w:numId w:val="156"/>
        </w:numPr>
        <w:rPr>
          <w:rFonts w:cs="Times New Roman"/>
        </w:rPr>
      </w:pPr>
      <w:r>
        <w:rPr>
          <w:rFonts w:cs="Times New Roman"/>
        </w:rPr>
        <w:t>Project Sponsors</w:t>
      </w:r>
      <w:r w:rsidRPr="009B64E4">
        <w:rPr>
          <w:rFonts w:cs="Times New Roman"/>
        </w:rPr>
        <w:t xml:space="preserve"> must </w:t>
      </w:r>
      <w:r w:rsidR="00076E1C">
        <w:rPr>
          <w:rFonts w:cs="Times New Roman"/>
        </w:rPr>
        <w:t>maintain</w:t>
      </w:r>
      <w:r w:rsidR="00D160D2">
        <w:rPr>
          <w:rFonts w:cs="Times New Roman"/>
        </w:rPr>
        <w:t xml:space="preserve"> programmatic and fiscal records</w:t>
      </w:r>
      <w:r w:rsidRPr="009B64E4">
        <w:rPr>
          <w:rFonts w:cs="Times New Roman"/>
        </w:rPr>
        <w:t xml:space="preserve"> for a </w:t>
      </w:r>
      <w:r>
        <w:rPr>
          <w:rFonts w:cs="Times New Roman"/>
        </w:rPr>
        <w:t>four</w:t>
      </w:r>
      <w:r w:rsidRPr="009B64E4">
        <w:rPr>
          <w:rFonts w:cs="Times New Roman"/>
        </w:rPr>
        <w:t xml:space="preserve">-year period to document </w:t>
      </w:r>
      <w:r>
        <w:rPr>
          <w:rFonts w:cs="Times New Roman"/>
        </w:rPr>
        <w:t>compliance</w:t>
      </w:r>
      <w:r w:rsidR="00592581">
        <w:rPr>
          <w:rFonts w:cs="Times New Roman"/>
        </w:rPr>
        <w:t xml:space="preserve"> with </w:t>
      </w:r>
      <w:r w:rsidR="00592581" w:rsidRPr="00592581">
        <w:rPr>
          <w:rFonts w:cs="Times New Roman"/>
        </w:rPr>
        <w:t>federal and state regulations, policies, standards, and guidelines</w:t>
      </w:r>
      <w:r w:rsidR="00592581" w:rsidRPr="009B64E4">
        <w:rPr>
          <w:rFonts w:cs="Times New Roman"/>
        </w:rPr>
        <w:t>.</w:t>
      </w:r>
      <w:r w:rsidRPr="009B64E4">
        <w:rPr>
          <w:rFonts w:cs="Times New Roman"/>
        </w:rPr>
        <w:t xml:space="preserve"> </w:t>
      </w:r>
      <w:r>
        <w:rPr>
          <w:rFonts w:cs="Times New Roman"/>
        </w:rPr>
        <w:t>Project Sponsors</w:t>
      </w:r>
      <w:r w:rsidRPr="009B64E4">
        <w:rPr>
          <w:rFonts w:cs="Times New Roman"/>
        </w:rPr>
        <w:t xml:space="preserve"> must </w:t>
      </w:r>
      <w:r>
        <w:rPr>
          <w:rFonts w:cs="Times New Roman"/>
        </w:rPr>
        <w:t xml:space="preserve">also </w:t>
      </w:r>
      <w:r w:rsidR="00076E1C">
        <w:rPr>
          <w:rFonts w:cs="Times New Roman"/>
        </w:rPr>
        <w:t>maintain</w:t>
      </w:r>
      <w:r w:rsidRPr="009B64E4">
        <w:rPr>
          <w:rFonts w:cs="Times New Roman"/>
        </w:rPr>
        <w:t xml:space="preserve"> the following:</w:t>
      </w:r>
    </w:p>
    <w:p w14:paraId="49A42113" w14:textId="77777777" w:rsidR="009B64E4" w:rsidRDefault="009B64E4" w:rsidP="00FD5ABA">
      <w:pPr>
        <w:pStyle w:val="NoSpacing"/>
        <w:numPr>
          <w:ilvl w:val="3"/>
          <w:numId w:val="156"/>
        </w:numPr>
        <w:ind w:left="1890" w:hanging="450"/>
        <w:rPr>
          <w:rFonts w:cs="Times New Roman"/>
        </w:rPr>
      </w:pPr>
      <w:r w:rsidRPr="009B64E4">
        <w:rPr>
          <w:rFonts w:cs="Times New Roman"/>
        </w:rPr>
        <w:t>Current and accurate data on the race and ethnicity of program participants.</w:t>
      </w:r>
    </w:p>
    <w:p w14:paraId="3895AB06" w14:textId="4CE49955" w:rsidR="009B64E4" w:rsidRDefault="009B64E4" w:rsidP="00FD5ABA">
      <w:pPr>
        <w:pStyle w:val="NoSpacing"/>
        <w:numPr>
          <w:ilvl w:val="3"/>
          <w:numId w:val="156"/>
        </w:numPr>
        <w:ind w:left="1890" w:hanging="450"/>
        <w:rPr>
          <w:rFonts w:cs="Times New Roman"/>
        </w:rPr>
      </w:pPr>
      <w:r w:rsidRPr="009B64E4">
        <w:rPr>
          <w:rFonts w:cs="Times New Roman"/>
        </w:rPr>
        <w:t xml:space="preserve">Documentation of the actions the </w:t>
      </w:r>
      <w:r>
        <w:rPr>
          <w:rFonts w:cs="Times New Roman"/>
        </w:rPr>
        <w:t>Project Sponsor</w:t>
      </w:r>
      <w:r w:rsidRPr="009B64E4">
        <w:rPr>
          <w:rFonts w:cs="Times New Roman"/>
        </w:rPr>
        <w:t xml:space="preserve"> has taken to affirmatively further fair housing, pursuant to </w:t>
      </w:r>
      <w:r>
        <w:rPr>
          <w:rFonts w:cs="Times New Roman"/>
        </w:rPr>
        <w:t xml:space="preserve">24 CFR </w:t>
      </w:r>
      <w:hyperlink r:id="rId23" w:history="1">
        <w:r w:rsidRPr="009B64E4">
          <w:rPr>
            <w:rStyle w:val="Hyperlink"/>
            <w:rFonts w:cs="Times New Roman"/>
          </w:rPr>
          <w:t>§5.151</w:t>
        </w:r>
      </w:hyperlink>
      <w:r w:rsidRPr="009B64E4">
        <w:rPr>
          <w:rFonts w:cs="Times New Roman"/>
        </w:rPr>
        <w:t xml:space="preserve"> and </w:t>
      </w:r>
      <w:hyperlink r:id="rId24" w:history="1">
        <w:r w:rsidRPr="009B64E4">
          <w:rPr>
            <w:rStyle w:val="Hyperlink"/>
            <w:rFonts w:cs="Times New Roman"/>
          </w:rPr>
          <w:t>§5.152</w:t>
        </w:r>
      </w:hyperlink>
      <w:r w:rsidRPr="009B64E4">
        <w:rPr>
          <w:rFonts w:cs="Times New Roman"/>
        </w:rPr>
        <w:t>.</w:t>
      </w:r>
    </w:p>
    <w:p w14:paraId="6189B3B2" w14:textId="380FC55E" w:rsidR="009B64E4" w:rsidRPr="009B64E4" w:rsidRDefault="009B64E4" w:rsidP="00FD5ABA">
      <w:pPr>
        <w:pStyle w:val="NoSpacing"/>
        <w:numPr>
          <w:ilvl w:val="3"/>
          <w:numId w:val="156"/>
        </w:numPr>
        <w:ind w:left="1890" w:hanging="450"/>
        <w:rPr>
          <w:rFonts w:cs="Times New Roman"/>
        </w:rPr>
      </w:pPr>
      <w:r w:rsidRPr="009B64E4">
        <w:rPr>
          <w:rFonts w:cs="Times New Roman"/>
        </w:rPr>
        <w:t xml:space="preserve">Data on emergency transfers requested under </w:t>
      </w:r>
      <w:hyperlink r:id="rId25" w:anchor="p-5.2005(e)" w:history="1">
        <w:r w:rsidRPr="009B64E4">
          <w:rPr>
            <w:rStyle w:val="Hyperlink"/>
            <w:rFonts w:cs="Times New Roman"/>
          </w:rPr>
          <w:t xml:space="preserve">24 CFR </w:t>
        </w:r>
        <w:r w:rsidRPr="009B64E4">
          <w:rPr>
            <w:rStyle w:val="Hyperlink"/>
            <w:rFonts w:cs="Times New Roman"/>
          </w:rPr>
          <w:t>§</w:t>
        </w:r>
        <w:r w:rsidRPr="009B64E4">
          <w:rPr>
            <w:rStyle w:val="Hyperlink"/>
            <w:rFonts w:cs="Times New Roman"/>
          </w:rPr>
          <w:t>5.2005</w:t>
        </w:r>
        <w:r w:rsidR="00A66919">
          <w:rPr>
            <w:rStyle w:val="Hyperlink"/>
            <w:rFonts w:cs="Times New Roman"/>
          </w:rPr>
          <w:t>(e)</w:t>
        </w:r>
      </w:hyperlink>
      <w:r w:rsidRPr="009B64E4">
        <w:rPr>
          <w:rFonts w:cs="Times New Roman"/>
        </w:rPr>
        <w:t xml:space="preserve">, pertaining to </w:t>
      </w:r>
      <w:r>
        <w:rPr>
          <w:rFonts w:cs="Times New Roman"/>
        </w:rPr>
        <w:t>survivors</w:t>
      </w:r>
      <w:r w:rsidRPr="009B64E4">
        <w:rPr>
          <w:rFonts w:cs="Times New Roman"/>
        </w:rPr>
        <w:t xml:space="preserve"> of domestic violence, dating violence, sexual assault, or stalking, including data on the outcomes of such requests.</w:t>
      </w:r>
    </w:p>
    <w:p w14:paraId="72DB08FD" w14:textId="3A05A6F0" w:rsidR="006F014B" w:rsidRDefault="00373AD5" w:rsidP="002A61C8">
      <w:pPr>
        <w:pStyle w:val="NoSpacing"/>
        <w:numPr>
          <w:ilvl w:val="2"/>
          <w:numId w:val="156"/>
        </w:numPr>
        <w:rPr>
          <w:rFonts w:cs="Times New Roman"/>
        </w:rPr>
      </w:pPr>
      <w:r w:rsidRPr="008026D4">
        <w:rPr>
          <w:rFonts w:cs="Times New Roman"/>
        </w:rPr>
        <w:t>Project Sponsors must file Internal Revenue Service (IRS) Form 1099</w:t>
      </w:r>
      <w:r w:rsidR="00C43CD1">
        <w:rPr>
          <w:rFonts w:cs="Times New Roman"/>
        </w:rPr>
        <w:t>-</w:t>
      </w:r>
      <w:proofErr w:type="spellStart"/>
      <w:r w:rsidR="00C43CD1">
        <w:rPr>
          <w:rFonts w:cs="Times New Roman"/>
        </w:rPr>
        <w:t>MISC</w:t>
      </w:r>
      <w:proofErr w:type="spellEnd"/>
      <w:r w:rsidRPr="008026D4">
        <w:rPr>
          <w:rFonts w:cs="Times New Roman"/>
        </w:rPr>
        <w:t xml:space="preserve"> for TBR</w:t>
      </w:r>
      <w:r w:rsidR="00184B76">
        <w:rPr>
          <w:rFonts w:cs="Times New Roman"/>
        </w:rPr>
        <w:t>A, STRMU, FB</w:t>
      </w:r>
      <w:r w:rsidR="00AC5DC1">
        <w:rPr>
          <w:rFonts w:cs="Times New Roman"/>
        </w:rPr>
        <w:t>H</w:t>
      </w:r>
      <w:r w:rsidR="00184B76">
        <w:rPr>
          <w:rFonts w:cs="Times New Roman"/>
        </w:rPr>
        <w:t xml:space="preserve">A, </w:t>
      </w:r>
      <w:r w:rsidRPr="008026D4">
        <w:rPr>
          <w:rFonts w:cs="Times New Roman"/>
        </w:rPr>
        <w:t xml:space="preserve">and PHP </w:t>
      </w:r>
      <w:r w:rsidR="00C26E47" w:rsidRPr="008026D4">
        <w:rPr>
          <w:rFonts w:cs="Times New Roman"/>
        </w:rPr>
        <w:t xml:space="preserve">rent </w:t>
      </w:r>
      <w:r w:rsidRPr="008026D4">
        <w:rPr>
          <w:rFonts w:cs="Times New Roman"/>
        </w:rPr>
        <w:t xml:space="preserve">payments to individuals and partnerships. If a Project Sponsor makes </w:t>
      </w:r>
      <w:r w:rsidR="00C26E47" w:rsidRPr="008026D4">
        <w:rPr>
          <w:rFonts w:cs="Times New Roman"/>
        </w:rPr>
        <w:t xml:space="preserve">rent </w:t>
      </w:r>
      <w:r w:rsidRPr="008026D4">
        <w:rPr>
          <w:rFonts w:cs="Times New Roman"/>
        </w:rPr>
        <w:t>payments of $600.00</w:t>
      </w:r>
      <w:r w:rsidR="00507956" w:rsidRPr="008026D4">
        <w:rPr>
          <w:rFonts w:cs="Times New Roman"/>
        </w:rPr>
        <w:t xml:space="preserve"> or more</w:t>
      </w:r>
      <w:r w:rsidRPr="008026D4">
        <w:rPr>
          <w:rFonts w:cs="Times New Roman"/>
        </w:rPr>
        <w:t xml:space="preserve"> to </w:t>
      </w:r>
      <w:r w:rsidR="00507956" w:rsidRPr="008026D4">
        <w:rPr>
          <w:rFonts w:cs="Times New Roman"/>
        </w:rPr>
        <w:t xml:space="preserve">property </w:t>
      </w:r>
      <w:r w:rsidRPr="008026D4">
        <w:rPr>
          <w:rFonts w:cs="Times New Roman"/>
        </w:rPr>
        <w:t>owners in any calendar year, then they report this to the IRS on form 1</w:t>
      </w:r>
      <w:r w:rsidR="007F5625" w:rsidRPr="008026D4">
        <w:rPr>
          <w:rFonts w:cs="Times New Roman"/>
        </w:rPr>
        <w:t>099-</w:t>
      </w:r>
      <w:proofErr w:type="spellStart"/>
      <w:r w:rsidR="007F5625" w:rsidRPr="008026D4">
        <w:rPr>
          <w:rFonts w:cs="Times New Roman"/>
        </w:rPr>
        <w:t>MISC</w:t>
      </w:r>
      <w:proofErr w:type="spellEnd"/>
      <w:r w:rsidR="007F5625" w:rsidRPr="008026D4">
        <w:rPr>
          <w:rFonts w:cs="Times New Roman"/>
        </w:rPr>
        <w:t>, Box 1, “Rents</w:t>
      </w:r>
      <w:r w:rsidRPr="008026D4">
        <w:rPr>
          <w:rFonts w:cs="Times New Roman"/>
        </w:rPr>
        <w:t>”</w:t>
      </w:r>
      <w:r w:rsidR="007F5625" w:rsidRPr="008026D4">
        <w:rPr>
          <w:rFonts w:cs="Times New Roman"/>
        </w:rPr>
        <w:t xml:space="preserve"> (Revenue Rule 88-53).</w:t>
      </w:r>
      <w:r w:rsidRPr="008026D4">
        <w:rPr>
          <w:rFonts w:cs="Times New Roman"/>
        </w:rPr>
        <w:t xml:space="preserve"> To comply with this requirement, Project Sponsors obtain the </w:t>
      </w:r>
      <w:r w:rsidR="00ED254E">
        <w:rPr>
          <w:rFonts w:cs="Times New Roman"/>
        </w:rPr>
        <w:t>T</w:t>
      </w:r>
      <w:r w:rsidRPr="008026D4">
        <w:rPr>
          <w:rFonts w:cs="Times New Roman"/>
        </w:rPr>
        <w:t xml:space="preserve">axpayer </w:t>
      </w:r>
      <w:r w:rsidR="00ED254E">
        <w:rPr>
          <w:rFonts w:cs="Times New Roman"/>
        </w:rPr>
        <w:t>I</w:t>
      </w:r>
      <w:r w:rsidRPr="008026D4">
        <w:rPr>
          <w:rFonts w:cs="Times New Roman"/>
        </w:rPr>
        <w:t xml:space="preserve">dentification number (TIN), </w:t>
      </w:r>
      <w:r w:rsidR="00ED254E">
        <w:rPr>
          <w:rFonts w:cs="Times New Roman"/>
        </w:rPr>
        <w:t>S</w:t>
      </w:r>
      <w:r w:rsidRPr="008026D4">
        <w:rPr>
          <w:rFonts w:cs="Times New Roman"/>
        </w:rPr>
        <w:t xml:space="preserve">ocial </w:t>
      </w:r>
      <w:r w:rsidR="00ED254E">
        <w:rPr>
          <w:rFonts w:cs="Times New Roman"/>
        </w:rPr>
        <w:t>S</w:t>
      </w:r>
      <w:r w:rsidRPr="008026D4">
        <w:rPr>
          <w:rFonts w:cs="Times New Roman"/>
        </w:rPr>
        <w:t xml:space="preserve">ecurity </w:t>
      </w:r>
      <w:r w:rsidR="00ED254E">
        <w:rPr>
          <w:rFonts w:cs="Times New Roman"/>
        </w:rPr>
        <w:t>N</w:t>
      </w:r>
      <w:r w:rsidRPr="008026D4">
        <w:rPr>
          <w:rFonts w:cs="Times New Roman"/>
        </w:rPr>
        <w:t xml:space="preserve">umber (SSN), or </w:t>
      </w:r>
      <w:r w:rsidR="00ED254E">
        <w:rPr>
          <w:rFonts w:cs="Times New Roman"/>
        </w:rPr>
        <w:t>E</w:t>
      </w:r>
      <w:r w:rsidRPr="008026D4">
        <w:rPr>
          <w:rFonts w:cs="Times New Roman"/>
        </w:rPr>
        <w:t xml:space="preserve">mployer </w:t>
      </w:r>
      <w:r w:rsidR="00ED254E">
        <w:rPr>
          <w:rFonts w:cs="Times New Roman"/>
        </w:rPr>
        <w:t>I</w:t>
      </w:r>
      <w:r w:rsidRPr="008026D4">
        <w:rPr>
          <w:rFonts w:cs="Times New Roman"/>
        </w:rPr>
        <w:t xml:space="preserve">dentification </w:t>
      </w:r>
      <w:r w:rsidR="00ED254E">
        <w:rPr>
          <w:rFonts w:cs="Times New Roman"/>
        </w:rPr>
        <w:t>N</w:t>
      </w:r>
      <w:r w:rsidRPr="008026D4">
        <w:rPr>
          <w:rFonts w:cs="Times New Roman"/>
        </w:rPr>
        <w:t xml:space="preserve">umber (EIN) of all entities to which it will make </w:t>
      </w:r>
      <w:r w:rsidR="00507956" w:rsidRPr="008026D4">
        <w:rPr>
          <w:rFonts w:cs="Times New Roman"/>
        </w:rPr>
        <w:t>rent</w:t>
      </w:r>
      <w:r w:rsidRPr="008026D4">
        <w:rPr>
          <w:rFonts w:cs="Times New Roman"/>
        </w:rPr>
        <w:t xml:space="preserve"> payments. To accomplish this, Project Sponsors issue IRS Form W-9 to all </w:t>
      </w:r>
      <w:r w:rsidR="00507956" w:rsidRPr="008026D4">
        <w:rPr>
          <w:rFonts w:cs="Times New Roman"/>
        </w:rPr>
        <w:t>property owners</w:t>
      </w:r>
      <w:r w:rsidRPr="008026D4">
        <w:rPr>
          <w:rFonts w:cs="Times New Roman"/>
        </w:rPr>
        <w:t>.</w:t>
      </w:r>
      <w:r w:rsidR="00507956" w:rsidRPr="008026D4">
        <w:rPr>
          <w:rFonts w:cs="Times New Roman"/>
        </w:rPr>
        <w:t xml:space="preserve"> </w:t>
      </w:r>
      <w:r w:rsidR="00ED254E">
        <w:rPr>
          <w:rFonts w:cs="Times New Roman"/>
        </w:rPr>
        <w:t>Before a Project Sponsor makes rent payments to an owner, the o</w:t>
      </w:r>
      <w:r w:rsidR="00E479C5" w:rsidRPr="00E479C5">
        <w:rPr>
          <w:rFonts w:cs="Times New Roman"/>
        </w:rPr>
        <w:t xml:space="preserve">wner </w:t>
      </w:r>
      <w:r w:rsidR="00E479C5">
        <w:rPr>
          <w:rFonts w:cs="Times New Roman"/>
        </w:rPr>
        <w:t xml:space="preserve">must complete and return </w:t>
      </w:r>
      <w:r w:rsidR="00507956" w:rsidRPr="008026D4">
        <w:rPr>
          <w:rFonts w:cs="Times New Roman"/>
        </w:rPr>
        <w:t xml:space="preserve">Form </w:t>
      </w:r>
      <w:r w:rsidR="00C26E47" w:rsidRPr="008026D4">
        <w:rPr>
          <w:rFonts w:cs="Times New Roman"/>
        </w:rPr>
        <w:t>W-9 to the Project Sponsor.</w:t>
      </w:r>
      <w:r w:rsidRPr="008026D4">
        <w:rPr>
          <w:rFonts w:cs="Times New Roman"/>
        </w:rPr>
        <w:t xml:space="preserve"> </w:t>
      </w:r>
      <w:r w:rsidR="008248B2">
        <w:rPr>
          <w:rFonts w:cs="Times New Roman"/>
        </w:rPr>
        <w:t>E</w:t>
      </w:r>
      <w:r w:rsidR="008248B2" w:rsidRPr="008026D4">
        <w:rPr>
          <w:rFonts w:cs="Times New Roman"/>
        </w:rPr>
        <w:t>very calendar year</w:t>
      </w:r>
      <w:r w:rsidR="008248B2">
        <w:rPr>
          <w:rFonts w:cs="Times New Roman"/>
        </w:rPr>
        <w:t>, Project Sponsors must complete and issue</w:t>
      </w:r>
      <w:r w:rsidR="008248B2" w:rsidRPr="008026D4">
        <w:rPr>
          <w:rFonts w:cs="Times New Roman"/>
        </w:rPr>
        <w:t xml:space="preserve"> </w:t>
      </w:r>
      <w:r w:rsidRPr="008026D4">
        <w:rPr>
          <w:rFonts w:cs="Times New Roman"/>
        </w:rPr>
        <w:t>Form 1099-</w:t>
      </w:r>
      <w:proofErr w:type="spellStart"/>
      <w:r w:rsidR="00507956" w:rsidRPr="008026D4">
        <w:rPr>
          <w:rFonts w:cs="Times New Roman"/>
        </w:rPr>
        <w:t>MISC</w:t>
      </w:r>
      <w:proofErr w:type="spellEnd"/>
      <w:r w:rsidRPr="008026D4">
        <w:rPr>
          <w:rFonts w:cs="Times New Roman"/>
        </w:rPr>
        <w:t xml:space="preserve"> to </w:t>
      </w:r>
      <w:r w:rsidR="007F5625" w:rsidRPr="008026D4">
        <w:rPr>
          <w:rFonts w:cs="Times New Roman"/>
        </w:rPr>
        <w:t>each “person”</w:t>
      </w:r>
      <w:r w:rsidRPr="008026D4">
        <w:rPr>
          <w:rFonts w:cs="Times New Roman"/>
        </w:rPr>
        <w:t xml:space="preserve"> who </w:t>
      </w:r>
      <w:r w:rsidR="00ED254E">
        <w:rPr>
          <w:rFonts w:cs="Times New Roman"/>
        </w:rPr>
        <w:t>was</w:t>
      </w:r>
      <w:r w:rsidRPr="008026D4">
        <w:rPr>
          <w:rFonts w:cs="Times New Roman"/>
        </w:rPr>
        <w:t xml:space="preserve"> paid </w:t>
      </w:r>
      <w:r w:rsidR="00507956" w:rsidRPr="008026D4">
        <w:rPr>
          <w:rFonts w:cs="Times New Roman"/>
        </w:rPr>
        <w:t>$600.00 or more</w:t>
      </w:r>
      <w:r w:rsidR="003F2301" w:rsidRPr="008026D4">
        <w:rPr>
          <w:rFonts w:cs="Times New Roman"/>
        </w:rPr>
        <w:t xml:space="preserve"> in rent</w:t>
      </w:r>
      <w:r w:rsidRPr="008026D4">
        <w:rPr>
          <w:rFonts w:cs="Times New Roman"/>
        </w:rPr>
        <w:t>. Persons include</w:t>
      </w:r>
      <w:r w:rsidR="007F5625" w:rsidRPr="008026D4">
        <w:rPr>
          <w:rFonts w:cs="Times New Roman"/>
        </w:rPr>
        <w:t xml:space="preserve"> individuals and partnerships</w:t>
      </w:r>
      <w:r w:rsidR="008248B2">
        <w:rPr>
          <w:rFonts w:cs="Times New Roman"/>
        </w:rPr>
        <w:t xml:space="preserve">, </w:t>
      </w:r>
      <w:r w:rsidR="007F5625" w:rsidRPr="008026D4">
        <w:rPr>
          <w:rFonts w:cs="Times New Roman"/>
        </w:rPr>
        <w:t>.</w:t>
      </w:r>
      <w:r w:rsidR="008248B2">
        <w:rPr>
          <w:rFonts w:cs="Times New Roman"/>
        </w:rPr>
        <w:t>not</w:t>
      </w:r>
      <w:r w:rsidR="00ED254E" w:rsidRPr="008026D4">
        <w:rPr>
          <w:rFonts w:cs="Times New Roman"/>
        </w:rPr>
        <w:t xml:space="preserve"> corporations or utility vendors</w:t>
      </w:r>
      <w:r w:rsidR="00ED254E">
        <w:rPr>
          <w:rFonts w:cs="Times New Roman"/>
        </w:rPr>
        <w:t>.</w:t>
      </w:r>
      <w:r w:rsidR="00ED254E" w:rsidRPr="008026D4">
        <w:rPr>
          <w:rFonts w:cs="Times New Roman"/>
        </w:rPr>
        <w:t xml:space="preserve"> </w:t>
      </w:r>
      <w:r w:rsidR="00C43CD1">
        <w:rPr>
          <w:rFonts w:cs="Times New Roman"/>
        </w:rPr>
        <w:t xml:space="preserve">Project Sponsors issue </w:t>
      </w:r>
      <w:r w:rsidR="007F5625" w:rsidRPr="008026D4">
        <w:rPr>
          <w:rFonts w:cs="Times New Roman"/>
        </w:rPr>
        <w:t>Form 1099-</w:t>
      </w:r>
      <w:proofErr w:type="spellStart"/>
      <w:r w:rsidR="007F5625" w:rsidRPr="008026D4">
        <w:rPr>
          <w:rFonts w:cs="Times New Roman"/>
        </w:rPr>
        <w:t>MISC</w:t>
      </w:r>
      <w:proofErr w:type="spellEnd"/>
      <w:r w:rsidRPr="008026D4">
        <w:rPr>
          <w:rFonts w:cs="Times New Roman"/>
        </w:rPr>
        <w:t xml:space="preserve"> to </w:t>
      </w:r>
      <w:r w:rsidR="007F5625" w:rsidRPr="008026D4">
        <w:rPr>
          <w:rFonts w:cs="Times New Roman"/>
        </w:rPr>
        <w:t>property owner</w:t>
      </w:r>
      <w:r w:rsidR="00C43CD1">
        <w:rPr>
          <w:rFonts w:cs="Times New Roman"/>
        </w:rPr>
        <w:t>s</w:t>
      </w:r>
      <w:r w:rsidR="007F5625" w:rsidRPr="008026D4">
        <w:rPr>
          <w:rFonts w:cs="Times New Roman"/>
        </w:rPr>
        <w:t xml:space="preserve"> by</w:t>
      </w:r>
      <w:r w:rsidRPr="008026D4">
        <w:rPr>
          <w:rFonts w:cs="Times New Roman"/>
        </w:rPr>
        <w:t xml:space="preserve"> Januar</w:t>
      </w:r>
      <w:r w:rsidR="00A66919">
        <w:rPr>
          <w:rFonts w:cs="Times New Roman"/>
        </w:rPr>
        <w:t>y 3</w:t>
      </w:r>
      <w:r w:rsidRPr="008026D4">
        <w:rPr>
          <w:rFonts w:cs="Times New Roman"/>
        </w:rPr>
        <w:t>1 and sub</w:t>
      </w:r>
      <w:r w:rsidR="00C43CD1">
        <w:rPr>
          <w:rFonts w:cs="Times New Roman"/>
        </w:rPr>
        <w:t>mit a copy</w:t>
      </w:r>
      <w:r w:rsidRPr="008026D4">
        <w:rPr>
          <w:rFonts w:cs="Times New Roman"/>
        </w:rPr>
        <w:t xml:space="preserve"> to </w:t>
      </w:r>
      <w:r w:rsidR="008248B2">
        <w:rPr>
          <w:rFonts w:cs="Times New Roman"/>
        </w:rPr>
        <w:t xml:space="preserve">the </w:t>
      </w:r>
      <w:r w:rsidRPr="008026D4">
        <w:rPr>
          <w:rFonts w:cs="Times New Roman"/>
        </w:rPr>
        <w:t>IRS no later than February</w:t>
      </w:r>
      <w:r w:rsidRPr="00A66919">
        <w:rPr>
          <w:rFonts w:cs="Times New Roman"/>
          <w:vertAlign w:val="superscript"/>
        </w:rPr>
        <w:t xml:space="preserve"> </w:t>
      </w:r>
      <w:r w:rsidRPr="00A66919">
        <w:rPr>
          <w:rFonts w:cs="Times New Roman"/>
        </w:rPr>
        <w:t>28</w:t>
      </w:r>
      <w:r w:rsidR="007F5625" w:rsidRPr="008026D4">
        <w:rPr>
          <w:rFonts w:cs="Times New Roman"/>
        </w:rPr>
        <w:t xml:space="preserve">. </w:t>
      </w:r>
      <w:r w:rsidR="00C43CD1">
        <w:rPr>
          <w:rFonts w:cs="Times New Roman"/>
        </w:rPr>
        <w:t>Project Sponsors may obtain copies</w:t>
      </w:r>
      <w:r w:rsidR="00C43CD1" w:rsidRPr="008026D4">
        <w:rPr>
          <w:rFonts w:cs="Times New Roman"/>
        </w:rPr>
        <w:t xml:space="preserve"> </w:t>
      </w:r>
      <w:r w:rsidRPr="008026D4">
        <w:rPr>
          <w:rFonts w:cs="Times New Roman"/>
        </w:rPr>
        <w:t xml:space="preserve">of IRS </w:t>
      </w:r>
      <w:r w:rsidR="007F5625" w:rsidRPr="008026D4">
        <w:rPr>
          <w:rFonts w:cs="Times New Roman"/>
        </w:rPr>
        <w:t>Forms</w:t>
      </w:r>
      <w:r w:rsidRPr="008026D4">
        <w:rPr>
          <w:rFonts w:cs="Times New Roman"/>
        </w:rPr>
        <w:t xml:space="preserve"> </w:t>
      </w:r>
      <w:hyperlink r:id="rId26" w:history="1">
        <w:r w:rsidRPr="00C43CD1">
          <w:rPr>
            <w:rStyle w:val="Hyperlink"/>
            <w:rFonts w:cs="Times New Roman"/>
          </w:rPr>
          <w:t>W-9</w:t>
        </w:r>
      </w:hyperlink>
      <w:r w:rsidRPr="008026D4">
        <w:rPr>
          <w:rFonts w:cs="Times New Roman"/>
        </w:rPr>
        <w:t xml:space="preserve"> and </w:t>
      </w:r>
      <w:hyperlink r:id="rId27" w:history="1">
        <w:r w:rsidRPr="00C43CD1">
          <w:rPr>
            <w:rStyle w:val="Hyperlink"/>
            <w:rFonts w:cs="Times New Roman"/>
          </w:rPr>
          <w:t>1099-</w:t>
        </w:r>
        <w:proofErr w:type="spellStart"/>
        <w:r w:rsidR="007F5625" w:rsidRPr="00C43CD1">
          <w:rPr>
            <w:rStyle w:val="Hyperlink"/>
            <w:rFonts w:cs="Times New Roman"/>
          </w:rPr>
          <w:t>MISC</w:t>
        </w:r>
        <w:proofErr w:type="spellEnd"/>
      </w:hyperlink>
      <w:r w:rsidR="00C43CD1">
        <w:rPr>
          <w:rFonts w:cs="Times New Roman"/>
        </w:rPr>
        <w:t>,</w:t>
      </w:r>
      <w:r w:rsidRPr="008026D4">
        <w:rPr>
          <w:rFonts w:cs="Times New Roman"/>
        </w:rPr>
        <w:t xml:space="preserve"> as well as detailed instructions </w:t>
      </w:r>
      <w:r w:rsidR="00BA69EC">
        <w:rPr>
          <w:rFonts w:cs="Times New Roman"/>
        </w:rPr>
        <w:t xml:space="preserve">for </w:t>
      </w:r>
      <w:r w:rsidR="00825D0E">
        <w:rPr>
          <w:rFonts w:cs="Times New Roman"/>
        </w:rPr>
        <w:t xml:space="preserve">completing </w:t>
      </w:r>
      <w:r w:rsidR="00BA69EC">
        <w:rPr>
          <w:rFonts w:cs="Times New Roman"/>
        </w:rPr>
        <w:t>each form</w:t>
      </w:r>
      <w:r w:rsidR="00C43CD1">
        <w:rPr>
          <w:rFonts w:cs="Times New Roman"/>
        </w:rPr>
        <w:t>,</w:t>
      </w:r>
      <w:r w:rsidRPr="008026D4">
        <w:rPr>
          <w:rFonts w:cs="Times New Roman"/>
        </w:rPr>
        <w:t xml:space="preserve"> from the IRS </w:t>
      </w:r>
      <w:hyperlink r:id="rId28" w:history="1">
        <w:r w:rsidRPr="00592A07">
          <w:rPr>
            <w:rStyle w:val="Hyperlink"/>
            <w:rFonts w:cs="Times New Roman"/>
          </w:rPr>
          <w:t>website</w:t>
        </w:r>
      </w:hyperlink>
      <w:r w:rsidR="00592A07">
        <w:rPr>
          <w:rFonts w:cs="Times New Roman"/>
        </w:rPr>
        <w:t>.</w:t>
      </w:r>
    </w:p>
    <w:p w14:paraId="7E9E0576" w14:textId="7E77DA5B" w:rsidR="000906DB" w:rsidRDefault="000906DB" w:rsidP="000906DB">
      <w:pPr>
        <w:pStyle w:val="NoSpacing"/>
        <w:ind w:left="1440"/>
        <w:rPr>
          <w:rFonts w:cs="Times New Roman"/>
          <w:color w:val="C00000"/>
        </w:rPr>
      </w:pPr>
      <w:r w:rsidRPr="00B12606">
        <w:rPr>
          <w:rFonts w:cs="Times New Roman"/>
          <w:b/>
          <w:color w:val="C00000"/>
        </w:rPr>
        <w:t>NOTE:</w:t>
      </w:r>
      <w:r w:rsidRPr="00B12606">
        <w:rPr>
          <w:rFonts w:cs="Times New Roman"/>
          <w:color w:val="C00000"/>
        </w:rPr>
        <w:t xml:space="preserve"> </w:t>
      </w:r>
      <w:r>
        <w:rPr>
          <w:rFonts w:cs="Times New Roman"/>
          <w:color w:val="C00000"/>
        </w:rPr>
        <w:t xml:space="preserve">DSHS </w:t>
      </w:r>
      <w:r w:rsidRPr="00B12606">
        <w:rPr>
          <w:rFonts w:cs="Times New Roman"/>
          <w:color w:val="C00000"/>
        </w:rPr>
        <w:t>Project Sponsors cannot pay clients directly.</w:t>
      </w:r>
    </w:p>
    <w:p w14:paraId="2896EB3B" w14:textId="7DE9C743" w:rsidR="00A6262D" w:rsidRPr="00A6262D" w:rsidRDefault="00A6262D" w:rsidP="002A61C8">
      <w:pPr>
        <w:pStyle w:val="NoSpacing"/>
        <w:numPr>
          <w:ilvl w:val="2"/>
          <w:numId w:val="156"/>
        </w:numPr>
        <w:rPr>
          <w:rFonts w:cs="Times New Roman"/>
        </w:rPr>
      </w:pPr>
      <w:r>
        <w:rPr>
          <w:rFonts w:cs="Times New Roman"/>
        </w:rPr>
        <w:t>Project Sponsors must safeguard against conflicts of interest. I</w:t>
      </w:r>
      <w:r w:rsidRPr="00771289">
        <w:rPr>
          <w:rFonts w:cs="Times New Roman"/>
        </w:rPr>
        <w:t xml:space="preserve">n addition to the conflict of interest requirements in 2 CFR §200.317 (for </w:t>
      </w:r>
      <w:r w:rsidR="00B74129">
        <w:rPr>
          <w:rFonts w:cs="Times New Roman"/>
        </w:rPr>
        <w:t xml:space="preserve">State </w:t>
      </w:r>
      <w:r w:rsidRPr="00771289">
        <w:rPr>
          <w:rFonts w:cs="Times New Roman"/>
        </w:rPr>
        <w:t xml:space="preserve">recipients and subrecipients) and 2 CFR §200.318 through §200.326 (for </w:t>
      </w:r>
      <w:r w:rsidR="00B74129">
        <w:rPr>
          <w:rFonts w:cs="Times New Roman"/>
        </w:rPr>
        <w:t xml:space="preserve">non-State </w:t>
      </w:r>
      <w:r w:rsidRPr="00771289">
        <w:rPr>
          <w:rFonts w:cs="Times New Roman"/>
        </w:rPr>
        <w:t xml:space="preserve">recipients and subrecipients), </w:t>
      </w:r>
      <w:r w:rsidR="001903DE" w:rsidRPr="001903DE">
        <w:rPr>
          <w:rFonts w:cs="Times New Roman"/>
        </w:rPr>
        <w:t xml:space="preserve">no employee, agent, consultant, officer, or elected or appointed official of the </w:t>
      </w:r>
      <w:r w:rsidR="001903DE">
        <w:rPr>
          <w:rFonts w:cs="Times New Roman"/>
        </w:rPr>
        <w:t>Project Sponsor</w:t>
      </w:r>
      <w:r w:rsidR="001903DE" w:rsidRPr="001903DE">
        <w:rPr>
          <w:rFonts w:cs="Times New Roman"/>
        </w:rPr>
        <w:t xml:space="preserve"> who exercises or has exercised any functions or responsibilities with respect to assisted activities, or who participates in a decision making process or gains inside information with regard to such activities, may obtain a financial interest or benefit from the activity, or have an interest in any contract, subcontract, or agreement with respect thereto, or the proceeds thereunder, either for themselves or for those with whom they have family or business ties, during their tenure or for one year thereafter.</w:t>
      </w:r>
      <w:r w:rsidRPr="00771289">
        <w:rPr>
          <w:rFonts w:cs="Times New Roman"/>
        </w:rPr>
        <w:t xml:space="preserve"> Project Sponsors should have policies in place that identify and handle real or potential conflicts of interest on the part of board members, staff persons, and other representatives of the organization, such as volunteers. HUD requires such a policy, often part of an organization’s “code of conduct” for board, staff, and volunteers. </w:t>
      </w:r>
      <w:r w:rsidR="00453B44">
        <w:rPr>
          <w:rFonts w:cs="Times New Roman"/>
        </w:rPr>
        <w:t>DSHS</w:t>
      </w:r>
      <w:r w:rsidRPr="00771289">
        <w:rPr>
          <w:rFonts w:cs="Times New Roman"/>
        </w:rPr>
        <w:t xml:space="preserve"> adv</w:t>
      </w:r>
      <w:r w:rsidR="00453B44">
        <w:rPr>
          <w:rFonts w:cs="Times New Roman"/>
        </w:rPr>
        <w:t>ises Project Sponsors</w:t>
      </w:r>
      <w:r w:rsidRPr="00771289">
        <w:rPr>
          <w:rFonts w:cs="Times New Roman"/>
        </w:rPr>
        <w:t xml:space="preserve"> to </w:t>
      </w:r>
      <w:r w:rsidR="00453B44">
        <w:rPr>
          <w:rFonts w:cs="Times New Roman"/>
        </w:rPr>
        <w:t xml:space="preserve">assess and address conflicts of interest on an annual </w:t>
      </w:r>
      <w:r w:rsidRPr="00771289">
        <w:rPr>
          <w:rFonts w:cs="Times New Roman"/>
        </w:rPr>
        <w:t xml:space="preserve">basis. Additionally, the policy must comply with the DSHS HIV/STD Program Policies located </w:t>
      </w:r>
      <w:hyperlink r:id="rId29" w:history="1">
        <w:r w:rsidRPr="00C25505">
          <w:rPr>
            <w:rStyle w:val="Hyperlink"/>
            <w:rFonts w:cs="Times New Roman"/>
          </w:rPr>
          <w:t>here</w:t>
        </w:r>
      </w:hyperlink>
      <w:r w:rsidRPr="00771289">
        <w:rPr>
          <w:rFonts w:cs="Times New Roman"/>
        </w:rPr>
        <w:t>.</w:t>
      </w:r>
    </w:p>
    <w:p w14:paraId="1E79D445" w14:textId="36847DFC" w:rsidR="00446770" w:rsidRDefault="00446770" w:rsidP="002A61C8">
      <w:pPr>
        <w:pStyle w:val="NoSpacing"/>
        <w:numPr>
          <w:ilvl w:val="2"/>
          <w:numId w:val="156"/>
        </w:numPr>
        <w:rPr>
          <w:rFonts w:cs="Times New Roman"/>
        </w:rPr>
      </w:pPr>
      <w:r>
        <w:rPr>
          <w:rFonts w:cs="Times New Roman"/>
        </w:rPr>
        <w:t>Project Sponsors must t</w:t>
      </w:r>
      <w:r w:rsidRPr="00446770">
        <w:rPr>
          <w:rFonts w:cs="Times New Roman"/>
        </w:rPr>
        <w:t xml:space="preserve">rack the number of </w:t>
      </w:r>
      <w:r>
        <w:rPr>
          <w:rFonts w:cs="Times New Roman"/>
        </w:rPr>
        <w:t>clients</w:t>
      </w:r>
      <w:r w:rsidRPr="00446770">
        <w:rPr>
          <w:rFonts w:cs="Times New Roman"/>
        </w:rPr>
        <w:t xml:space="preserve"> served and units of service provided by completing all applicable HOPWA-related fields in the Take Charge Texas (TCT) database,</w:t>
      </w:r>
      <w:r>
        <w:rPr>
          <w:rFonts w:cs="Times New Roman"/>
        </w:rPr>
        <w:t xml:space="preserve"> </w:t>
      </w:r>
      <w:r w:rsidRPr="00446770">
        <w:rPr>
          <w:rFonts w:cs="Times New Roman"/>
        </w:rPr>
        <w:t xml:space="preserve">the Uniform Reporting System (URS). </w:t>
      </w:r>
      <w:r>
        <w:rPr>
          <w:rFonts w:cs="Times New Roman"/>
        </w:rPr>
        <w:t>Project Sponsors</w:t>
      </w:r>
      <w:r w:rsidRPr="00446770">
        <w:rPr>
          <w:rFonts w:cs="Times New Roman"/>
        </w:rPr>
        <w:t xml:space="preserve"> enter HOPWA data into TCT on a scheduled basis </w:t>
      </w:r>
      <w:r>
        <w:rPr>
          <w:rFonts w:cs="Times New Roman"/>
        </w:rPr>
        <w:t>corresponding</w:t>
      </w:r>
      <w:r w:rsidRPr="00446770">
        <w:rPr>
          <w:rFonts w:cs="Times New Roman"/>
        </w:rPr>
        <w:t xml:space="preserve"> </w:t>
      </w:r>
      <w:r>
        <w:rPr>
          <w:rFonts w:cs="Times New Roman"/>
        </w:rPr>
        <w:t>with</w:t>
      </w:r>
      <w:r w:rsidRPr="00446770">
        <w:rPr>
          <w:rFonts w:cs="Times New Roman"/>
        </w:rPr>
        <w:t xml:space="preserve"> the program reporting periods specified in thi</w:t>
      </w:r>
      <w:r>
        <w:rPr>
          <w:rFonts w:cs="Times New Roman"/>
        </w:rPr>
        <w:t>s manual</w:t>
      </w:r>
      <w:r w:rsidRPr="00446770">
        <w:rPr>
          <w:rFonts w:cs="Times New Roman"/>
        </w:rPr>
        <w:t xml:space="preserve">. </w:t>
      </w:r>
      <w:r>
        <w:rPr>
          <w:rFonts w:cs="Times New Roman"/>
        </w:rPr>
        <w:t xml:space="preserve">Project Sponsor programmatic reports and other submissions to DSHS must </w:t>
      </w:r>
      <w:r w:rsidR="001D3104">
        <w:rPr>
          <w:rFonts w:cs="Times New Roman"/>
        </w:rPr>
        <w:t>align</w:t>
      </w:r>
      <w:r>
        <w:rPr>
          <w:rFonts w:cs="Times New Roman"/>
        </w:rPr>
        <w:t xml:space="preserve"> with c</w:t>
      </w:r>
      <w:r w:rsidRPr="00446770">
        <w:rPr>
          <w:rFonts w:cs="Times New Roman"/>
        </w:rPr>
        <w:t xml:space="preserve">lient and service information </w:t>
      </w:r>
      <w:r>
        <w:rPr>
          <w:rFonts w:cs="Times New Roman"/>
        </w:rPr>
        <w:t>entered in TCT</w:t>
      </w:r>
      <w:r w:rsidRPr="00446770">
        <w:rPr>
          <w:rFonts w:cs="Times New Roman"/>
        </w:rPr>
        <w:t>.</w:t>
      </w:r>
    </w:p>
    <w:p w14:paraId="7900B77B" w14:textId="5CBB74B9" w:rsidR="000906DB" w:rsidRDefault="000906DB" w:rsidP="002A61C8">
      <w:pPr>
        <w:pStyle w:val="NoSpacing"/>
        <w:numPr>
          <w:ilvl w:val="2"/>
          <w:numId w:val="156"/>
        </w:numPr>
        <w:rPr>
          <w:rFonts w:cs="Times New Roman"/>
        </w:rPr>
      </w:pPr>
      <w:r>
        <w:rPr>
          <w:rFonts w:cs="Times New Roman"/>
        </w:rPr>
        <w:t xml:space="preserve">Project Sponsors cannot charge </w:t>
      </w:r>
      <w:r w:rsidR="00771289">
        <w:rPr>
          <w:rFonts w:cs="Times New Roman"/>
        </w:rPr>
        <w:t>households with any fees other than rent</w:t>
      </w:r>
      <w:r>
        <w:rPr>
          <w:rFonts w:cs="Times New Roman"/>
        </w:rPr>
        <w:t>.</w:t>
      </w:r>
    </w:p>
    <w:p w14:paraId="18AD0F05" w14:textId="4530CAB3" w:rsidR="00771289" w:rsidRPr="00771289" w:rsidRDefault="00771289" w:rsidP="002A61C8">
      <w:pPr>
        <w:pStyle w:val="NoSpacing"/>
        <w:numPr>
          <w:ilvl w:val="2"/>
          <w:numId w:val="156"/>
        </w:numPr>
        <w:rPr>
          <w:rFonts w:cs="Times New Roman"/>
        </w:rPr>
      </w:pPr>
      <w:r w:rsidRPr="00771289">
        <w:rPr>
          <w:rFonts w:cs="Times New Roman"/>
        </w:rPr>
        <w:t>Project Sponsors</w:t>
      </w:r>
      <w:r>
        <w:rPr>
          <w:rFonts w:cs="Times New Roman"/>
        </w:rPr>
        <w:t xml:space="preserve"> cannot</w:t>
      </w:r>
      <w:r w:rsidRPr="00771289">
        <w:rPr>
          <w:rFonts w:cs="Times New Roman"/>
        </w:rPr>
        <w:t xml:space="preserve"> acquire, rehabilitate, convert, lease, repair, dispose of, demolish, or construct property for a project under §574, or commit or expend HUD or local funds for such eligible activities under §574, until the responsible entity (as defined in §58.2) </w:t>
      </w:r>
      <w:r w:rsidR="00453B44">
        <w:rPr>
          <w:rFonts w:cs="Times New Roman"/>
        </w:rPr>
        <w:t>completes</w:t>
      </w:r>
      <w:r w:rsidRPr="00771289">
        <w:rPr>
          <w:rFonts w:cs="Times New Roman"/>
        </w:rPr>
        <w:t xml:space="preserve"> the environmental review</w:t>
      </w:r>
      <w:r w:rsidR="00453B44">
        <w:rPr>
          <w:rFonts w:cs="Times New Roman"/>
        </w:rPr>
        <w:t xml:space="preserve"> </w:t>
      </w:r>
      <w:r w:rsidRPr="00771289">
        <w:rPr>
          <w:rFonts w:cs="Times New Roman"/>
        </w:rPr>
        <w:t xml:space="preserve">required by §58 and </w:t>
      </w:r>
      <w:r w:rsidR="00453B44">
        <w:rPr>
          <w:rFonts w:cs="Times New Roman"/>
        </w:rPr>
        <w:t>approves the</w:t>
      </w:r>
      <w:r w:rsidR="00453B44" w:rsidRPr="00771289">
        <w:rPr>
          <w:rFonts w:cs="Times New Roman"/>
        </w:rPr>
        <w:t xml:space="preserve"> </w:t>
      </w:r>
      <w:r w:rsidRPr="00771289">
        <w:rPr>
          <w:rFonts w:cs="Times New Roman"/>
        </w:rPr>
        <w:t>Request for Release of Funds (</w:t>
      </w:r>
      <w:proofErr w:type="spellStart"/>
      <w:r w:rsidRPr="00771289">
        <w:rPr>
          <w:rFonts w:cs="Times New Roman"/>
        </w:rPr>
        <w:t>RROF</w:t>
      </w:r>
      <w:proofErr w:type="spellEnd"/>
      <w:r w:rsidRPr="00771289">
        <w:rPr>
          <w:rFonts w:cs="Times New Roman"/>
        </w:rPr>
        <w:t xml:space="preserve">) and Certification. HUD will not </w:t>
      </w:r>
      <w:r w:rsidRPr="00771289">
        <w:rPr>
          <w:rFonts w:cs="Times New Roman"/>
        </w:rPr>
        <w:lastRenderedPageBreak/>
        <w:t xml:space="preserve">release grant funds if DSHS commits </w:t>
      </w:r>
      <w:r w:rsidR="00D50AA7">
        <w:rPr>
          <w:rFonts w:cs="Times New Roman"/>
        </w:rPr>
        <w:t>such funds</w:t>
      </w:r>
      <w:r w:rsidRPr="00771289">
        <w:rPr>
          <w:rFonts w:cs="Times New Roman"/>
        </w:rPr>
        <w:t xml:space="preserve"> (i.e., </w:t>
      </w:r>
      <w:r w:rsidR="00D50AA7">
        <w:rPr>
          <w:rFonts w:cs="Times New Roman"/>
        </w:rPr>
        <w:t>allocates funds to pay or reimburse any incurred costs or expenditures</w:t>
      </w:r>
      <w:r w:rsidRPr="00771289">
        <w:rPr>
          <w:rFonts w:cs="Times New Roman"/>
        </w:rPr>
        <w:t xml:space="preserve">) before a Project Sponsor submits and HUD approves its </w:t>
      </w:r>
      <w:proofErr w:type="spellStart"/>
      <w:r w:rsidRPr="00771289">
        <w:rPr>
          <w:rFonts w:cs="Times New Roman"/>
        </w:rPr>
        <w:t>RROF</w:t>
      </w:r>
      <w:proofErr w:type="spellEnd"/>
      <w:r w:rsidRPr="00771289">
        <w:rPr>
          <w:rFonts w:cs="Times New Roman"/>
        </w:rPr>
        <w:t xml:space="preserve"> (</w:t>
      </w:r>
      <w:r w:rsidR="005104FB">
        <w:rPr>
          <w:rFonts w:cs="Times New Roman"/>
        </w:rPr>
        <w:t xml:space="preserve">if </w:t>
      </w:r>
      <w:r w:rsidRPr="00771289">
        <w:rPr>
          <w:rFonts w:cs="Times New Roman"/>
        </w:rPr>
        <w:t>required). Project Sponsors must supply all available, relevant information necessary for the responsible entity to perform for each property any environmental review required by §574.510. Project Sponsors must also carry out mitigating measures required by the responsible entity or select alternate eligible property.</w:t>
      </w:r>
    </w:p>
    <w:p w14:paraId="4225FD5F" w14:textId="509870FB" w:rsidR="00771289" w:rsidRDefault="00771289" w:rsidP="00066B7E">
      <w:pPr>
        <w:pStyle w:val="NoSpacing"/>
        <w:ind w:left="1440"/>
        <w:rPr>
          <w:rFonts w:cs="Times New Roman"/>
          <w:color w:val="C00000"/>
        </w:rPr>
      </w:pPr>
      <w:r w:rsidRPr="00066B7E">
        <w:rPr>
          <w:rFonts w:cs="Times New Roman"/>
          <w:b/>
          <w:color w:val="C00000"/>
        </w:rPr>
        <w:t>NOTE:</w:t>
      </w:r>
      <w:r w:rsidRPr="00066B7E">
        <w:rPr>
          <w:rFonts w:cs="Times New Roman"/>
          <w:color w:val="C00000"/>
        </w:rPr>
        <w:t xml:space="preserve"> DSHS Project Sponsors cannot use DSHS HOPWA Program funds to acquire, rehabilitate, convert, repair, dispose of, demolish, or construct property. DSHS Project Sponsors may only undertake activities </w:t>
      </w:r>
      <w:r w:rsidR="00B74129">
        <w:rPr>
          <w:rFonts w:cs="Times New Roman"/>
          <w:color w:val="C00000"/>
        </w:rPr>
        <w:t>considered</w:t>
      </w:r>
      <w:r w:rsidRPr="00066B7E">
        <w:rPr>
          <w:rFonts w:cs="Times New Roman"/>
          <w:color w:val="C00000"/>
        </w:rPr>
        <w:t xml:space="preserve"> exempt, categorically excluded not subject to §58.5, and categorically excluded subject to §58.5 where the proposed activity converted to exempt. Project Sponsors must consult with </w:t>
      </w:r>
      <w:r w:rsidR="00570DA0">
        <w:rPr>
          <w:rFonts w:cs="Times New Roman"/>
          <w:color w:val="C00000"/>
        </w:rPr>
        <w:t>their AA</w:t>
      </w:r>
      <w:r w:rsidRPr="00066B7E">
        <w:rPr>
          <w:rFonts w:cs="Times New Roman"/>
          <w:color w:val="C00000"/>
        </w:rPr>
        <w:t xml:space="preserve"> and </w:t>
      </w:r>
      <w:r w:rsidR="00570DA0">
        <w:rPr>
          <w:rFonts w:cs="Times New Roman"/>
          <w:color w:val="C00000"/>
        </w:rPr>
        <w:t>their AA</w:t>
      </w:r>
      <w:r w:rsidRPr="00066B7E">
        <w:rPr>
          <w:rFonts w:cs="Times New Roman"/>
          <w:color w:val="C00000"/>
        </w:rPr>
        <w:t xml:space="preserve"> must consult with DSHS to identify all environmental compliance actions for each proposed activity.</w:t>
      </w:r>
    </w:p>
    <w:p w14:paraId="36725F8D" w14:textId="77777777" w:rsidR="00BE4BAB" w:rsidRPr="00B12606" w:rsidRDefault="00BE4BAB" w:rsidP="00066B7E">
      <w:pPr>
        <w:pStyle w:val="NoSpacing"/>
        <w:rPr>
          <w:rFonts w:cs="Times New Roman"/>
        </w:rPr>
      </w:pPr>
    </w:p>
    <w:p w14:paraId="7A6115DA" w14:textId="7B4DE639" w:rsidR="00502EAC" w:rsidRDefault="00502EAC" w:rsidP="002A61C8">
      <w:pPr>
        <w:pStyle w:val="NoSpacing"/>
        <w:numPr>
          <w:ilvl w:val="1"/>
          <w:numId w:val="156"/>
        </w:numPr>
        <w:rPr>
          <w:rFonts w:cs="Times New Roman"/>
          <w:b/>
          <w:u w:val="single"/>
        </w:rPr>
      </w:pPr>
      <w:r>
        <w:rPr>
          <w:rFonts w:cs="Times New Roman"/>
          <w:b/>
          <w:u w:val="single"/>
        </w:rPr>
        <w:t>AA and Project Sponsor Required Local Policies and Procedures</w:t>
      </w:r>
    </w:p>
    <w:p w14:paraId="0535C832" w14:textId="06E82500" w:rsidR="00502EAC" w:rsidRDefault="00502EAC" w:rsidP="00502EAC">
      <w:pPr>
        <w:pStyle w:val="NoSpacing"/>
        <w:ind w:left="720"/>
        <w:rPr>
          <w:rFonts w:cs="Times New Roman"/>
        </w:rPr>
      </w:pPr>
      <w:r w:rsidRPr="00502EAC">
        <w:rPr>
          <w:rFonts w:cs="Times New Roman"/>
        </w:rPr>
        <w:t xml:space="preserve">As of this publication, </w:t>
      </w:r>
      <w:r w:rsidR="003D680E">
        <w:rPr>
          <w:rFonts w:cs="Times New Roman"/>
        </w:rPr>
        <w:t xml:space="preserve">DSHS requires </w:t>
      </w:r>
      <w:r w:rsidRPr="00502EAC">
        <w:rPr>
          <w:rFonts w:cs="Times New Roman"/>
        </w:rPr>
        <w:t>AA</w:t>
      </w:r>
      <w:r w:rsidR="003D680E">
        <w:rPr>
          <w:rFonts w:cs="Times New Roman"/>
        </w:rPr>
        <w:t>s</w:t>
      </w:r>
      <w:r w:rsidRPr="00502EAC">
        <w:rPr>
          <w:rFonts w:cs="Times New Roman"/>
        </w:rPr>
        <w:t xml:space="preserve"> and Project Sponsor</w:t>
      </w:r>
      <w:r w:rsidR="003D680E">
        <w:rPr>
          <w:rFonts w:cs="Times New Roman"/>
        </w:rPr>
        <w:t>s</w:t>
      </w:r>
      <w:r w:rsidR="009E2B60">
        <w:rPr>
          <w:rFonts w:cs="Times New Roman"/>
        </w:rPr>
        <w:t xml:space="preserve"> to have the following policies and procedures</w:t>
      </w:r>
      <w:r w:rsidRPr="00502EAC">
        <w:rPr>
          <w:rFonts w:cs="Times New Roman"/>
        </w:rPr>
        <w:t>:</w:t>
      </w:r>
    </w:p>
    <w:tbl>
      <w:tblPr>
        <w:tblStyle w:val="TableGrid"/>
        <w:tblW w:w="10108" w:type="dxa"/>
        <w:jc w:val="right"/>
        <w:tblBorders>
          <w:insideH w:val="none" w:sz="0" w:space="0" w:color="auto"/>
          <w:insideV w:val="none" w:sz="0" w:space="0" w:color="auto"/>
        </w:tblBorders>
        <w:tblLook w:val="04A0" w:firstRow="1" w:lastRow="0" w:firstColumn="1" w:lastColumn="0" w:noHBand="0" w:noVBand="1"/>
      </w:tblPr>
      <w:tblGrid>
        <w:gridCol w:w="4765"/>
        <w:gridCol w:w="5343"/>
      </w:tblGrid>
      <w:tr w:rsidR="00502EAC" w14:paraId="7FD02ABD" w14:textId="77777777" w:rsidTr="002A61C8">
        <w:trPr>
          <w:trHeight w:val="20"/>
          <w:jc w:val="right"/>
        </w:trPr>
        <w:tc>
          <w:tcPr>
            <w:tcW w:w="47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tcPr>
          <w:p w14:paraId="103E917A" w14:textId="71856ACE" w:rsidR="00502EAC" w:rsidRPr="00502EAC" w:rsidRDefault="00502EAC" w:rsidP="00D942E6">
            <w:pPr>
              <w:pStyle w:val="NoSpacing"/>
              <w:rPr>
                <w:rFonts w:cs="Times New Roman"/>
                <w:b/>
              </w:rPr>
            </w:pPr>
            <w:r w:rsidRPr="00502EAC">
              <w:rPr>
                <w:rFonts w:cs="Times New Roman"/>
                <w:b/>
              </w:rPr>
              <w:t xml:space="preserve">Administrative Agency </w:t>
            </w:r>
            <w:r w:rsidR="00D942E6">
              <w:rPr>
                <w:rFonts w:cs="Times New Roman"/>
                <w:b/>
              </w:rPr>
              <w:t>Policies and Procedures</w:t>
            </w:r>
          </w:p>
        </w:tc>
        <w:tc>
          <w:tcPr>
            <w:tcW w:w="53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tcPr>
          <w:p w14:paraId="5D6B7E11" w14:textId="397A3F3B" w:rsidR="00502EAC" w:rsidRPr="00502EAC" w:rsidRDefault="00502EAC" w:rsidP="00D942E6">
            <w:pPr>
              <w:pStyle w:val="NoSpacing"/>
              <w:rPr>
                <w:rFonts w:cs="Times New Roman"/>
                <w:b/>
              </w:rPr>
            </w:pPr>
            <w:r w:rsidRPr="00502EAC">
              <w:rPr>
                <w:rFonts w:cs="Times New Roman"/>
                <w:b/>
              </w:rPr>
              <w:t xml:space="preserve">Project Sponsor </w:t>
            </w:r>
            <w:r w:rsidR="00D942E6">
              <w:rPr>
                <w:rFonts w:cs="Times New Roman"/>
                <w:b/>
              </w:rPr>
              <w:t>Policies and Procedures</w:t>
            </w:r>
          </w:p>
        </w:tc>
      </w:tr>
      <w:tr w:rsidR="009E2B60" w14:paraId="0B96481B" w14:textId="77777777" w:rsidTr="002A61C8">
        <w:trPr>
          <w:trHeight w:val="20"/>
          <w:jc w:val="right"/>
        </w:trPr>
        <w:tc>
          <w:tcPr>
            <w:tcW w:w="4765"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tcPr>
          <w:p w14:paraId="5933FDA4" w14:textId="6D8321F0" w:rsidR="009E2B60" w:rsidRDefault="00335B4B" w:rsidP="003D680E">
            <w:pPr>
              <w:pStyle w:val="NoSpacing"/>
              <w:rPr>
                <w:rFonts w:cs="Times New Roman"/>
              </w:rPr>
            </w:pPr>
            <w:r>
              <w:rPr>
                <w:rFonts w:cs="Times New Roman"/>
              </w:rPr>
              <w:t>Anti-discrimination</w:t>
            </w:r>
          </w:p>
        </w:tc>
        <w:tc>
          <w:tcPr>
            <w:tcW w:w="5343"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tcPr>
          <w:p w14:paraId="0BF33072" w14:textId="7BA59CD9" w:rsidR="009E2B60" w:rsidRDefault="001E107A" w:rsidP="00502EAC">
            <w:pPr>
              <w:pStyle w:val="NoSpacing"/>
              <w:rPr>
                <w:rFonts w:cs="Times New Roman"/>
              </w:rPr>
            </w:pPr>
            <w:r>
              <w:rPr>
                <w:rFonts w:cs="Times New Roman"/>
              </w:rPr>
              <w:t>A</w:t>
            </w:r>
            <w:r w:rsidR="009E2B60">
              <w:rPr>
                <w:rFonts w:cs="Times New Roman"/>
              </w:rPr>
              <w:t>nti-discrimination and affirmative outreach</w:t>
            </w:r>
          </w:p>
        </w:tc>
      </w:tr>
      <w:tr w:rsidR="0072427F" w14:paraId="1DFE1138" w14:textId="77777777" w:rsidTr="002A61C8">
        <w:trPr>
          <w:trHeight w:val="20"/>
          <w:jc w:val="right"/>
        </w:trPr>
        <w:tc>
          <w:tcPr>
            <w:tcW w:w="476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2A697E51" w14:textId="303B8375" w:rsidR="0072427F" w:rsidRDefault="0072427F" w:rsidP="0072427F">
            <w:pPr>
              <w:pStyle w:val="NoSpacing"/>
              <w:rPr>
                <w:rFonts w:cs="Times New Roman"/>
              </w:rPr>
            </w:pPr>
            <w:r>
              <w:t>C</w:t>
            </w:r>
            <w:r w:rsidRPr="008B5A06">
              <w:t>onfidentiality</w:t>
            </w:r>
            <w:r>
              <w:t xml:space="preserve"> at the AA level</w:t>
            </w:r>
          </w:p>
        </w:tc>
        <w:tc>
          <w:tcPr>
            <w:tcW w:w="5343"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2EB983B2" w14:textId="0403C71E" w:rsidR="0072427F" w:rsidRDefault="0072427F" w:rsidP="0072427F">
            <w:pPr>
              <w:pStyle w:val="NoSpacing"/>
              <w:rPr>
                <w:rFonts w:cs="Times New Roman"/>
              </w:rPr>
            </w:pPr>
            <w:r>
              <w:rPr>
                <w:rFonts w:cs="Times New Roman"/>
              </w:rPr>
              <w:t>Confidentiality at the Project Sponsor level</w:t>
            </w:r>
          </w:p>
        </w:tc>
      </w:tr>
      <w:tr w:rsidR="0072427F" w14:paraId="19F77960" w14:textId="77777777" w:rsidTr="002A61C8">
        <w:trPr>
          <w:trHeight w:val="20"/>
          <w:jc w:val="right"/>
        </w:trPr>
        <w:tc>
          <w:tcPr>
            <w:tcW w:w="476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12C1F60E" w14:textId="251AC650" w:rsidR="0072427F" w:rsidRDefault="004E745B" w:rsidP="0072427F">
            <w:pPr>
              <w:pStyle w:val="NoSpacing"/>
              <w:rPr>
                <w:rFonts w:cs="Times New Roman"/>
              </w:rPr>
            </w:pPr>
            <w:r>
              <w:rPr>
                <w:rFonts w:cs="Times New Roman"/>
              </w:rPr>
              <w:t>Conflict of interest</w:t>
            </w:r>
          </w:p>
        </w:tc>
        <w:tc>
          <w:tcPr>
            <w:tcW w:w="5343"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36093308" w14:textId="7C7475CA" w:rsidR="0072427F" w:rsidRDefault="0072427F" w:rsidP="0072427F">
            <w:pPr>
              <w:pStyle w:val="NoSpacing"/>
              <w:rPr>
                <w:rFonts w:cs="Times New Roman"/>
              </w:rPr>
            </w:pPr>
            <w:r>
              <w:rPr>
                <w:rFonts w:cs="Times New Roman"/>
              </w:rPr>
              <w:t>Conflict of interest</w:t>
            </w:r>
          </w:p>
        </w:tc>
      </w:tr>
      <w:tr w:rsidR="005B3BB9" w14:paraId="164601D7" w14:textId="77777777" w:rsidTr="002A61C8">
        <w:trPr>
          <w:trHeight w:val="20"/>
          <w:jc w:val="right"/>
        </w:trPr>
        <w:tc>
          <w:tcPr>
            <w:tcW w:w="476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74EF0EF4" w14:textId="122B0944" w:rsidR="005B3BB9" w:rsidRDefault="005B3BB9" w:rsidP="005B3BB9">
            <w:pPr>
              <w:pStyle w:val="NoSpacing"/>
              <w:rPr>
                <w:rFonts w:cs="Times New Roman"/>
              </w:rPr>
            </w:pPr>
            <w:r>
              <w:t>Grievances of clients and bidders</w:t>
            </w:r>
          </w:p>
        </w:tc>
        <w:tc>
          <w:tcPr>
            <w:tcW w:w="5343"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121DA4C0" w14:textId="721A73C1" w:rsidR="005B3BB9" w:rsidRDefault="005B3BB9" w:rsidP="005B3BB9">
            <w:pPr>
              <w:pStyle w:val="NoSpacing"/>
              <w:rPr>
                <w:rFonts w:cs="Times New Roman"/>
              </w:rPr>
            </w:pPr>
            <w:r>
              <w:rPr>
                <w:rFonts w:cs="Times New Roman"/>
              </w:rPr>
              <w:t>Grievances</w:t>
            </w:r>
          </w:p>
        </w:tc>
      </w:tr>
      <w:tr w:rsidR="00E11B85" w14:paraId="1F1A39D3" w14:textId="77777777" w:rsidTr="002A61C8">
        <w:trPr>
          <w:trHeight w:val="20"/>
          <w:jc w:val="right"/>
        </w:trPr>
        <w:tc>
          <w:tcPr>
            <w:tcW w:w="476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252A6957" w14:textId="180F322C" w:rsidR="00E11B85" w:rsidRDefault="00E11B85" w:rsidP="00E11B85">
            <w:pPr>
              <w:pStyle w:val="NoSpacing"/>
              <w:rPr>
                <w:rFonts w:cs="Times New Roman"/>
              </w:rPr>
            </w:pPr>
            <w:r>
              <w:t>Monitoring</w:t>
            </w:r>
          </w:p>
        </w:tc>
        <w:tc>
          <w:tcPr>
            <w:tcW w:w="5343"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67180239" w14:textId="1A048BDE" w:rsidR="00E11B85" w:rsidRDefault="00E11B85" w:rsidP="00E11B85">
            <w:pPr>
              <w:pStyle w:val="NoSpacing"/>
              <w:rPr>
                <w:rFonts w:cs="Times New Roman"/>
              </w:rPr>
            </w:pPr>
            <w:r>
              <w:rPr>
                <w:rFonts w:cs="Times New Roman"/>
              </w:rPr>
              <w:t xml:space="preserve">Rent standard increase </w:t>
            </w:r>
            <w:r>
              <w:rPr>
                <w:rFonts w:cs="Times New Roman"/>
                <w:i/>
              </w:rPr>
              <w:t>(if applicable)</w:t>
            </w:r>
          </w:p>
        </w:tc>
      </w:tr>
      <w:tr w:rsidR="00E11B85" w14:paraId="28A111EC" w14:textId="77777777" w:rsidTr="002A61C8">
        <w:trPr>
          <w:trHeight w:val="20"/>
          <w:jc w:val="right"/>
        </w:trPr>
        <w:tc>
          <w:tcPr>
            <w:tcW w:w="476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295F2EEA" w14:textId="450E4D76" w:rsidR="00E11B85" w:rsidRDefault="00E11B85" w:rsidP="00E11B85">
            <w:pPr>
              <w:pStyle w:val="NoSpacing"/>
              <w:rPr>
                <w:rFonts w:cs="Times New Roman"/>
              </w:rPr>
            </w:pPr>
            <w:r>
              <w:rPr>
                <w:rFonts w:cs="Times New Roman"/>
              </w:rPr>
              <w:t>Procurement</w:t>
            </w:r>
          </w:p>
        </w:tc>
        <w:tc>
          <w:tcPr>
            <w:tcW w:w="5343"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439790F6" w14:textId="4B5491D5" w:rsidR="00E11B85" w:rsidRDefault="00E11B85" w:rsidP="00E11B85">
            <w:pPr>
              <w:pStyle w:val="NoSpacing"/>
              <w:rPr>
                <w:rFonts w:cs="Times New Roman"/>
              </w:rPr>
            </w:pPr>
            <w:r>
              <w:rPr>
                <w:rFonts w:cs="Times New Roman"/>
              </w:rPr>
              <w:t>Requiring application to HCV</w:t>
            </w:r>
            <w:r w:rsidR="002A4D51">
              <w:rPr>
                <w:rFonts w:cs="Times New Roman"/>
              </w:rPr>
              <w:t>P</w:t>
            </w:r>
            <w:r>
              <w:rPr>
                <w:rFonts w:cs="Times New Roman"/>
              </w:rPr>
              <w:t>/other affordable housing</w:t>
            </w:r>
          </w:p>
        </w:tc>
      </w:tr>
      <w:tr w:rsidR="00E11B85" w14:paraId="07DFECB2" w14:textId="77777777" w:rsidTr="002A61C8">
        <w:trPr>
          <w:trHeight w:val="20"/>
          <w:jc w:val="right"/>
        </w:trPr>
        <w:tc>
          <w:tcPr>
            <w:tcW w:w="476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334394A2" w14:textId="60D6395D" w:rsidR="00E11B85" w:rsidRDefault="00E11B85" w:rsidP="00E11B85">
            <w:pPr>
              <w:pStyle w:val="NoSpacing"/>
              <w:rPr>
                <w:rFonts w:cs="Times New Roman"/>
              </w:rPr>
            </w:pPr>
            <w:r>
              <w:t>Reallocations</w:t>
            </w:r>
          </w:p>
        </w:tc>
        <w:tc>
          <w:tcPr>
            <w:tcW w:w="5343"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42A9D1BC" w14:textId="5FA2FDDD" w:rsidR="00E11B85" w:rsidRDefault="006B3988" w:rsidP="00E11B85">
            <w:pPr>
              <w:pStyle w:val="NoSpacing"/>
              <w:rPr>
                <w:rFonts w:cs="Times New Roman"/>
              </w:rPr>
            </w:pPr>
            <w:r>
              <w:rPr>
                <w:rFonts w:cs="Times New Roman"/>
              </w:rPr>
              <w:t xml:space="preserve">Additional </w:t>
            </w:r>
            <w:r w:rsidR="006919D0">
              <w:rPr>
                <w:rFonts w:cs="Times New Roman"/>
              </w:rPr>
              <w:t xml:space="preserve">program </w:t>
            </w:r>
            <w:r w:rsidR="00E11B85">
              <w:rPr>
                <w:rFonts w:cs="Times New Roman"/>
              </w:rPr>
              <w:t xml:space="preserve">eligibility criteria </w:t>
            </w:r>
            <w:r w:rsidR="00E11B85" w:rsidRPr="001E107A">
              <w:rPr>
                <w:rFonts w:cs="Times New Roman"/>
                <w:i/>
              </w:rPr>
              <w:t>(if applicable)</w:t>
            </w:r>
          </w:p>
        </w:tc>
      </w:tr>
      <w:tr w:rsidR="00E11B85" w14:paraId="651CA6F1" w14:textId="77777777" w:rsidTr="002A61C8">
        <w:trPr>
          <w:trHeight w:val="20"/>
          <w:jc w:val="right"/>
        </w:trPr>
        <w:tc>
          <w:tcPr>
            <w:tcW w:w="476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6C00E2B1" w14:textId="61418FF5" w:rsidR="00E11B85" w:rsidRDefault="00E11B85" w:rsidP="00E11B85">
            <w:pPr>
              <w:pStyle w:val="NoSpacing"/>
              <w:rPr>
                <w:rFonts w:cs="Times New Roman"/>
              </w:rPr>
            </w:pPr>
          </w:p>
        </w:tc>
        <w:tc>
          <w:tcPr>
            <w:tcW w:w="5343"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79058DC5" w14:textId="7DDD5FB5" w:rsidR="00E11B85" w:rsidRDefault="006B3988" w:rsidP="00E11B85">
            <w:pPr>
              <w:pStyle w:val="NoSpacing"/>
              <w:rPr>
                <w:rFonts w:cs="Times New Roman"/>
              </w:rPr>
            </w:pPr>
            <w:r>
              <w:rPr>
                <w:rFonts w:cs="Times New Roman"/>
              </w:rPr>
              <w:t xml:space="preserve">Additional </w:t>
            </w:r>
            <w:r w:rsidR="00E11B85">
              <w:rPr>
                <w:rFonts w:cs="Times New Roman"/>
              </w:rPr>
              <w:t xml:space="preserve">service </w:t>
            </w:r>
            <w:r w:rsidR="009807E5">
              <w:rPr>
                <w:rFonts w:cs="Times New Roman"/>
              </w:rPr>
              <w:t xml:space="preserve">requirements </w:t>
            </w:r>
            <w:r w:rsidR="00E11B85" w:rsidRPr="001E107A">
              <w:rPr>
                <w:rFonts w:cs="Times New Roman"/>
                <w:i/>
              </w:rPr>
              <w:t>(if applicable)</w:t>
            </w:r>
          </w:p>
        </w:tc>
      </w:tr>
      <w:tr w:rsidR="00E11B85" w14:paraId="32C43322" w14:textId="77777777" w:rsidTr="002A61C8">
        <w:trPr>
          <w:trHeight w:val="20"/>
          <w:jc w:val="right"/>
        </w:trPr>
        <w:tc>
          <w:tcPr>
            <w:tcW w:w="476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12A17F7B" w14:textId="66F91A22" w:rsidR="00E11B85" w:rsidRDefault="00E11B85" w:rsidP="00E11B85">
            <w:pPr>
              <w:pStyle w:val="NoSpacing"/>
              <w:rPr>
                <w:rFonts w:cs="Times New Roman"/>
              </w:rPr>
            </w:pPr>
          </w:p>
        </w:tc>
        <w:tc>
          <w:tcPr>
            <w:tcW w:w="5343"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58A450FF" w14:textId="54539171" w:rsidR="00E11B85" w:rsidRDefault="00E11B85" w:rsidP="00E11B85">
            <w:pPr>
              <w:pStyle w:val="NoSpacing"/>
              <w:rPr>
                <w:rFonts w:cs="Times New Roman"/>
              </w:rPr>
            </w:pPr>
            <w:r>
              <w:rPr>
                <w:rFonts w:cs="Times New Roman"/>
              </w:rPr>
              <w:t>STRMU</w:t>
            </w:r>
            <w:r w:rsidR="00FB7F05">
              <w:rPr>
                <w:rFonts w:cs="Times New Roman"/>
              </w:rPr>
              <w:t>, STSH,</w:t>
            </w:r>
            <w:r>
              <w:rPr>
                <w:rFonts w:cs="Times New Roman"/>
              </w:rPr>
              <w:t xml:space="preserve"> and other local service caps </w:t>
            </w:r>
            <w:r w:rsidRPr="00D942E6">
              <w:rPr>
                <w:rFonts w:cs="Times New Roman"/>
                <w:i/>
              </w:rPr>
              <w:t>(if applicable)</w:t>
            </w:r>
          </w:p>
        </w:tc>
      </w:tr>
      <w:tr w:rsidR="00E11B85" w14:paraId="2E2F715E" w14:textId="77777777" w:rsidTr="002A61C8">
        <w:trPr>
          <w:trHeight w:val="20"/>
          <w:jc w:val="right"/>
        </w:trPr>
        <w:tc>
          <w:tcPr>
            <w:tcW w:w="476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085873BB" w14:textId="1EC97A83" w:rsidR="00E11B85" w:rsidRDefault="00E11B85" w:rsidP="00E11B85">
            <w:pPr>
              <w:pStyle w:val="NoSpacing"/>
              <w:rPr>
                <w:rFonts w:cs="Times New Roman"/>
              </w:rPr>
            </w:pPr>
          </w:p>
        </w:tc>
        <w:tc>
          <w:tcPr>
            <w:tcW w:w="5343"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445C90E5" w14:textId="7654E944" w:rsidR="00E11B85" w:rsidRPr="00D77026" w:rsidRDefault="00E11B85" w:rsidP="00E11B85">
            <w:pPr>
              <w:pStyle w:val="NoSpacing"/>
              <w:rPr>
                <w:rFonts w:cs="Times New Roman"/>
              </w:rPr>
            </w:pPr>
            <w:r>
              <w:rPr>
                <w:rFonts w:cs="Times New Roman"/>
              </w:rPr>
              <w:t>Survivor grace periods</w:t>
            </w:r>
          </w:p>
        </w:tc>
      </w:tr>
      <w:tr w:rsidR="00E11B85" w14:paraId="3074A6E1" w14:textId="77777777" w:rsidTr="002A61C8">
        <w:trPr>
          <w:trHeight w:val="20"/>
          <w:jc w:val="right"/>
        </w:trPr>
        <w:tc>
          <w:tcPr>
            <w:tcW w:w="476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6ABF51D8" w14:textId="36A026F7" w:rsidR="00E11B85" w:rsidRDefault="00E11B85" w:rsidP="00E11B85">
            <w:pPr>
              <w:pStyle w:val="NoSpacing"/>
              <w:rPr>
                <w:rFonts w:cs="Times New Roman"/>
              </w:rPr>
            </w:pPr>
          </w:p>
        </w:tc>
        <w:tc>
          <w:tcPr>
            <w:tcW w:w="5343"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48B3B006" w14:textId="0F673E3C" w:rsidR="00E11B85" w:rsidRDefault="00E11B85" w:rsidP="00E11B85">
            <w:pPr>
              <w:pStyle w:val="NoSpacing"/>
              <w:rPr>
                <w:rFonts w:cs="Times New Roman"/>
              </w:rPr>
            </w:pPr>
            <w:r>
              <w:rPr>
                <w:rFonts w:cs="Times New Roman"/>
              </w:rPr>
              <w:t>Termination</w:t>
            </w:r>
          </w:p>
        </w:tc>
      </w:tr>
      <w:tr w:rsidR="00E11B85" w14:paraId="0DB33E3E" w14:textId="77777777" w:rsidTr="002A61C8">
        <w:trPr>
          <w:trHeight w:val="20"/>
          <w:jc w:val="right"/>
        </w:trPr>
        <w:tc>
          <w:tcPr>
            <w:tcW w:w="4765" w:type="dxa"/>
            <w:tcBorders>
              <w:top w:val="nil"/>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tcPr>
          <w:p w14:paraId="6ED164C8" w14:textId="77777777" w:rsidR="00E11B85" w:rsidRDefault="00E11B85" w:rsidP="00E11B85">
            <w:pPr>
              <w:pStyle w:val="NoSpacing"/>
              <w:rPr>
                <w:rFonts w:cs="Times New Roman"/>
              </w:rPr>
            </w:pPr>
          </w:p>
        </w:tc>
        <w:tc>
          <w:tcPr>
            <w:tcW w:w="5343" w:type="dxa"/>
            <w:tcBorders>
              <w:top w:val="nil"/>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tcPr>
          <w:p w14:paraId="72143E9F" w14:textId="3CECB462" w:rsidR="00E11B85" w:rsidRDefault="00E11B85" w:rsidP="00E11B85">
            <w:pPr>
              <w:pStyle w:val="NoSpacing"/>
              <w:rPr>
                <w:rFonts w:cs="Times New Roman"/>
              </w:rPr>
            </w:pPr>
            <w:r>
              <w:rPr>
                <w:rFonts w:cs="Times New Roman"/>
              </w:rPr>
              <w:t>Waitlists for TBRA, STRMU, and FBHA services</w:t>
            </w:r>
          </w:p>
        </w:tc>
      </w:tr>
    </w:tbl>
    <w:p w14:paraId="261DC982" w14:textId="408252E2" w:rsidR="00D160D2" w:rsidRDefault="00D160D2" w:rsidP="00DE48B8">
      <w:pPr>
        <w:pStyle w:val="NoSpacing"/>
      </w:pPr>
    </w:p>
    <w:p w14:paraId="6755FF19" w14:textId="56BC4687" w:rsidR="001A41AA" w:rsidRPr="008A2696" w:rsidRDefault="001A41AA" w:rsidP="00B109D9">
      <w:pPr>
        <w:pStyle w:val="Heading1"/>
      </w:pPr>
      <w:bookmarkStart w:id="5" w:name="_Toc140755460"/>
      <w:r w:rsidRPr="008A2696">
        <w:t>Section 6. Confidentiality</w:t>
      </w:r>
      <w:bookmarkEnd w:id="5"/>
    </w:p>
    <w:p w14:paraId="69285877" w14:textId="77777777" w:rsidR="001A41AA" w:rsidRPr="00786AC9" w:rsidRDefault="001A41AA" w:rsidP="00754E9B">
      <w:pPr>
        <w:pStyle w:val="NoSpacing"/>
        <w:numPr>
          <w:ilvl w:val="1"/>
          <w:numId w:val="31"/>
        </w:numPr>
        <w:rPr>
          <w:rFonts w:cs="Times New Roman"/>
          <w:b/>
          <w:u w:val="single"/>
        </w:rPr>
      </w:pPr>
      <w:r w:rsidRPr="00786AC9">
        <w:rPr>
          <w:rFonts w:cs="Times New Roman"/>
          <w:b/>
          <w:u w:val="single"/>
        </w:rPr>
        <w:t>Ensure Confidentiality</w:t>
      </w:r>
    </w:p>
    <w:p w14:paraId="4BD6CD22" w14:textId="6D5ACBAE" w:rsidR="001A41AA" w:rsidRDefault="001A41AA" w:rsidP="00850524">
      <w:pPr>
        <w:pStyle w:val="NoSpacing"/>
        <w:ind w:left="720"/>
        <w:rPr>
          <w:rFonts w:cs="Times New Roman"/>
        </w:rPr>
      </w:pPr>
      <w:r w:rsidRPr="008026D4">
        <w:rPr>
          <w:rFonts w:cs="Times New Roman"/>
        </w:rPr>
        <w:t xml:space="preserve">Per 24 CFR §574.440, </w:t>
      </w:r>
      <w:r w:rsidR="008A2E75">
        <w:rPr>
          <w:rFonts w:cs="Times New Roman"/>
        </w:rPr>
        <w:t xml:space="preserve">AAs and </w:t>
      </w:r>
      <w:r w:rsidRPr="008026D4">
        <w:rPr>
          <w:rFonts w:cs="Times New Roman"/>
        </w:rPr>
        <w:t xml:space="preserve">Project Sponsors must ensure the confidentiality of </w:t>
      </w:r>
      <w:r w:rsidR="006C1A7F">
        <w:rPr>
          <w:rFonts w:cs="Times New Roman"/>
        </w:rPr>
        <w:t>client</w:t>
      </w:r>
      <w:r w:rsidR="006C1A7F" w:rsidRPr="008026D4">
        <w:rPr>
          <w:rFonts w:cs="Times New Roman"/>
        </w:rPr>
        <w:t xml:space="preserve"> </w:t>
      </w:r>
      <w:r w:rsidRPr="008026D4">
        <w:rPr>
          <w:rFonts w:cs="Times New Roman"/>
        </w:rPr>
        <w:t>records by developing a comprehensive local program policy for confidentiality and consistently following the procedures.</w:t>
      </w:r>
      <w:r w:rsidR="00817A7B">
        <w:rPr>
          <w:rFonts w:cs="Times New Roman"/>
        </w:rPr>
        <w:t xml:space="preserve"> </w:t>
      </w:r>
      <w:r w:rsidRPr="008026D4">
        <w:rPr>
          <w:rFonts w:cs="Times New Roman"/>
        </w:rPr>
        <w:t xml:space="preserve">The policy must define confidential data and protected health information (PHI), describe </w:t>
      </w:r>
      <w:r w:rsidR="00685AD8">
        <w:rPr>
          <w:rFonts w:cs="Times New Roman"/>
        </w:rPr>
        <w:t xml:space="preserve">protocols for maintaining </w:t>
      </w:r>
      <w:r w:rsidR="005104FB">
        <w:rPr>
          <w:rFonts w:cs="Times New Roman"/>
        </w:rPr>
        <w:t>confidentiality</w:t>
      </w:r>
      <w:r w:rsidRPr="008026D4">
        <w:rPr>
          <w:rFonts w:cs="Times New Roman"/>
        </w:rPr>
        <w:t>, and outline breach procedures, notification requirements, mitigation activities, sanction levels</w:t>
      </w:r>
      <w:r w:rsidR="00DC2BD9">
        <w:rPr>
          <w:rFonts w:cs="Times New Roman"/>
        </w:rPr>
        <w:t xml:space="preserve">, and </w:t>
      </w:r>
      <w:r w:rsidR="003D125B">
        <w:rPr>
          <w:rFonts w:cs="Times New Roman"/>
        </w:rPr>
        <w:t xml:space="preserve">requirements for </w:t>
      </w:r>
      <w:r w:rsidR="00DC2BD9">
        <w:rPr>
          <w:rFonts w:cs="Times New Roman"/>
        </w:rPr>
        <w:t xml:space="preserve">duty to </w:t>
      </w:r>
      <w:r w:rsidR="003D125B">
        <w:rPr>
          <w:rFonts w:cs="Times New Roman"/>
        </w:rPr>
        <w:t>warn or report</w:t>
      </w:r>
      <w:r w:rsidRPr="008026D4">
        <w:rPr>
          <w:rFonts w:cs="Times New Roman"/>
        </w:rPr>
        <w:t xml:space="preserve">. </w:t>
      </w:r>
      <w:r w:rsidR="00817A7B">
        <w:rPr>
          <w:rFonts w:cs="Times New Roman"/>
        </w:rPr>
        <w:t>T</w:t>
      </w:r>
      <w:r w:rsidRPr="008026D4">
        <w:rPr>
          <w:rFonts w:cs="Times New Roman"/>
        </w:rPr>
        <w:t xml:space="preserve">he policy </w:t>
      </w:r>
      <w:r w:rsidR="00817A7B">
        <w:rPr>
          <w:rFonts w:cs="Times New Roman"/>
        </w:rPr>
        <w:t>must</w:t>
      </w:r>
      <w:r w:rsidR="00817A7B" w:rsidRPr="008026D4">
        <w:rPr>
          <w:rFonts w:cs="Times New Roman"/>
        </w:rPr>
        <w:t xml:space="preserve"> </w:t>
      </w:r>
      <w:r w:rsidRPr="008026D4">
        <w:rPr>
          <w:rFonts w:cs="Times New Roman"/>
        </w:rPr>
        <w:t>provide a confidentiality training schedule (annually at</w:t>
      </w:r>
      <w:r w:rsidR="006C1A7F">
        <w:rPr>
          <w:rFonts w:cs="Times New Roman"/>
        </w:rPr>
        <w:t xml:space="preserve"> </w:t>
      </w:r>
      <w:r w:rsidRPr="008026D4">
        <w:rPr>
          <w:rFonts w:cs="Times New Roman"/>
        </w:rPr>
        <w:t>minimum) and designate a staff member as responsible for privacy and security (</w:t>
      </w:r>
      <w:r w:rsidR="009C621C" w:rsidRPr="008026D4">
        <w:rPr>
          <w:rFonts w:cs="Times New Roman"/>
        </w:rPr>
        <w:t>e.g.,</w:t>
      </w:r>
      <w:r w:rsidRPr="008026D4">
        <w:rPr>
          <w:rFonts w:cs="Times New Roman"/>
        </w:rPr>
        <w:t xml:space="preserve"> Privacy or Security Officer, Overall Responsible Party [ORP] or Local Responsible Party [LRP], Privacy Liaison, etc.). The policy should explain measures the </w:t>
      </w:r>
      <w:r w:rsidR="0020773B">
        <w:rPr>
          <w:rFonts w:cs="Times New Roman"/>
        </w:rPr>
        <w:t xml:space="preserve">AA and </w:t>
      </w:r>
      <w:r w:rsidRPr="008026D4">
        <w:rPr>
          <w:rFonts w:cs="Times New Roman"/>
        </w:rPr>
        <w:t>Project Sponsor take to prevent unintentional disclosures, such as via</w:t>
      </w:r>
      <w:r w:rsidR="00B44E3E">
        <w:rPr>
          <w:rFonts w:cs="Times New Roman"/>
        </w:rPr>
        <w:t xml:space="preserve"> agency</w:t>
      </w:r>
      <w:r w:rsidRPr="008026D4">
        <w:rPr>
          <w:rFonts w:cs="Times New Roman"/>
        </w:rPr>
        <w:t xml:space="preserve"> logos or other identifying information on checks, letters, notifications, forms, envelopes, etc. that could </w:t>
      </w:r>
      <w:r w:rsidR="00C62632" w:rsidRPr="008026D4">
        <w:rPr>
          <w:rFonts w:cs="Times New Roman"/>
        </w:rPr>
        <w:t>imply</w:t>
      </w:r>
      <w:r w:rsidRPr="008026D4">
        <w:rPr>
          <w:rFonts w:cs="Times New Roman"/>
        </w:rPr>
        <w:t xml:space="preserve"> a household member liv</w:t>
      </w:r>
      <w:r w:rsidR="005104FB">
        <w:rPr>
          <w:rFonts w:cs="Times New Roman"/>
        </w:rPr>
        <w:t>es</w:t>
      </w:r>
      <w:r w:rsidRPr="008026D4">
        <w:rPr>
          <w:rFonts w:cs="Times New Roman"/>
        </w:rPr>
        <w:t xml:space="preserve"> with HIV. For example, </w:t>
      </w:r>
      <w:r w:rsidR="006318BB">
        <w:rPr>
          <w:rFonts w:cs="Times New Roman"/>
        </w:rPr>
        <w:t>Project Sponsors could accomplish this</w:t>
      </w:r>
      <w:r w:rsidRPr="008026D4">
        <w:rPr>
          <w:rFonts w:cs="Times New Roman"/>
        </w:rPr>
        <w:t xml:space="preserve"> by establishing a </w:t>
      </w:r>
      <w:r w:rsidR="008B5649">
        <w:rPr>
          <w:rFonts w:cs="Times New Roman"/>
        </w:rPr>
        <w:t>housing assistance checking account</w:t>
      </w:r>
      <w:r w:rsidRPr="008026D4">
        <w:rPr>
          <w:rFonts w:cs="Times New Roman"/>
        </w:rPr>
        <w:t xml:space="preserve"> using a neutral account name such as “Hous</w:t>
      </w:r>
      <w:r w:rsidR="00B24C91">
        <w:rPr>
          <w:rFonts w:cs="Times New Roman"/>
        </w:rPr>
        <w:t>ing Fund” or “Assistance Fund.”</w:t>
      </w:r>
      <w:r w:rsidR="00817A7B">
        <w:rPr>
          <w:rFonts w:cs="Times New Roman"/>
        </w:rPr>
        <w:t xml:space="preserve"> Additionally, </w:t>
      </w:r>
      <w:r w:rsidR="008A2E75">
        <w:rPr>
          <w:rFonts w:cs="Times New Roman"/>
        </w:rPr>
        <w:t xml:space="preserve">the policy must comply with the </w:t>
      </w:r>
      <w:hyperlink r:id="rId30" w:history="1">
        <w:r w:rsidR="001F5B39" w:rsidRPr="001F5B39">
          <w:rPr>
            <w:rStyle w:val="Hyperlink"/>
            <w:rFonts w:cs="Times New Roman"/>
          </w:rPr>
          <w:t>HOPWA Confidentiality User Guide</w:t>
        </w:r>
      </w:hyperlink>
      <w:r w:rsidR="001F5B39">
        <w:rPr>
          <w:rFonts w:cs="Times New Roman"/>
        </w:rPr>
        <w:t xml:space="preserve"> and the </w:t>
      </w:r>
      <w:r w:rsidR="008A2E75">
        <w:rPr>
          <w:rFonts w:cs="Times New Roman"/>
        </w:rPr>
        <w:t xml:space="preserve">DSHS HIV/STD </w:t>
      </w:r>
      <w:r w:rsidR="00076E57">
        <w:rPr>
          <w:rFonts w:cs="Times New Roman"/>
        </w:rPr>
        <w:t xml:space="preserve">Section </w:t>
      </w:r>
      <w:r w:rsidR="0020773B">
        <w:rPr>
          <w:rFonts w:cs="Times New Roman"/>
        </w:rPr>
        <w:t xml:space="preserve">Security </w:t>
      </w:r>
      <w:r w:rsidR="008A2E75">
        <w:rPr>
          <w:rFonts w:cs="Times New Roman"/>
        </w:rPr>
        <w:t xml:space="preserve">Policies and Procedures </w:t>
      </w:r>
      <w:r w:rsidR="00F320FF">
        <w:rPr>
          <w:rFonts w:cs="Times New Roman"/>
        </w:rPr>
        <w:t>located</w:t>
      </w:r>
      <w:r w:rsidR="00E83027">
        <w:rPr>
          <w:rFonts w:cs="Times New Roman"/>
        </w:rPr>
        <w:t xml:space="preserve"> </w:t>
      </w:r>
      <w:hyperlink r:id="rId31" w:history="1">
        <w:r w:rsidR="00E83027">
          <w:rPr>
            <w:rStyle w:val="Hyperlink"/>
            <w:rFonts w:cs="Times New Roman"/>
          </w:rPr>
          <w:t>here</w:t>
        </w:r>
      </w:hyperlink>
      <w:r w:rsidR="008A2E75">
        <w:rPr>
          <w:rFonts w:cs="Times New Roman"/>
        </w:rPr>
        <w:t>.</w:t>
      </w:r>
    </w:p>
    <w:p w14:paraId="5CC86C4D" w14:textId="77777777" w:rsidR="00BE4BAB" w:rsidRDefault="00BE4BAB" w:rsidP="00850524">
      <w:pPr>
        <w:pStyle w:val="NoSpacing"/>
        <w:ind w:left="720"/>
        <w:rPr>
          <w:rFonts w:cs="Times New Roman"/>
        </w:rPr>
      </w:pPr>
    </w:p>
    <w:p w14:paraId="0A886D84" w14:textId="73E8B2BD" w:rsidR="001A41AA" w:rsidRPr="00786AC9" w:rsidRDefault="001A41AA" w:rsidP="00754E9B">
      <w:pPr>
        <w:pStyle w:val="NoSpacing"/>
        <w:numPr>
          <w:ilvl w:val="1"/>
          <w:numId w:val="31"/>
        </w:numPr>
        <w:rPr>
          <w:rFonts w:cs="Times New Roman"/>
          <w:b/>
          <w:u w:val="single"/>
        </w:rPr>
      </w:pPr>
      <w:r w:rsidRPr="00786AC9">
        <w:rPr>
          <w:rFonts w:cs="Times New Roman"/>
          <w:b/>
          <w:u w:val="single"/>
        </w:rPr>
        <w:t>Consent to Release and</w:t>
      </w:r>
      <w:r w:rsidR="00332D31">
        <w:rPr>
          <w:rFonts w:cs="Times New Roman"/>
          <w:b/>
          <w:u w:val="single"/>
        </w:rPr>
        <w:t>/or</w:t>
      </w:r>
      <w:r w:rsidRPr="00786AC9">
        <w:rPr>
          <w:rFonts w:cs="Times New Roman"/>
          <w:b/>
          <w:u w:val="single"/>
        </w:rPr>
        <w:t xml:space="preserve"> Obtain Confidential Information</w:t>
      </w:r>
    </w:p>
    <w:p w14:paraId="11BEBC0D" w14:textId="6BCF3DF6" w:rsidR="006F014B" w:rsidRDefault="001A41AA" w:rsidP="00850524">
      <w:pPr>
        <w:pStyle w:val="NoSpacing"/>
        <w:ind w:left="720"/>
        <w:rPr>
          <w:rFonts w:cs="Times New Roman"/>
        </w:rPr>
      </w:pPr>
      <w:r w:rsidRPr="008026D4">
        <w:rPr>
          <w:rFonts w:cs="Times New Roman"/>
        </w:rPr>
        <w:t xml:space="preserve">Prior to exchanging </w:t>
      </w:r>
      <w:r w:rsidR="00A177C2">
        <w:rPr>
          <w:rFonts w:cs="Times New Roman"/>
        </w:rPr>
        <w:t xml:space="preserve">confidential </w:t>
      </w:r>
      <w:r w:rsidRPr="008026D4">
        <w:rPr>
          <w:rFonts w:cs="Times New Roman"/>
        </w:rPr>
        <w:t xml:space="preserve">information with any other agency or entity, Project Sponsors must first secure a release of information from the client. </w:t>
      </w:r>
      <w:r w:rsidR="005338D0">
        <w:rPr>
          <w:rFonts w:cs="Times New Roman"/>
        </w:rPr>
        <w:t>Applicable laws may require exceptions to client disclosure.</w:t>
      </w:r>
      <w:r w:rsidR="006318BB">
        <w:rPr>
          <w:rFonts w:cs="Times New Roman"/>
        </w:rPr>
        <w:t xml:space="preserve"> Clients must complete and sign </w:t>
      </w:r>
      <w:r w:rsidRPr="003F5DA4">
        <w:rPr>
          <w:rFonts w:cs="Times New Roman"/>
          <w:b/>
          <w:color w:val="5B9BD5" w:themeColor="accent1"/>
        </w:rPr>
        <w:t>Form F: Consent to Release and/or Obtain Confidential Information</w:t>
      </w:r>
      <w:r w:rsidRPr="008026D4">
        <w:rPr>
          <w:rFonts w:cs="Times New Roman"/>
        </w:rPr>
        <w:t xml:space="preserve"> </w:t>
      </w:r>
      <w:r w:rsidR="00CB2FF6">
        <w:rPr>
          <w:rFonts w:cs="Times New Roman"/>
        </w:rPr>
        <w:t>identifying</w:t>
      </w:r>
      <w:r w:rsidRPr="008026D4">
        <w:rPr>
          <w:rFonts w:cs="Times New Roman"/>
        </w:rPr>
        <w:t xml:space="preserve"> specific individuals or organizations to which </w:t>
      </w:r>
      <w:r w:rsidR="002238DA">
        <w:rPr>
          <w:rFonts w:cs="Times New Roman"/>
        </w:rPr>
        <w:t>Project Sponsors may disclose confidential information</w:t>
      </w:r>
      <w:r w:rsidRPr="008026D4">
        <w:rPr>
          <w:rFonts w:cs="Times New Roman"/>
        </w:rPr>
        <w:t xml:space="preserve"> and </w:t>
      </w:r>
      <w:r w:rsidR="002238DA">
        <w:rPr>
          <w:rFonts w:cs="Times New Roman"/>
        </w:rPr>
        <w:t>clients must resign Form F annually at minimum</w:t>
      </w:r>
      <w:r w:rsidRPr="008026D4">
        <w:rPr>
          <w:rFonts w:cs="Times New Roman"/>
        </w:rPr>
        <w:t xml:space="preserve">. In the absence of specific written authorization, </w:t>
      </w:r>
      <w:r w:rsidR="002238DA" w:rsidRPr="008026D4">
        <w:rPr>
          <w:rFonts w:cs="Times New Roman"/>
        </w:rPr>
        <w:t xml:space="preserve">the Project Sponsor </w:t>
      </w:r>
      <w:r w:rsidR="002238DA">
        <w:rPr>
          <w:rFonts w:cs="Times New Roman"/>
        </w:rPr>
        <w:t>cannot</w:t>
      </w:r>
      <w:r w:rsidR="002238DA" w:rsidRPr="008026D4">
        <w:rPr>
          <w:rFonts w:cs="Times New Roman"/>
        </w:rPr>
        <w:t xml:space="preserve"> disclose </w:t>
      </w:r>
      <w:r w:rsidRPr="008026D4">
        <w:rPr>
          <w:rFonts w:cs="Times New Roman"/>
        </w:rPr>
        <w:t xml:space="preserve">information identifying an individual’s HIV status to </w:t>
      </w:r>
      <w:r w:rsidR="003F03DD">
        <w:rPr>
          <w:rFonts w:cs="Times New Roman"/>
        </w:rPr>
        <w:t>any individual or organization.</w:t>
      </w:r>
    </w:p>
    <w:p w14:paraId="7C525431" w14:textId="3B6FB66D" w:rsidR="00FF2471" w:rsidRPr="00DE48B8" w:rsidRDefault="00BE7AE5" w:rsidP="00DE48B8">
      <w:pPr>
        <w:pStyle w:val="NoSpacing"/>
        <w:ind w:left="720"/>
        <w:rPr>
          <w:sz w:val="10"/>
          <w:szCs w:val="10"/>
        </w:rPr>
      </w:pPr>
      <w:r w:rsidRPr="00BE7AE5">
        <w:rPr>
          <w:rFonts w:cs="Times New Roman"/>
          <w:b/>
          <w:color w:val="C00000"/>
        </w:rPr>
        <w:t>NOTE:</w:t>
      </w:r>
      <w:r w:rsidRPr="00BE7AE5">
        <w:rPr>
          <w:rFonts w:cs="Times New Roman"/>
          <w:color w:val="C00000"/>
        </w:rPr>
        <w:t xml:space="preserve"> </w:t>
      </w:r>
      <w:r w:rsidR="00464CA3">
        <w:rPr>
          <w:rFonts w:cs="Times New Roman"/>
          <w:color w:val="C00000"/>
        </w:rPr>
        <w:t xml:space="preserve">Project Sponsors may </w:t>
      </w:r>
      <w:r w:rsidRPr="00FF2471">
        <w:rPr>
          <w:rFonts w:cs="Times New Roman"/>
          <w:color w:val="C00000"/>
        </w:rPr>
        <w:t xml:space="preserve">use their preferred </w:t>
      </w:r>
      <w:r w:rsidR="00E71863" w:rsidRPr="00FF2471">
        <w:rPr>
          <w:rFonts w:cs="Times New Roman"/>
          <w:color w:val="C00000"/>
        </w:rPr>
        <w:t xml:space="preserve">Health Insurance Portability and Accountability Act (HIPAA)-compliant </w:t>
      </w:r>
      <w:r w:rsidRPr="00FF2471">
        <w:rPr>
          <w:rFonts w:cs="Times New Roman"/>
          <w:color w:val="C00000"/>
        </w:rPr>
        <w:t>release of information</w:t>
      </w:r>
      <w:r w:rsidR="00E71863" w:rsidRPr="00FF2471">
        <w:rPr>
          <w:rFonts w:cs="Times New Roman"/>
          <w:color w:val="C00000"/>
        </w:rPr>
        <w:t xml:space="preserve"> form</w:t>
      </w:r>
      <w:r w:rsidR="005104FB">
        <w:rPr>
          <w:rFonts w:cs="Times New Roman"/>
          <w:color w:val="C00000"/>
        </w:rPr>
        <w:t xml:space="preserve"> instead of Form F</w:t>
      </w:r>
      <w:r w:rsidRPr="00FF2471">
        <w:rPr>
          <w:rFonts w:cs="Times New Roman"/>
          <w:color w:val="C00000"/>
        </w:rPr>
        <w:t>.</w:t>
      </w:r>
      <w:r w:rsidR="00FF2471" w:rsidRPr="00DE48B8">
        <w:rPr>
          <w:sz w:val="10"/>
          <w:szCs w:val="10"/>
        </w:rPr>
        <w:br w:type="page"/>
      </w:r>
    </w:p>
    <w:p w14:paraId="6FCC39D6" w14:textId="0FD7D805" w:rsidR="00FF2471" w:rsidRPr="00786AC9" w:rsidRDefault="00FF2471" w:rsidP="00FF2471">
      <w:pPr>
        <w:pStyle w:val="NoSpacing"/>
        <w:numPr>
          <w:ilvl w:val="1"/>
          <w:numId w:val="31"/>
        </w:numPr>
        <w:rPr>
          <w:rFonts w:cs="Times New Roman"/>
          <w:b/>
          <w:u w:val="single"/>
        </w:rPr>
      </w:pPr>
      <w:r>
        <w:rPr>
          <w:rFonts w:cs="Times New Roman"/>
          <w:b/>
          <w:u w:val="single"/>
        </w:rPr>
        <w:lastRenderedPageBreak/>
        <w:t>Privacy and Security</w:t>
      </w:r>
    </w:p>
    <w:p w14:paraId="46190B0C" w14:textId="2C1A0DCB" w:rsidR="00FF2471" w:rsidRDefault="00511868" w:rsidP="00850524">
      <w:pPr>
        <w:pStyle w:val="NoSpacing"/>
        <w:ind w:left="720"/>
        <w:rPr>
          <w:rFonts w:cs="Times New Roman"/>
        </w:rPr>
      </w:pPr>
      <w:r>
        <w:rPr>
          <w:rFonts w:cs="Times New Roman"/>
        </w:rPr>
        <w:t>AAs and Project Sponsors must d</w:t>
      </w:r>
      <w:r w:rsidRPr="00511868">
        <w:rPr>
          <w:rFonts w:cs="Times New Roman"/>
        </w:rPr>
        <w:t>esignate and identify a HIPAA Privacy Officer</w:t>
      </w:r>
      <w:r>
        <w:rPr>
          <w:rFonts w:cs="Times New Roman"/>
        </w:rPr>
        <w:t xml:space="preserve"> </w:t>
      </w:r>
      <w:r w:rsidRPr="00511868">
        <w:rPr>
          <w:rFonts w:cs="Times New Roman"/>
        </w:rPr>
        <w:t>who develop</w:t>
      </w:r>
      <w:r w:rsidR="00202321">
        <w:rPr>
          <w:rFonts w:cs="Times New Roman"/>
        </w:rPr>
        <w:t>s</w:t>
      </w:r>
      <w:r w:rsidRPr="00511868">
        <w:rPr>
          <w:rFonts w:cs="Times New Roman"/>
        </w:rPr>
        <w:t xml:space="preserve"> and impleme</w:t>
      </w:r>
      <w:r w:rsidR="00202321">
        <w:rPr>
          <w:rFonts w:cs="Times New Roman"/>
        </w:rPr>
        <w:t xml:space="preserve">nts </w:t>
      </w:r>
      <w:r>
        <w:rPr>
          <w:rFonts w:cs="Times New Roman"/>
        </w:rPr>
        <w:t xml:space="preserve">federal and state </w:t>
      </w:r>
      <w:r w:rsidRPr="00511868">
        <w:rPr>
          <w:rFonts w:cs="Times New Roman"/>
        </w:rPr>
        <w:t>privacy and security requirements.</w:t>
      </w:r>
      <w:r>
        <w:rPr>
          <w:rFonts w:cs="Times New Roman"/>
        </w:rPr>
        <w:t xml:space="preserve"> AAs and Project Sponsors must also d</w:t>
      </w:r>
      <w:r w:rsidRPr="00511868">
        <w:rPr>
          <w:rFonts w:cs="Times New Roman"/>
        </w:rPr>
        <w:t>esignate</w:t>
      </w:r>
      <w:r>
        <w:rPr>
          <w:rFonts w:cs="Times New Roman"/>
        </w:rPr>
        <w:t xml:space="preserve"> and identify a </w:t>
      </w:r>
      <w:r w:rsidRPr="00511868">
        <w:rPr>
          <w:rFonts w:cs="Times New Roman"/>
        </w:rPr>
        <w:t xml:space="preserve">Local Responsible Party (LRP) who </w:t>
      </w:r>
      <w:r w:rsidR="00202321">
        <w:rPr>
          <w:rFonts w:cs="Times New Roman"/>
        </w:rPr>
        <w:t>ensures</w:t>
      </w:r>
      <w:r w:rsidRPr="00511868">
        <w:rPr>
          <w:rFonts w:cs="Times New Roman"/>
        </w:rPr>
        <w:t xml:space="preserve"> the security of confidential information</w:t>
      </w:r>
      <w:r w:rsidR="006C1A7F">
        <w:rPr>
          <w:rFonts w:cs="Times New Roman"/>
        </w:rPr>
        <w:t xml:space="preserve">. </w:t>
      </w:r>
      <w:r w:rsidR="007A61E1">
        <w:rPr>
          <w:rFonts w:cs="Times New Roman"/>
        </w:rPr>
        <w:t xml:space="preserve">The </w:t>
      </w:r>
      <w:hyperlink r:id="rId32" w:history="1">
        <w:r w:rsidR="007A61E1" w:rsidRPr="007A61E1">
          <w:rPr>
            <w:rStyle w:val="Hyperlink"/>
            <w:rFonts w:cs="Times New Roman"/>
          </w:rPr>
          <w:t>DSHS LRP Handbook</w:t>
        </w:r>
      </w:hyperlink>
      <w:r w:rsidR="007A61E1">
        <w:rPr>
          <w:rFonts w:cs="Times New Roman"/>
        </w:rPr>
        <w:t xml:space="preserve"> provides additional guidance on security, confidentiality, privacy incidents, and policies and procedures. </w:t>
      </w:r>
      <w:r w:rsidR="00A06759">
        <w:rPr>
          <w:rFonts w:cs="Times New Roman"/>
        </w:rPr>
        <w:t>LRP duties include, but are not limited to</w:t>
      </w:r>
      <w:r w:rsidRPr="00511868">
        <w:rPr>
          <w:rFonts w:cs="Times New Roman"/>
        </w:rPr>
        <w:t>:</w:t>
      </w:r>
    </w:p>
    <w:p w14:paraId="116334FC" w14:textId="2A7A9709" w:rsidR="006C1A7F" w:rsidRDefault="00EB28AD" w:rsidP="00A904A0">
      <w:pPr>
        <w:pStyle w:val="NoSpacing"/>
        <w:numPr>
          <w:ilvl w:val="2"/>
          <w:numId w:val="156"/>
        </w:numPr>
        <w:rPr>
          <w:rFonts w:cs="Times New Roman"/>
        </w:rPr>
      </w:pPr>
      <w:r>
        <w:rPr>
          <w:rFonts w:cs="Times New Roman"/>
        </w:rPr>
        <w:t>Establishing</w:t>
      </w:r>
      <w:r w:rsidR="006C1A7F" w:rsidRPr="006C1A7F">
        <w:rPr>
          <w:rFonts w:cs="Times New Roman"/>
        </w:rPr>
        <w:t xml:space="preserve"> appropriate policies</w:t>
      </w:r>
      <w:r w:rsidR="00A904A0">
        <w:rPr>
          <w:rFonts w:cs="Times New Roman"/>
        </w:rPr>
        <w:t xml:space="preserve"> an</w:t>
      </w:r>
      <w:r w:rsidR="00992FC7">
        <w:rPr>
          <w:rFonts w:cs="Times New Roman"/>
        </w:rPr>
        <w:t>d</w:t>
      </w:r>
      <w:r w:rsidR="00A904A0">
        <w:rPr>
          <w:rFonts w:cs="Times New Roman"/>
        </w:rPr>
        <w:t xml:space="preserve"> </w:t>
      </w:r>
      <w:r w:rsidR="006C1A7F" w:rsidRPr="006C1A7F">
        <w:rPr>
          <w:rFonts w:cs="Times New Roman"/>
        </w:rPr>
        <w:t xml:space="preserve">procedures for handling </w:t>
      </w:r>
      <w:r w:rsidR="00992FC7">
        <w:rPr>
          <w:rFonts w:cs="Times New Roman"/>
        </w:rPr>
        <w:t xml:space="preserve">and releasing </w:t>
      </w:r>
      <w:r w:rsidR="006C1A7F" w:rsidRPr="006C1A7F">
        <w:rPr>
          <w:rFonts w:cs="Times New Roman"/>
        </w:rPr>
        <w:t>confidential information</w:t>
      </w:r>
      <w:r w:rsidR="00992FC7">
        <w:rPr>
          <w:rFonts w:cs="Times New Roman"/>
        </w:rPr>
        <w:t xml:space="preserve">, as well as </w:t>
      </w:r>
      <w:r w:rsidR="00A904A0">
        <w:rPr>
          <w:rFonts w:cs="Times New Roman"/>
        </w:rPr>
        <w:t>rapidly responding</w:t>
      </w:r>
      <w:r w:rsidR="006C1A7F" w:rsidRPr="006C1A7F">
        <w:rPr>
          <w:rFonts w:cs="Times New Roman"/>
        </w:rPr>
        <w:t xml:space="preserve"> to suspected breaches of </w:t>
      </w:r>
      <w:r w:rsidR="00992FC7">
        <w:rPr>
          <w:rFonts w:cs="Times New Roman"/>
        </w:rPr>
        <w:t>confidentiality, protocol, or both</w:t>
      </w:r>
      <w:r w:rsidR="006C1A7F" w:rsidRPr="006C1A7F">
        <w:rPr>
          <w:rFonts w:cs="Times New Roman"/>
        </w:rPr>
        <w:t>. These policies an</w:t>
      </w:r>
      <w:r w:rsidR="00992FC7">
        <w:rPr>
          <w:rFonts w:cs="Times New Roman"/>
        </w:rPr>
        <w:t>d</w:t>
      </w:r>
      <w:r w:rsidR="006C1A7F" w:rsidRPr="006C1A7F">
        <w:rPr>
          <w:rFonts w:cs="Times New Roman"/>
        </w:rPr>
        <w:t xml:space="preserve"> procedures must comply with DSHS </w:t>
      </w:r>
      <w:r>
        <w:rPr>
          <w:rFonts w:cs="Times New Roman"/>
        </w:rPr>
        <w:t>HIV/STD Security P</w:t>
      </w:r>
      <w:r w:rsidR="006C1A7F" w:rsidRPr="006C1A7F">
        <w:rPr>
          <w:rFonts w:cs="Times New Roman"/>
        </w:rPr>
        <w:t xml:space="preserve">olicies and </w:t>
      </w:r>
      <w:r>
        <w:rPr>
          <w:rFonts w:cs="Times New Roman"/>
        </w:rPr>
        <w:t>P</w:t>
      </w:r>
      <w:r w:rsidR="006C1A7F" w:rsidRPr="006C1A7F">
        <w:rPr>
          <w:rFonts w:cs="Times New Roman"/>
        </w:rPr>
        <w:t xml:space="preserve">rocedures. </w:t>
      </w:r>
      <w:r w:rsidR="00A904A0">
        <w:rPr>
          <w:rFonts w:cs="Times New Roman"/>
        </w:rPr>
        <w:t xml:space="preserve">AAs and Project Sponsors may </w:t>
      </w:r>
      <w:r w:rsidR="006C1A7F" w:rsidRPr="006C1A7F">
        <w:rPr>
          <w:rFonts w:cs="Times New Roman"/>
        </w:rPr>
        <w:t xml:space="preserve">adopt DSHS </w:t>
      </w:r>
      <w:r>
        <w:rPr>
          <w:rFonts w:cs="Times New Roman"/>
        </w:rPr>
        <w:t>HIV/STD Security P</w:t>
      </w:r>
      <w:r w:rsidRPr="006C1A7F">
        <w:rPr>
          <w:rFonts w:cs="Times New Roman"/>
        </w:rPr>
        <w:t xml:space="preserve">olicies and </w:t>
      </w:r>
      <w:r>
        <w:rPr>
          <w:rFonts w:cs="Times New Roman"/>
        </w:rPr>
        <w:t>P</w:t>
      </w:r>
      <w:r w:rsidRPr="006C1A7F">
        <w:rPr>
          <w:rFonts w:cs="Times New Roman"/>
        </w:rPr>
        <w:t>rocedures</w:t>
      </w:r>
      <w:r w:rsidR="006C1A7F" w:rsidRPr="006C1A7F">
        <w:rPr>
          <w:rFonts w:cs="Times New Roman"/>
        </w:rPr>
        <w:t xml:space="preserve"> as </w:t>
      </w:r>
      <w:r w:rsidR="00A904A0">
        <w:rPr>
          <w:rFonts w:cs="Times New Roman"/>
        </w:rPr>
        <w:t>their</w:t>
      </w:r>
      <w:r w:rsidR="006C1A7F" w:rsidRPr="006C1A7F">
        <w:rPr>
          <w:rFonts w:cs="Times New Roman"/>
        </w:rPr>
        <w:t xml:space="preserve"> own.</w:t>
      </w:r>
    </w:p>
    <w:p w14:paraId="3417C339" w14:textId="585B653F" w:rsidR="00A904A0" w:rsidRDefault="00A904A0" w:rsidP="00A904A0">
      <w:pPr>
        <w:pStyle w:val="NoSpacing"/>
        <w:numPr>
          <w:ilvl w:val="2"/>
          <w:numId w:val="156"/>
        </w:numPr>
        <w:rPr>
          <w:rFonts w:cs="Times New Roman"/>
        </w:rPr>
      </w:pPr>
      <w:r>
        <w:rPr>
          <w:rFonts w:cs="Times New Roman"/>
        </w:rPr>
        <w:t>Periodically review</w:t>
      </w:r>
      <w:r w:rsidR="00A06759">
        <w:rPr>
          <w:rFonts w:cs="Times New Roman"/>
        </w:rPr>
        <w:t>ing</w:t>
      </w:r>
      <w:r>
        <w:rPr>
          <w:rFonts w:cs="Times New Roman"/>
        </w:rPr>
        <w:t xml:space="preserve"> security policies and procedures</w:t>
      </w:r>
      <w:r w:rsidR="006C1A7F" w:rsidRPr="00A904A0">
        <w:rPr>
          <w:rFonts w:cs="Times New Roman"/>
        </w:rPr>
        <w:t xml:space="preserve"> for efficacy</w:t>
      </w:r>
      <w:r w:rsidR="00992FC7">
        <w:rPr>
          <w:rFonts w:cs="Times New Roman"/>
        </w:rPr>
        <w:t>.</w:t>
      </w:r>
    </w:p>
    <w:p w14:paraId="05B7D3B7" w14:textId="68387BA1" w:rsidR="00A904A0" w:rsidRDefault="00A904A0" w:rsidP="00A904A0">
      <w:pPr>
        <w:pStyle w:val="NoSpacing"/>
        <w:numPr>
          <w:ilvl w:val="2"/>
          <w:numId w:val="156"/>
        </w:numPr>
        <w:rPr>
          <w:rFonts w:cs="Times New Roman"/>
        </w:rPr>
      </w:pPr>
      <w:r>
        <w:rPr>
          <w:rFonts w:cs="Times New Roman"/>
        </w:rPr>
        <w:t>M</w:t>
      </w:r>
      <w:r w:rsidR="006C1A7F" w:rsidRPr="00A904A0">
        <w:rPr>
          <w:rFonts w:cs="Times New Roman"/>
        </w:rPr>
        <w:t>onitor</w:t>
      </w:r>
      <w:r w:rsidR="00A06759">
        <w:rPr>
          <w:rFonts w:cs="Times New Roman"/>
        </w:rPr>
        <w:t>ing</w:t>
      </w:r>
      <w:r w:rsidR="006C1A7F" w:rsidRPr="00A904A0">
        <w:rPr>
          <w:rFonts w:cs="Times New Roman"/>
        </w:rPr>
        <w:t xml:space="preserve"> evolving technology to ensure </w:t>
      </w:r>
      <w:r w:rsidR="00992FC7">
        <w:rPr>
          <w:rFonts w:cs="Times New Roman"/>
        </w:rPr>
        <w:t>confidential information</w:t>
      </w:r>
      <w:r w:rsidR="006C1A7F" w:rsidRPr="00A904A0">
        <w:rPr>
          <w:rFonts w:cs="Times New Roman"/>
        </w:rPr>
        <w:t xml:space="preserve"> remain</w:t>
      </w:r>
      <w:r w:rsidR="00992FC7">
        <w:rPr>
          <w:rFonts w:cs="Times New Roman"/>
        </w:rPr>
        <w:t>s</w:t>
      </w:r>
      <w:r w:rsidR="006C1A7F" w:rsidRPr="00A904A0">
        <w:rPr>
          <w:rFonts w:cs="Times New Roman"/>
        </w:rPr>
        <w:t xml:space="preserve"> as secure as possible</w:t>
      </w:r>
      <w:r w:rsidR="008F21EF">
        <w:rPr>
          <w:rFonts w:cs="Times New Roman"/>
        </w:rPr>
        <w:t xml:space="preserve"> </w:t>
      </w:r>
      <w:r w:rsidR="008F21EF" w:rsidRPr="00A904A0">
        <w:rPr>
          <w:rFonts w:cs="Times New Roman"/>
        </w:rPr>
        <w:t>(e.g., new</w:t>
      </w:r>
      <w:r w:rsidR="008F21EF">
        <w:rPr>
          <w:rFonts w:cs="Times New Roman"/>
        </w:rPr>
        <w:t xml:space="preserve"> </w:t>
      </w:r>
      <w:r w:rsidR="008F21EF" w:rsidRPr="00A904A0">
        <w:rPr>
          <w:rFonts w:cs="Times New Roman"/>
        </w:rPr>
        <w:t xml:space="preserve">methods </w:t>
      </w:r>
      <w:r w:rsidR="008F21EF">
        <w:rPr>
          <w:rFonts w:cs="Times New Roman"/>
        </w:rPr>
        <w:t>of</w:t>
      </w:r>
      <w:r w:rsidR="008F21EF" w:rsidRPr="00A904A0">
        <w:rPr>
          <w:rFonts w:cs="Times New Roman"/>
        </w:rPr>
        <w:t xml:space="preserve"> illegally access</w:t>
      </w:r>
      <w:r w:rsidR="008F21EF">
        <w:rPr>
          <w:rFonts w:cs="Times New Roman"/>
        </w:rPr>
        <w:t>ing</w:t>
      </w:r>
      <w:r w:rsidR="008F21EF" w:rsidRPr="00A904A0">
        <w:rPr>
          <w:rFonts w:cs="Times New Roman"/>
        </w:rPr>
        <w:t xml:space="preserve"> confidential </w:t>
      </w:r>
      <w:r w:rsidR="008F21EF">
        <w:rPr>
          <w:rFonts w:cs="Times New Roman"/>
        </w:rPr>
        <w:t xml:space="preserve">information, </w:t>
      </w:r>
      <w:r w:rsidR="008F21EF" w:rsidRPr="00A904A0">
        <w:rPr>
          <w:rFonts w:cs="Times New Roman"/>
        </w:rPr>
        <w:t xml:space="preserve">technologies for </w:t>
      </w:r>
      <w:r w:rsidR="008F21EF">
        <w:rPr>
          <w:rFonts w:cs="Times New Roman"/>
        </w:rPr>
        <w:t xml:space="preserve">protecting </w:t>
      </w:r>
      <w:r w:rsidR="008F21EF" w:rsidRPr="00A904A0">
        <w:rPr>
          <w:rFonts w:cs="Times New Roman"/>
        </w:rPr>
        <w:t xml:space="preserve">confidential </w:t>
      </w:r>
      <w:r w:rsidR="008F21EF">
        <w:rPr>
          <w:rFonts w:cs="Times New Roman"/>
        </w:rPr>
        <w:t>information</w:t>
      </w:r>
      <w:r w:rsidR="008F21EF" w:rsidRPr="00A904A0">
        <w:rPr>
          <w:rFonts w:cs="Times New Roman"/>
        </w:rPr>
        <w:t xml:space="preserve"> from </w:t>
      </w:r>
      <w:r w:rsidR="008F21EF">
        <w:rPr>
          <w:rFonts w:cs="Times New Roman"/>
        </w:rPr>
        <w:t>cyber threats, etc.</w:t>
      </w:r>
      <w:r w:rsidR="008F21EF" w:rsidRPr="00A904A0">
        <w:rPr>
          <w:rFonts w:cs="Times New Roman"/>
        </w:rPr>
        <w:t>)</w:t>
      </w:r>
      <w:r w:rsidR="006C1A7F" w:rsidRPr="00A904A0">
        <w:rPr>
          <w:rFonts w:cs="Times New Roman"/>
        </w:rPr>
        <w:t>.</w:t>
      </w:r>
    </w:p>
    <w:p w14:paraId="684CAE95" w14:textId="1338E25E" w:rsidR="00A904A0" w:rsidRDefault="00A177C2" w:rsidP="00A904A0">
      <w:pPr>
        <w:pStyle w:val="NoSpacing"/>
        <w:numPr>
          <w:ilvl w:val="2"/>
          <w:numId w:val="156"/>
        </w:numPr>
        <w:rPr>
          <w:rFonts w:cs="Times New Roman"/>
        </w:rPr>
      </w:pPr>
      <w:r>
        <w:rPr>
          <w:rFonts w:cs="Times New Roman"/>
        </w:rPr>
        <w:t>Determin</w:t>
      </w:r>
      <w:r w:rsidR="00A06759">
        <w:rPr>
          <w:rFonts w:cs="Times New Roman"/>
        </w:rPr>
        <w:t>ing</w:t>
      </w:r>
      <w:r w:rsidR="008F21EF">
        <w:rPr>
          <w:rFonts w:cs="Times New Roman"/>
        </w:rPr>
        <w:t xml:space="preserve"> when </w:t>
      </w:r>
      <w:r w:rsidR="00A06759">
        <w:rPr>
          <w:rFonts w:cs="Times New Roman"/>
        </w:rPr>
        <w:t>personnel</w:t>
      </w:r>
      <w:r w:rsidR="008F21EF">
        <w:rPr>
          <w:rFonts w:cs="Times New Roman"/>
        </w:rPr>
        <w:t xml:space="preserve"> have a work-related need </w:t>
      </w:r>
      <w:r w:rsidR="008F21EF" w:rsidRPr="00A904A0">
        <w:rPr>
          <w:rFonts w:cs="Times New Roman"/>
        </w:rPr>
        <w:t xml:space="preserve">to view </w:t>
      </w:r>
      <w:r w:rsidR="00A06759">
        <w:rPr>
          <w:rFonts w:cs="Times New Roman"/>
        </w:rPr>
        <w:t xml:space="preserve">or handle </w:t>
      </w:r>
      <w:r w:rsidR="008F21EF" w:rsidRPr="00A904A0">
        <w:rPr>
          <w:rFonts w:cs="Times New Roman"/>
        </w:rPr>
        <w:t>confidential information</w:t>
      </w:r>
      <w:r w:rsidR="006C1A7F" w:rsidRPr="00A904A0">
        <w:rPr>
          <w:rFonts w:cs="Times New Roman"/>
        </w:rPr>
        <w:t>.</w:t>
      </w:r>
    </w:p>
    <w:p w14:paraId="5AAC6F7B" w14:textId="722DCB67" w:rsidR="008C17A5" w:rsidRPr="008C17A5" w:rsidRDefault="006C1A7F" w:rsidP="008C17A5">
      <w:pPr>
        <w:pStyle w:val="NoSpacing"/>
        <w:numPr>
          <w:ilvl w:val="2"/>
          <w:numId w:val="156"/>
        </w:numPr>
        <w:rPr>
          <w:rFonts w:cs="Times New Roman"/>
        </w:rPr>
      </w:pPr>
      <w:r w:rsidRPr="00A904A0">
        <w:rPr>
          <w:rFonts w:cs="Times New Roman"/>
        </w:rPr>
        <w:t>Maintain</w:t>
      </w:r>
      <w:r w:rsidR="00A06759">
        <w:rPr>
          <w:rFonts w:cs="Times New Roman"/>
        </w:rPr>
        <w:t>ing</w:t>
      </w:r>
      <w:r w:rsidRPr="00A904A0">
        <w:rPr>
          <w:rFonts w:cs="Times New Roman"/>
        </w:rPr>
        <w:t xml:space="preserve"> list</w:t>
      </w:r>
      <w:r w:rsidR="008C17A5">
        <w:rPr>
          <w:rFonts w:cs="Times New Roman"/>
        </w:rPr>
        <w:t>s</w:t>
      </w:r>
      <w:r w:rsidRPr="00A904A0">
        <w:rPr>
          <w:rFonts w:cs="Times New Roman"/>
        </w:rPr>
        <w:t xml:space="preserve"> of authorized </w:t>
      </w:r>
      <w:r w:rsidR="00A06759">
        <w:rPr>
          <w:rFonts w:cs="Times New Roman"/>
        </w:rPr>
        <w:t>personnel</w:t>
      </w:r>
      <w:r w:rsidRPr="00A904A0">
        <w:rPr>
          <w:rFonts w:cs="Times New Roman"/>
        </w:rPr>
        <w:t xml:space="preserve"> </w:t>
      </w:r>
      <w:r w:rsidR="00563DA4">
        <w:rPr>
          <w:rFonts w:cs="Times New Roman"/>
        </w:rPr>
        <w:t>who may</w:t>
      </w:r>
      <w:r w:rsidRPr="00A904A0">
        <w:rPr>
          <w:rFonts w:cs="Times New Roman"/>
        </w:rPr>
        <w:t xml:space="preserve"> view </w:t>
      </w:r>
      <w:r w:rsidR="00A06759">
        <w:rPr>
          <w:rFonts w:cs="Times New Roman"/>
        </w:rPr>
        <w:t>or</w:t>
      </w:r>
      <w:r w:rsidRPr="00A904A0">
        <w:rPr>
          <w:rFonts w:cs="Times New Roman"/>
        </w:rPr>
        <w:t xml:space="preserve"> </w:t>
      </w:r>
      <w:r w:rsidR="00A06759">
        <w:rPr>
          <w:rFonts w:cs="Times New Roman"/>
        </w:rPr>
        <w:t>handle</w:t>
      </w:r>
      <w:r w:rsidRPr="00A904A0">
        <w:rPr>
          <w:rFonts w:cs="Times New Roman"/>
        </w:rPr>
        <w:t xml:space="preserve"> confidential information</w:t>
      </w:r>
      <w:r w:rsidR="001921C3">
        <w:rPr>
          <w:rFonts w:cs="Times New Roman"/>
        </w:rPr>
        <w:t>;</w:t>
      </w:r>
      <w:r w:rsidR="008C17A5">
        <w:rPr>
          <w:rFonts w:cs="Times New Roman"/>
        </w:rPr>
        <w:t xml:space="preserve"> </w:t>
      </w:r>
      <w:r w:rsidR="00E133D1">
        <w:rPr>
          <w:rFonts w:cs="Times New Roman"/>
        </w:rPr>
        <w:t xml:space="preserve">have </w:t>
      </w:r>
      <w:r w:rsidR="008C17A5">
        <w:rPr>
          <w:rFonts w:cs="Times New Roman"/>
        </w:rPr>
        <w:t xml:space="preserve">received </w:t>
      </w:r>
      <w:r w:rsidR="001921C3">
        <w:rPr>
          <w:rFonts w:cs="Times New Roman"/>
        </w:rPr>
        <w:t xml:space="preserve">all applicable confidentiality, privacy, and security </w:t>
      </w:r>
      <w:r w:rsidR="008C17A5">
        <w:rPr>
          <w:rFonts w:cs="Times New Roman"/>
        </w:rPr>
        <w:t>training</w:t>
      </w:r>
      <w:r w:rsidR="001921C3">
        <w:rPr>
          <w:rFonts w:cs="Times New Roman"/>
        </w:rPr>
        <w:t>s;</w:t>
      </w:r>
      <w:r w:rsidR="008C17A5">
        <w:rPr>
          <w:rFonts w:cs="Times New Roman"/>
        </w:rPr>
        <w:t xml:space="preserve"> </w:t>
      </w:r>
      <w:r w:rsidR="00E133D1">
        <w:rPr>
          <w:rFonts w:cs="Times New Roman"/>
        </w:rPr>
        <w:t xml:space="preserve">and </w:t>
      </w:r>
      <w:r w:rsidR="00563DA4">
        <w:rPr>
          <w:rFonts w:cs="Times New Roman"/>
        </w:rPr>
        <w:t>may</w:t>
      </w:r>
      <w:r w:rsidR="008C17A5">
        <w:rPr>
          <w:rFonts w:cs="Times New Roman"/>
        </w:rPr>
        <w:t xml:space="preserve"> access secure areas</w:t>
      </w:r>
      <w:r w:rsidR="001921C3">
        <w:rPr>
          <w:rFonts w:cs="Times New Roman"/>
        </w:rPr>
        <w:t xml:space="preserve">, </w:t>
      </w:r>
      <w:r w:rsidR="008C17A5">
        <w:rPr>
          <w:rFonts w:cs="Times New Roman"/>
        </w:rPr>
        <w:t>network drives</w:t>
      </w:r>
      <w:r w:rsidR="001921C3">
        <w:rPr>
          <w:rFonts w:cs="Times New Roman"/>
        </w:rPr>
        <w:t>,</w:t>
      </w:r>
      <w:r w:rsidR="008C17A5">
        <w:rPr>
          <w:rFonts w:cs="Times New Roman"/>
        </w:rPr>
        <w:t xml:space="preserve"> </w:t>
      </w:r>
      <w:r w:rsidR="001921C3">
        <w:rPr>
          <w:rFonts w:cs="Times New Roman"/>
        </w:rPr>
        <w:t xml:space="preserve">and databases </w:t>
      </w:r>
      <w:r w:rsidR="00CE3BD7">
        <w:rPr>
          <w:rFonts w:cs="Times New Roman"/>
        </w:rPr>
        <w:t>storing</w:t>
      </w:r>
      <w:r w:rsidR="00BE0B8A">
        <w:rPr>
          <w:rFonts w:cs="Times New Roman"/>
        </w:rPr>
        <w:t xml:space="preserve"> confidential information</w:t>
      </w:r>
      <w:r w:rsidRPr="00A904A0">
        <w:rPr>
          <w:rFonts w:cs="Times New Roman"/>
        </w:rPr>
        <w:t xml:space="preserve">. The LRP </w:t>
      </w:r>
      <w:r w:rsidR="00E133D1">
        <w:rPr>
          <w:rFonts w:cs="Times New Roman"/>
        </w:rPr>
        <w:t>updates</w:t>
      </w:r>
      <w:r w:rsidRPr="00A904A0">
        <w:rPr>
          <w:rFonts w:cs="Times New Roman"/>
        </w:rPr>
        <w:t xml:space="preserve"> </w:t>
      </w:r>
      <w:r w:rsidR="008C17A5">
        <w:rPr>
          <w:rFonts w:cs="Times New Roman"/>
        </w:rPr>
        <w:t>these</w:t>
      </w:r>
      <w:r w:rsidR="008F21EF">
        <w:rPr>
          <w:rFonts w:cs="Times New Roman"/>
        </w:rPr>
        <w:t xml:space="preserve"> list</w:t>
      </w:r>
      <w:r w:rsidR="008C17A5">
        <w:rPr>
          <w:rFonts w:cs="Times New Roman"/>
        </w:rPr>
        <w:t>s</w:t>
      </w:r>
      <w:r w:rsidR="008F21EF">
        <w:rPr>
          <w:rFonts w:cs="Times New Roman"/>
        </w:rPr>
        <w:t xml:space="preserve"> annually at minimum</w:t>
      </w:r>
      <w:r w:rsidRPr="00A904A0">
        <w:rPr>
          <w:rFonts w:cs="Times New Roman"/>
        </w:rPr>
        <w:t xml:space="preserve"> to ensure </w:t>
      </w:r>
      <w:r w:rsidR="008C17A5">
        <w:rPr>
          <w:rFonts w:cs="Times New Roman"/>
        </w:rPr>
        <w:t>they</w:t>
      </w:r>
      <w:r w:rsidRPr="00A904A0">
        <w:rPr>
          <w:rFonts w:cs="Times New Roman"/>
        </w:rPr>
        <w:t xml:space="preserve"> </w:t>
      </w:r>
      <w:r w:rsidR="00E133D1">
        <w:rPr>
          <w:rFonts w:cs="Times New Roman"/>
        </w:rPr>
        <w:t>remain</w:t>
      </w:r>
      <w:r w:rsidRPr="00A904A0">
        <w:rPr>
          <w:rFonts w:cs="Times New Roman"/>
        </w:rPr>
        <w:t xml:space="preserve"> current.</w:t>
      </w:r>
    </w:p>
    <w:p w14:paraId="41A906CB" w14:textId="414E6216" w:rsidR="00EB28AD" w:rsidRDefault="00EB28AD" w:rsidP="00A904A0">
      <w:pPr>
        <w:pStyle w:val="NoSpacing"/>
        <w:numPr>
          <w:ilvl w:val="2"/>
          <w:numId w:val="156"/>
        </w:numPr>
        <w:rPr>
          <w:rFonts w:cs="Times New Roman"/>
        </w:rPr>
      </w:pPr>
      <w:r>
        <w:rPr>
          <w:rFonts w:cs="Times New Roman"/>
        </w:rPr>
        <w:t>Ensuring</w:t>
      </w:r>
      <w:r w:rsidR="008F21EF">
        <w:rPr>
          <w:rFonts w:cs="Times New Roman"/>
        </w:rPr>
        <w:t xml:space="preserve"> </w:t>
      </w:r>
      <w:r w:rsidR="00A06759">
        <w:rPr>
          <w:rFonts w:cs="Times New Roman"/>
        </w:rPr>
        <w:t>personnel permitted to view or handle confidential information</w:t>
      </w:r>
      <w:r w:rsidR="00E2013D">
        <w:rPr>
          <w:rFonts w:cs="Times New Roman"/>
        </w:rPr>
        <w:t xml:space="preserve"> have</w:t>
      </w:r>
      <w:r>
        <w:rPr>
          <w:rFonts w:cs="Times New Roman"/>
        </w:rPr>
        <w:t>:</w:t>
      </w:r>
    </w:p>
    <w:p w14:paraId="6BA8303E" w14:textId="492EF644" w:rsidR="00E2013D" w:rsidRDefault="00E2013D" w:rsidP="00FD5ABA">
      <w:pPr>
        <w:pStyle w:val="NoSpacing"/>
        <w:numPr>
          <w:ilvl w:val="3"/>
          <w:numId w:val="156"/>
        </w:numPr>
        <w:ind w:left="1890" w:hanging="450"/>
        <w:rPr>
          <w:rFonts w:cs="Times New Roman"/>
        </w:rPr>
      </w:pPr>
      <w:r>
        <w:rPr>
          <w:rFonts w:cs="Times New Roman"/>
        </w:rPr>
        <w:t xml:space="preserve">Completed training on federal and state privacy laws before accessing confidential information. The LRP </w:t>
      </w:r>
      <w:r w:rsidR="00E133D1">
        <w:rPr>
          <w:rFonts w:cs="Times New Roman"/>
        </w:rPr>
        <w:t>ensures</w:t>
      </w:r>
      <w:r>
        <w:rPr>
          <w:rFonts w:cs="Times New Roman"/>
        </w:rPr>
        <w:t xml:space="preserve"> </w:t>
      </w:r>
      <w:r w:rsidR="00E133D1">
        <w:rPr>
          <w:rFonts w:cs="Times New Roman"/>
        </w:rPr>
        <w:t>that personnel renew their training annually</w:t>
      </w:r>
      <w:r>
        <w:rPr>
          <w:rFonts w:cs="Times New Roman"/>
        </w:rPr>
        <w:t xml:space="preserve"> at minimum and </w:t>
      </w:r>
      <w:r w:rsidR="00076E1C">
        <w:rPr>
          <w:rFonts w:cs="Times New Roman"/>
        </w:rPr>
        <w:t>maintain</w:t>
      </w:r>
      <w:r w:rsidR="00E133D1">
        <w:rPr>
          <w:rFonts w:cs="Times New Roman"/>
        </w:rPr>
        <w:t>s</w:t>
      </w:r>
      <w:r>
        <w:rPr>
          <w:rFonts w:cs="Times New Roman"/>
        </w:rPr>
        <w:t xml:space="preserve"> copies of current training certificates.</w:t>
      </w:r>
    </w:p>
    <w:p w14:paraId="2D19EA87" w14:textId="06DCAE6B" w:rsidR="00EB28AD" w:rsidRDefault="00E2013D" w:rsidP="00FD5ABA">
      <w:pPr>
        <w:pStyle w:val="NoSpacing"/>
        <w:numPr>
          <w:ilvl w:val="3"/>
          <w:numId w:val="156"/>
        </w:numPr>
        <w:ind w:left="1890" w:hanging="450"/>
        <w:rPr>
          <w:rFonts w:cs="Times New Roman"/>
        </w:rPr>
      </w:pPr>
      <w:r>
        <w:rPr>
          <w:rFonts w:cs="Times New Roman"/>
        </w:rPr>
        <w:t>C</w:t>
      </w:r>
      <w:r w:rsidR="00EB28AD">
        <w:rPr>
          <w:rFonts w:cs="Times New Roman"/>
        </w:rPr>
        <w:t>omplete</w:t>
      </w:r>
      <w:r>
        <w:rPr>
          <w:rFonts w:cs="Times New Roman"/>
        </w:rPr>
        <w:t>d</w:t>
      </w:r>
      <w:r w:rsidR="00EB28AD">
        <w:rPr>
          <w:rFonts w:cs="Times New Roman"/>
        </w:rPr>
        <w:t xml:space="preserve"> training </w:t>
      </w:r>
      <w:r>
        <w:rPr>
          <w:rFonts w:cs="Times New Roman"/>
        </w:rPr>
        <w:t>on confidentiality and security policies and procedures before accessing confidential information. The LRP ensure</w:t>
      </w:r>
      <w:r w:rsidR="00E133D1">
        <w:rPr>
          <w:rFonts w:cs="Times New Roman"/>
        </w:rPr>
        <w:t>s</w:t>
      </w:r>
      <w:r>
        <w:rPr>
          <w:rFonts w:cs="Times New Roman"/>
        </w:rPr>
        <w:t xml:space="preserve"> </w:t>
      </w:r>
      <w:r w:rsidR="00E133D1">
        <w:rPr>
          <w:rFonts w:cs="Times New Roman"/>
        </w:rPr>
        <w:t>that personnel renew their training</w:t>
      </w:r>
      <w:r>
        <w:rPr>
          <w:rFonts w:cs="Times New Roman"/>
        </w:rPr>
        <w:t xml:space="preserve"> annually at minimum and </w:t>
      </w:r>
      <w:r w:rsidR="00076E1C">
        <w:rPr>
          <w:rFonts w:cs="Times New Roman"/>
        </w:rPr>
        <w:t>maintain</w:t>
      </w:r>
      <w:r w:rsidR="00E133D1">
        <w:rPr>
          <w:rFonts w:cs="Times New Roman"/>
        </w:rPr>
        <w:t>s</w:t>
      </w:r>
      <w:r>
        <w:rPr>
          <w:rFonts w:cs="Times New Roman"/>
        </w:rPr>
        <w:t xml:space="preserve"> copies of current training certificates.</w:t>
      </w:r>
    </w:p>
    <w:p w14:paraId="2E57ECCE" w14:textId="1C0457BD" w:rsidR="00A904A0" w:rsidRDefault="00E2013D" w:rsidP="00FD5ABA">
      <w:pPr>
        <w:pStyle w:val="NoSpacing"/>
        <w:numPr>
          <w:ilvl w:val="3"/>
          <w:numId w:val="156"/>
        </w:numPr>
        <w:ind w:left="1890" w:hanging="450"/>
        <w:rPr>
          <w:rFonts w:cs="Times New Roman"/>
        </w:rPr>
      </w:pPr>
      <w:r>
        <w:rPr>
          <w:rFonts w:cs="Times New Roman"/>
        </w:rPr>
        <w:t>Submitted</w:t>
      </w:r>
      <w:r w:rsidR="006C1A7F" w:rsidRPr="00A904A0">
        <w:rPr>
          <w:rFonts w:cs="Times New Roman"/>
        </w:rPr>
        <w:t xml:space="preserve"> </w:t>
      </w:r>
      <w:r w:rsidR="00EB28AD">
        <w:rPr>
          <w:rFonts w:cs="Times New Roman"/>
        </w:rPr>
        <w:t xml:space="preserve">signed </w:t>
      </w:r>
      <w:r w:rsidR="006C1A7F" w:rsidRPr="00A904A0">
        <w:rPr>
          <w:rFonts w:cs="Times New Roman"/>
        </w:rPr>
        <w:t>confidentiality agreement</w:t>
      </w:r>
      <w:r w:rsidR="00EB28AD">
        <w:rPr>
          <w:rFonts w:cs="Times New Roman"/>
        </w:rPr>
        <w:t xml:space="preserve">s </w:t>
      </w:r>
      <w:r>
        <w:rPr>
          <w:rFonts w:cs="Times New Roman"/>
        </w:rPr>
        <w:t>before accessing confidential information</w:t>
      </w:r>
      <w:r w:rsidR="006C1A7F" w:rsidRPr="00A904A0">
        <w:rPr>
          <w:rFonts w:cs="Times New Roman"/>
        </w:rPr>
        <w:t>.</w:t>
      </w:r>
      <w:r w:rsidRPr="00E2013D">
        <w:rPr>
          <w:rFonts w:cs="Times New Roman"/>
        </w:rPr>
        <w:t xml:space="preserve"> </w:t>
      </w:r>
      <w:r>
        <w:rPr>
          <w:rFonts w:cs="Times New Roman"/>
        </w:rPr>
        <w:t xml:space="preserve">The LRP </w:t>
      </w:r>
      <w:r w:rsidR="00E133D1">
        <w:rPr>
          <w:rFonts w:cs="Times New Roman"/>
        </w:rPr>
        <w:t>ensures</w:t>
      </w:r>
      <w:r>
        <w:rPr>
          <w:rFonts w:cs="Times New Roman"/>
        </w:rPr>
        <w:t xml:space="preserve"> </w:t>
      </w:r>
      <w:r w:rsidR="00E133D1">
        <w:rPr>
          <w:rFonts w:cs="Times New Roman"/>
        </w:rPr>
        <w:t xml:space="preserve">that personnel renew their agreements annually </w:t>
      </w:r>
      <w:r>
        <w:rPr>
          <w:rFonts w:cs="Times New Roman"/>
        </w:rPr>
        <w:t xml:space="preserve">at minimum and </w:t>
      </w:r>
      <w:r w:rsidR="00076E1C">
        <w:rPr>
          <w:rFonts w:cs="Times New Roman"/>
        </w:rPr>
        <w:t>maintain</w:t>
      </w:r>
      <w:r w:rsidR="00E133D1">
        <w:rPr>
          <w:rFonts w:cs="Times New Roman"/>
        </w:rPr>
        <w:t>s</w:t>
      </w:r>
      <w:r>
        <w:rPr>
          <w:rFonts w:cs="Times New Roman"/>
        </w:rPr>
        <w:t xml:space="preserve"> copies of current </w:t>
      </w:r>
      <w:r w:rsidR="001E6AB1">
        <w:rPr>
          <w:rFonts w:cs="Times New Roman"/>
        </w:rPr>
        <w:t>confidentiality agreements</w:t>
      </w:r>
      <w:r>
        <w:rPr>
          <w:rFonts w:cs="Times New Roman"/>
        </w:rPr>
        <w:t>.</w:t>
      </w:r>
    </w:p>
    <w:p w14:paraId="2ADAC290" w14:textId="64DDBD71" w:rsidR="00A904A0" w:rsidRDefault="006C1A7F" w:rsidP="00A904A0">
      <w:pPr>
        <w:pStyle w:val="NoSpacing"/>
        <w:numPr>
          <w:ilvl w:val="2"/>
          <w:numId w:val="156"/>
        </w:numPr>
        <w:rPr>
          <w:rFonts w:cs="Times New Roman"/>
        </w:rPr>
      </w:pPr>
      <w:r w:rsidRPr="00A904A0">
        <w:rPr>
          <w:rFonts w:cs="Times New Roman"/>
        </w:rPr>
        <w:t>Thoroughly and quickly investigat</w:t>
      </w:r>
      <w:r w:rsidR="007A61E1">
        <w:rPr>
          <w:rFonts w:cs="Times New Roman"/>
        </w:rPr>
        <w:t xml:space="preserve">ing </w:t>
      </w:r>
      <w:r w:rsidRPr="00A904A0">
        <w:rPr>
          <w:rFonts w:cs="Times New Roman"/>
        </w:rPr>
        <w:t>suspected breaches of confidentiality</w:t>
      </w:r>
      <w:r w:rsidR="007A61E1">
        <w:rPr>
          <w:rFonts w:cs="Times New Roman"/>
        </w:rPr>
        <w:t xml:space="preserve">, protocol, or both </w:t>
      </w:r>
      <w:r w:rsidRPr="00A904A0">
        <w:rPr>
          <w:rFonts w:cs="Times New Roman"/>
        </w:rPr>
        <w:t xml:space="preserve">in consultation with the DSHS LRP to </w:t>
      </w:r>
      <w:r w:rsidR="007A61E1">
        <w:rPr>
          <w:rFonts w:cs="Times New Roman"/>
        </w:rPr>
        <w:t>comply</w:t>
      </w:r>
      <w:r w:rsidRPr="00A904A0">
        <w:rPr>
          <w:rFonts w:cs="Times New Roman"/>
        </w:rPr>
        <w:t xml:space="preserve"> with the DSHS </w:t>
      </w:r>
      <w:hyperlink r:id="rId33" w:history="1">
        <w:r w:rsidRPr="007A61E1">
          <w:rPr>
            <w:rStyle w:val="Hyperlink"/>
            <w:rFonts w:cs="Times New Roman"/>
          </w:rPr>
          <w:t xml:space="preserve">HIV/STD </w:t>
        </w:r>
        <w:r w:rsidR="007A61E1" w:rsidRPr="007A61E1">
          <w:rPr>
            <w:rStyle w:val="Hyperlink"/>
            <w:rFonts w:cs="Times New Roman"/>
          </w:rPr>
          <w:t xml:space="preserve">Section </w:t>
        </w:r>
        <w:r w:rsidRPr="007A61E1">
          <w:rPr>
            <w:rStyle w:val="Hyperlink"/>
            <w:rFonts w:cs="Times New Roman"/>
          </w:rPr>
          <w:t>Breach of Confidentiality Response</w:t>
        </w:r>
      </w:hyperlink>
      <w:r w:rsidRPr="00A904A0">
        <w:rPr>
          <w:rFonts w:cs="Times New Roman"/>
        </w:rPr>
        <w:t xml:space="preserve"> </w:t>
      </w:r>
      <w:r w:rsidR="007A61E1">
        <w:rPr>
          <w:rFonts w:cs="Times New Roman"/>
        </w:rPr>
        <w:t>p</w:t>
      </w:r>
      <w:r w:rsidRPr="00A904A0">
        <w:rPr>
          <w:rFonts w:cs="Times New Roman"/>
        </w:rPr>
        <w:t>olicy.</w:t>
      </w:r>
    </w:p>
    <w:p w14:paraId="574101E1" w14:textId="1E6D9A8C" w:rsidR="006C1A7F" w:rsidRPr="00A904A0" w:rsidRDefault="00076E57" w:rsidP="00DE48B8">
      <w:pPr>
        <w:pStyle w:val="NoSpacing"/>
        <w:numPr>
          <w:ilvl w:val="2"/>
          <w:numId w:val="156"/>
        </w:numPr>
        <w:rPr>
          <w:rFonts w:cs="Times New Roman"/>
        </w:rPr>
      </w:pPr>
      <w:r>
        <w:rPr>
          <w:rFonts w:cs="Times New Roman"/>
        </w:rPr>
        <w:t>Completing and s</w:t>
      </w:r>
      <w:r w:rsidR="007A61E1">
        <w:rPr>
          <w:rFonts w:cs="Times New Roman"/>
        </w:rPr>
        <w:t>ubmitting</w:t>
      </w:r>
      <w:r w:rsidR="006C1A7F" w:rsidRPr="00A904A0">
        <w:rPr>
          <w:rFonts w:cs="Times New Roman"/>
        </w:rPr>
        <w:t xml:space="preserve"> all required reports on time.</w:t>
      </w:r>
    </w:p>
    <w:p w14:paraId="73F1E6B5" w14:textId="77777777" w:rsidR="006C1A7F" w:rsidRPr="006C1A7F" w:rsidRDefault="006C1A7F" w:rsidP="006C1A7F">
      <w:pPr>
        <w:pStyle w:val="NoSpacing"/>
        <w:ind w:left="720"/>
        <w:rPr>
          <w:rFonts w:cs="Times New Roman"/>
        </w:rPr>
      </w:pPr>
    </w:p>
    <w:p w14:paraId="222CA305" w14:textId="6DA6A089" w:rsidR="006C1A7F" w:rsidRPr="006C1A7F" w:rsidRDefault="00A904A0" w:rsidP="006C1A7F">
      <w:pPr>
        <w:pStyle w:val="NoSpacing"/>
        <w:ind w:left="720"/>
        <w:rPr>
          <w:rFonts w:cs="Times New Roman"/>
        </w:rPr>
      </w:pPr>
      <w:r>
        <w:rPr>
          <w:rFonts w:cs="Times New Roman"/>
        </w:rPr>
        <w:t xml:space="preserve">AA and Project Sponsor </w:t>
      </w:r>
      <w:r w:rsidR="0053416D">
        <w:rPr>
          <w:rFonts w:cs="Times New Roman"/>
        </w:rPr>
        <w:t>confidentiality and security</w:t>
      </w:r>
      <w:r>
        <w:rPr>
          <w:rFonts w:cs="Times New Roman"/>
        </w:rPr>
        <w:t xml:space="preserve"> procedures must i</w:t>
      </w:r>
      <w:r w:rsidR="006C1A7F" w:rsidRPr="006C1A7F">
        <w:rPr>
          <w:rFonts w:cs="Times New Roman"/>
        </w:rPr>
        <w:t>nclude the following</w:t>
      </w:r>
      <w:r w:rsidR="00DA5BBC">
        <w:rPr>
          <w:rFonts w:cs="Times New Roman"/>
        </w:rPr>
        <w:t xml:space="preserve"> provisions</w:t>
      </w:r>
      <w:r w:rsidR="006C1A7F" w:rsidRPr="006C1A7F">
        <w:rPr>
          <w:rFonts w:cs="Times New Roman"/>
        </w:rPr>
        <w:t>:</w:t>
      </w:r>
    </w:p>
    <w:p w14:paraId="37F037DE" w14:textId="77777777" w:rsidR="00A904A0" w:rsidRDefault="006C1A7F" w:rsidP="00A904A0">
      <w:pPr>
        <w:pStyle w:val="NoSpacing"/>
        <w:numPr>
          <w:ilvl w:val="2"/>
          <w:numId w:val="162"/>
        </w:numPr>
        <w:rPr>
          <w:rFonts w:cs="Times New Roman"/>
        </w:rPr>
      </w:pPr>
      <w:r w:rsidRPr="00A904A0">
        <w:rPr>
          <w:rFonts w:cs="Times New Roman"/>
        </w:rPr>
        <w:t>Computers and networks will meet DSHS security standards as certified by DSHS IT staff.</w:t>
      </w:r>
    </w:p>
    <w:p w14:paraId="4BF25D56" w14:textId="0204F45F" w:rsidR="00A904A0" w:rsidRDefault="00394359" w:rsidP="00A904A0">
      <w:pPr>
        <w:pStyle w:val="NoSpacing"/>
        <w:numPr>
          <w:ilvl w:val="2"/>
          <w:numId w:val="162"/>
        </w:numPr>
        <w:rPr>
          <w:rFonts w:cs="Times New Roman"/>
        </w:rPr>
      </w:pPr>
      <w:r>
        <w:rPr>
          <w:rFonts w:cs="Times New Roman"/>
        </w:rPr>
        <w:t>DSHS system user account termination requests</w:t>
      </w:r>
      <w:r w:rsidR="006C1A7F" w:rsidRPr="00A904A0">
        <w:rPr>
          <w:rFonts w:cs="Times New Roman"/>
        </w:rPr>
        <w:t xml:space="preserve"> </w:t>
      </w:r>
      <w:r w:rsidR="0053416D">
        <w:rPr>
          <w:rFonts w:cs="Times New Roman"/>
        </w:rPr>
        <w:t>will be</w:t>
      </w:r>
      <w:r w:rsidR="006C1A7F" w:rsidRPr="00A904A0">
        <w:rPr>
          <w:rFonts w:cs="Times New Roman"/>
        </w:rPr>
        <w:t xml:space="preserve"> sent to DSHS within 1 business day of the notification of account termination.</w:t>
      </w:r>
    </w:p>
    <w:p w14:paraId="09BDBF7D" w14:textId="479380A6" w:rsidR="00A904A0" w:rsidRDefault="006C1A7F" w:rsidP="00A904A0">
      <w:pPr>
        <w:pStyle w:val="NoSpacing"/>
        <w:numPr>
          <w:ilvl w:val="2"/>
          <w:numId w:val="162"/>
        </w:numPr>
        <w:rPr>
          <w:rFonts w:cs="Times New Roman"/>
        </w:rPr>
      </w:pPr>
      <w:r w:rsidRPr="00A904A0">
        <w:rPr>
          <w:rFonts w:cs="Times New Roman"/>
        </w:rPr>
        <w:t xml:space="preserve">Secure data will be transferred electronically using the </w:t>
      </w:r>
      <w:r w:rsidR="008C17A5" w:rsidRPr="008C17A5">
        <w:rPr>
          <w:rFonts w:cs="Times New Roman"/>
        </w:rPr>
        <w:t>Texas Health Alert Network (</w:t>
      </w:r>
      <w:proofErr w:type="spellStart"/>
      <w:r w:rsidR="008C17A5" w:rsidRPr="008C17A5">
        <w:rPr>
          <w:rFonts w:cs="Times New Roman"/>
        </w:rPr>
        <w:t>TxHAN</w:t>
      </w:r>
      <w:proofErr w:type="spellEnd"/>
      <w:r w:rsidR="008C17A5" w:rsidRPr="008C17A5">
        <w:rPr>
          <w:rFonts w:cs="Times New Roman"/>
        </w:rPr>
        <w:t>)</w:t>
      </w:r>
      <w:r w:rsidRPr="00A904A0">
        <w:rPr>
          <w:rFonts w:cs="Times New Roman"/>
        </w:rPr>
        <w:t>.</w:t>
      </w:r>
    </w:p>
    <w:p w14:paraId="046CEAC8" w14:textId="755FA039" w:rsidR="00A904A0" w:rsidRDefault="00776868" w:rsidP="00A904A0">
      <w:pPr>
        <w:pStyle w:val="NoSpacing"/>
        <w:numPr>
          <w:ilvl w:val="2"/>
          <w:numId w:val="162"/>
        </w:numPr>
        <w:rPr>
          <w:rFonts w:cs="Times New Roman"/>
        </w:rPr>
      </w:pPr>
      <w:r>
        <w:rPr>
          <w:rFonts w:cs="Times New Roman"/>
        </w:rPr>
        <w:t>A</w:t>
      </w:r>
      <w:r w:rsidR="006C1A7F" w:rsidRPr="00A904A0">
        <w:rPr>
          <w:rFonts w:cs="Times New Roman"/>
        </w:rPr>
        <w:t xml:space="preserve"> visitors’ log </w:t>
      </w:r>
      <w:r>
        <w:rPr>
          <w:rFonts w:cs="Times New Roman"/>
        </w:rPr>
        <w:t xml:space="preserve">will be maintained </w:t>
      </w:r>
      <w:r w:rsidR="006C1A7F" w:rsidRPr="00A904A0">
        <w:rPr>
          <w:rFonts w:cs="Times New Roman"/>
        </w:rPr>
        <w:t xml:space="preserve">for individuals entering secured areas and it </w:t>
      </w:r>
      <w:r>
        <w:rPr>
          <w:rFonts w:cs="Times New Roman"/>
        </w:rPr>
        <w:t>will be reviewed by the LRP quarterly at minimum</w:t>
      </w:r>
      <w:r w:rsidR="006C1A7F" w:rsidRPr="00A904A0">
        <w:rPr>
          <w:rFonts w:cs="Times New Roman"/>
        </w:rPr>
        <w:t>.</w:t>
      </w:r>
    </w:p>
    <w:p w14:paraId="1D24428C" w14:textId="434AA614" w:rsidR="00A904A0" w:rsidRDefault="00394359" w:rsidP="00A904A0">
      <w:pPr>
        <w:pStyle w:val="NoSpacing"/>
        <w:numPr>
          <w:ilvl w:val="2"/>
          <w:numId w:val="162"/>
        </w:numPr>
        <w:rPr>
          <w:rFonts w:cs="Times New Roman"/>
        </w:rPr>
      </w:pPr>
      <w:r>
        <w:rPr>
          <w:rFonts w:cs="Times New Roman"/>
        </w:rPr>
        <w:t>DSHS s</w:t>
      </w:r>
      <w:r w:rsidR="006C1A7F" w:rsidRPr="00A904A0">
        <w:rPr>
          <w:rFonts w:cs="Times New Roman"/>
        </w:rPr>
        <w:t xml:space="preserve">ystem user </w:t>
      </w:r>
      <w:r>
        <w:rPr>
          <w:rFonts w:cs="Times New Roman"/>
        </w:rPr>
        <w:t xml:space="preserve">account </w:t>
      </w:r>
      <w:r w:rsidR="006C1A7F" w:rsidRPr="00A904A0">
        <w:rPr>
          <w:rFonts w:cs="Times New Roman"/>
        </w:rPr>
        <w:t>password</w:t>
      </w:r>
      <w:r w:rsidR="0053416D">
        <w:rPr>
          <w:rFonts w:cs="Times New Roman"/>
        </w:rPr>
        <w:t>s must be</w:t>
      </w:r>
      <w:r w:rsidR="006C1A7F" w:rsidRPr="00A904A0">
        <w:rPr>
          <w:rFonts w:cs="Times New Roman"/>
        </w:rPr>
        <w:t xml:space="preserve"> change</w:t>
      </w:r>
      <w:r w:rsidR="0053416D">
        <w:rPr>
          <w:rFonts w:cs="Times New Roman"/>
        </w:rPr>
        <w:t xml:space="preserve">d </w:t>
      </w:r>
      <w:r w:rsidR="006C1A7F" w:rsidRPr="00A904A0">
        <w:rPr>
          <w:rFonts w:cs="Times New Roman"/>
        </w:rPr>
        <w:t xml:space="preserve">at least every </w:t>
      </w:r>
      <w:r w:rsidR="0053416D">
        <w:rPr>
          <w:rFonts w:cs="Times New Roman"/>
        </w:rPr>
        <w:t xml:space="preserve">90 calendar </w:t>
      </w:r>
      <w:r w:rsidR="006C1A7F" w:rsidRPr="00A904A0">
        <w:rPr>
          <w:rFonts w:cs="Times New Roman"/>
        </w:rPr>
        <w:t>days.</w:t>
      </w:r>
    </w:p>
    <w:p w14:paraId="05ABCAE0" w14:textId="4272ABA6" w:rsidR="00A904A0" w:rsidRDefault="006C1A7F" w:rsidP="00A904A0">
      <w:pPr>
        <w:pStyle w:val="NoSpacing"/>
        <w:numPr>
          <w:ilvl w:val="2"/>
          <w:numId w:val="162"/>
        </w:numPr>
        <w:rPr>
          <w:rFonts w:cs="Times New Roman"/>
        </w:rPr>
      </w:pPr>
      <w:r w:rsidRPr="00A904A0">
        <w:rPr>
          <w:rFonts w:cs="Times New Roman"/>
        </w:rPr>
        <w:t xml:space="preserve">Portable devices used to store confidential data </w:t>
      </w:r>
      <w:r w:rsidR="00394359">
        <w:rPr>
          <w:rFonts w:cs="Times New Roman"/>
        </w:rPr>
        <w:t>will be</w:t>
      </w:r>
      <w:r w:rsidRPr="00A904A0">
        <w:rPr>
          <w:rFonts w:cs="Times New Roman"/>
        </w:rPr>
        <w:t xml:space="preserve"> approved by the LRP and encrypted.</w:t>
      </w:r>
    </w:p>
    <w:p w14:paraId="0C80DCC7" w14:textId="41752C61" w:rsidR="006C1A7F" w:rsidRDefault="006C1A7F" w:rsidP="00A904A0">
      <w:pPr>
        <w:pStyle w:val="NoSpacing"/>
        <w:numPr>
          <w:ilvl w:val="2"/>
          <w:numId w:val="162"/>
        </w:numPr>
        <w:rPr>
          <w:rFonts w:cs="Times New Roman"/>
        </w:rPr>
      </w:pPr>
      <w:r w:rsidRPr="00A904A0">
        <w:rPr>
          <w:rFonts w:cs="Times New Roman"/>
        </w:rPr>
        <w:t xml:space="preserve">Confidential data </w:t>
      </w:r>
      <w:r w:rsidR="00394359">
        <w:rPr>
          <w:rFonts w:cs="Times New Roman"/>
        </w:rPr>
        <w:t>will be</w:t>
      </w:r>
      <w:r w:rsidRPr="00A904A0">
        <w:rPr>
          <w:rFonts w:cs="Times New Roman"/>
        </w:rPr>
        <w:t>:</w:t>
      </w:r>
    </w:p>
    <w:p w14:paraId="5203AEAF" w14:textId="77777777" w:rsidR="00A904A0" w:rsidRDefault="006C1A7F" w:rsidP="00FD5ABA">
      <w:pPr>
        <w:pStyle w:val="NoSpacing"/>
        <w:numPr>
          <w:ilvl w:val="3"/>
          <w:numId w:val="162"/>
        </w:numPr>
        <w:ind w:left="1890" w:hanging="450"/>
        <w:rPr>
          <w:rFonts w:cs="Times New Roman"/>
        </w:rPr>
      </w:pPr>
      <w:r w:rsidRPr="00A904A0">
        <w:rPr>
          <w:rFonts w:cs="Times New Roman"/>
        </w:rPr>
        <w:t>Maintained in a secure area;</w:t>
      </w:r>
    </w:p>
    <w:p w14:paraId="71326AF4" w14:textId="77777777" w:rsidR="00A904A0" w:rsidRDefault="006C1A7F" w:rsidP="00FD5ABA">
      <w:pPr>
        <w:pStyle w:val="NoSpacing"/>
        <w:numPr>
          <w:ilvl w:val="3"/>
          <w:numId w:val="162"/>
        </w:numPr>
        <w:ind w:left="1890" w:hanging="450"/>
        <w:rPr>
          <w:rFonts w:cs="Times New Roman"/>
        </w:rPr>
      </w:pPr>
      <w:r w:rsidRPr="00A904A0">
        <w:rPr>
          <w:rFonts w:cs="Times New Roman"/>
        </w:rPr>
        <w:t>Locked when not in use;</w:t>
      </w:r>
    </w:p>
    <w:p w14:paraId="0E537DE9" w14:textId="77777777" w:rsidR="00A904A0" w:rsidRDefault="006C1A7F" w:rsidP="00FD5ABA">
      <w:pPr>
        <w:pStyle w:val="NoSpacing"/>
        <w:numPr>
          <w:ilvl w:val="3"/>
          <w:numId w:val="162"/>
        </w:numPr>
        <w:ind w:left="1890" w:hanging="450"/>
        <w:rPr>
          <w:rFonts w:cs="Times New Roman"/>
        </w:rPr>
      </w:pPr>
      <w:r w:rsidRPr="00A904A0">
        <w:rPr>
          <w:rFonts w:cs="Times New Roman"/>
        </w:rPr>
        <w:t>Not left in plain sight; and</w:t>
      </w:r>
    </w:p>
    <w:p w14:paraId="4F5330CD" w14:textId="4734679E" w:rsidR="006C1A7F" w:rsidRPr="00A904A0" w:rsidRDefault="001921C3" w:rsidP="00FD5ABA">
      <w:pPr>
        <w:pStyle w:val="NoSpacing"/>
        <w:numPr>
          <w:ilvl w:val="3"/>
          <w:numId w:val="162"/>
        </w:numPr>
        <w:ind w:left="1890" w:hanging="450"/>
        <w:rPr>
          <w:rFonts w:cs="Times New Roman"/>
        </w:rPr>
      </w:pPr>
      <w:r>
        <w:rPr>
          <w:rFonts w:cs="Times New Roman"/>
        </w:rPr>
        <w:t>Destroyed</w:t>
      </w:r>
      <w:r w:rsidR="006C1A7F" w:rsidRPr="00A904A0">
        <w:rPr>
          <w:rFonts w:cs="Times New Roman"/>
        </w:rPr>
        <w:t xml:space="preserve"> before disposal.</w:t>
      </w:r>
    </w:p>
    <w:p w14:paraId="37CE6FAB" w14:textId="73C0CA2D" w:rsidR="00AF4690" w:rsidRPr="00FF2471" w:rsidRDefault="00AF4690" w:rsidP="00DE48B8">
      <w:pPr>
        <w:pStyle w:val="NoSpacing"/>
      </w:pPr>
      <w:r w:rsidRPr="00DE48B8">
        <w:br w:type="page"/>
      </w:r>
    </w:p>
    <w:p w14:paraId="64A5F39F" w14:textId="5769718D" w:rsidR="001A41AA" w:rsidRPr="008A2696" w:rsidRDefault="001A41AA" w:rsidP="00B109D9">
      <w:pPr>
        <w:pStyle w:val="Heading1"/>
      </w:pPr>
      <w:bookmarkStart w:id="6" w:name="_Toc140755461"/>
      <w:r w:rsidRPr="008A2696">
        <w:lastRenderedPageBreak/>
        <w:t>Section 7. Ensuring Access to the Program</w:t>
      </w:r>
      <w:bookmarkEnd w:id="6"/>
    </w:p>
    <w:p w14:paraId="5260144A" w14:textId="51D222CE" w:rsidR="006723F7" w:rsidRDefault="007F156C" w:rsidP="006723F7">
      <w:pPr>
        <w:pStyle w:val="NoSpacing"/>
        <w:numPr>
          <w:ilvl w:val="1"/>
          <w:numId w:val="32"/>
        </w:numPr>
        <w:rPr>
          <w:rFonts w:cs="Times New Roman"/>
          <w:b/>
          <w:u w:val="single"/>
        </w:rPr>
      </w:pPr>
      <w:r>
        <w:rPr>
          <w:rFonts w:cs="Times New Roman"/>
          <w:b/>
          <w:u w:val="single"/>
        </w:rPr>
        <w:t>Sharing Program Information with the Community</w:t>
      </w:r>
    </w:p>
    <w:p w14:paraId="4AF749B4" w14:textId="6FAEF61B" w:rsidR="006723F7" w:rsidRDefault="006723F7" w:rsidP="006723F7">
      <w:pPr>
        <w:pStyle w:val="NoSpacing"/>
        <w:ind w:left="720"/>
        <w:rPr>
          <w:rFonts w:cs="Times New Roman"/>
        </w:rPr>
      </w:pPr>
      <w:r w:rsidRPr="00B830E0">
        <w:rPr>
          <w:rFonts w:cs="Times New Roman"/>
        </w:rPr>
        <w:t xml:space="preserve">Project Sponsors must </w:t>
      </w:r>
      <w:r w:rsidR="006E3DD1">
        <w:rPr>
          <w:rFonts w:cs="Times New Roman"/>
        </w:rPr>
        <w:t xml:space="preserve">routinely </w:t>
      </w:r>
      <w:r w:rsidRPr="00B830E0">
        <w:rPr>
          <w:rFonts w:cs="Times New Roman"/>
        </w:rPr>
        <w:t>share program information with other HIV prevention and care agencies</w:t>
      </w:r>
      <w:r>
        <w:rPr>
          <w:rFonts w:cs="Times New Roman"/>
        </w:rPr>
        <w:t xml:space="preserve">, </w:t>
      </w:r>
      <w:r w:rsidRPr="00B830E0">
        <w:rPr>
          <w:rFonts w:cs="Times New Roman"/>
        </w:rPr>
        <w:t xml:space="preserve">local </w:t>
      </w:r>
      <w:r>
        <w:rPr>
          <w:rFonts w:cs="Times New Roman"/>
        </w:rPr>
        <w:t>Public Housing Agencies (PHAs), and other affordable housing programs</w:t>
      </w:r>
      <w:r w:rsidRPr="00B830E0">
        <w:rPr>
          <w:rFonts w:cs="Times New Roman"/>
        </w:rPr>
        <w:t xml:space="preserve"> in their HSDA(s). </w:t>
      </w:r>
      <w:r w:rsidR="00E476F3">
        <w:rPr>
          <w:rFonts w:cs="Times New Roman"/>
        </w:rPr>
        <w:t>For example</w:t>
      </w:r>
      <w:r w:rsidRPr="00B830E0">
        <w:rPr>
          <w:rFonts w:cs="Times New Roman"/>
        </w:rPr>
        <w:t xml:space="preserve">, Project Sponsors </w:t>
      </w:r>
      <w:r w:rsidR="00327D7C">
        <w:rPr>
          <w:rFonts w:cs="Times New Roman"/>
        </w:rPr>
        <w:t>should</w:t>
      </w:r>
      <w:r w:rsidRPr="00B830E0">
        <w:rPr>
          <w:rFonts w:cs="Times New Roman"/>
        </w:rPr>
        <w:t xml:space="preserve"> post program information on their websites and social media platforms</w:t>
      </w:r>
      <w:r w:rsidR="00E476F3">
        <w:rPr>
          <w:rFonts w:cs="Times New Roman"/>
        </w:rPr>
        <w:t xml:space="preserve">, and </w:t>
      </w:r>
      <w:r w:rsidRPr="00B830E0">
        <w:rPr>
          <w:rFonts w:cs="Times New Roman"/>
        </w:rPr>
        <w:t xml:space="preserve">distribute program information via pamphlets, fliers, </w:t>
      </w:r>
      <w:r w:rsidR="007F156C">
        <w:rPr>
          <w:rFonts w:cs="Times New Roman"/>
        </w:rPr>
        <w:t>or</w:t>
      </w:r>
      <w:r w:rsidRPr="00B830E0">
        <w:rPr>
          <w:rFonts w:cs="Times New Roman"/>
        </w:rPr>
        <w:t xml:space="preserve"> email lists. Project Sponsors must document how they share </w:t>
      </w:r>
      <w:r>
        <w:rPr>
          <w:rFonts w:cs="Times New Roman"/>
        </w:rPr>
        <w:t>this</w:t>
      </w:r>
      <w:r w:rsidRPr="00B830E0">
        <w:rPr>
          <w:rFonts w:cs="Times New Roman"/>
        </w:rPr>
        <w:t xml:space="preserve"> information each program year.</w:t>
      </w:r>
    </w:p>
    <w:p w14:paraId="0FEFBC23" w14:textId="77777777" w:rsidR="00BE4BAB" w:rsidRDefault="00BE4BAB" w:rsidP="00850524">
      <w:pPr>
        <w:pStyle w:val="NoSpacing"/>
        <w:ind w:left="720"/>
        <w:rPr>
          <w:rFonts w:cs="Times New Roman"/>
        </w:rPr>
      </w:pPr>
    </w:p>
    <w:p w14:paraId="40DE37F0" w14:textId="3682774A" w:rsidR="001A41AA" w:rsidRPr="00786AC9" w:rsidRDefault="007F156C" w:rsidP="00754E9B">
      <w:pPr>
        <w:pStyle w:val="NoSpacing"/>
        <w:numPr>
          <w:ilvl w:val="1"/>
          <w:numId w:val="32"/>
        </w:numPr>
        <w:rPr>
          <w:rFonts w:cs="Times New Roman"/>
          <w:b/>
          <w:u w:val="single"/>
        </w:rPr>
      </w:pPr>
      <w:r>
        <w:rPr>
          <w:rFonts w:cs="Times New Roman"/>
          <w:b/>
          <w:u w:val="single"/>
        </w:rPr>
        <w:t>Sharing Program Information with Clients</w:t>
      </w:r>
    </w:p>
    <w:p w14:paraId="2814D9F7" w14:textId="0D574C6F" w:rsidR="001A41AA" w:rsidRDefault="006723F7" w:rsidP="00097FEA">
      <w:pPr>
        <w:pStyle w:val="NoSpacing"/>
        <w:ind w:left="720"/>
        <w:rPr>
          <w:rFonts w:cs="Times New Roman"/>
        </w:rPr>
      </w:pPr>
      <w:r w:rsidRPr="008026D4">
        <w:rPr>
          <w:rFonts w:cs="Times New Roman"/>
        </w:rPr>
        <w:t xml:space="preserve">Project Sponsors should assess </w:t>
      </w:r>
      <w:r>
        <w:rPr>
          <w:rFonts w:cs="Times New Roman"/>
        </w:rPr>
        <w:t>client housing needs</w:t>
      </w:r>
      <w:r w:rsidRPr="006723F7">
        <w:rPr>
          <w:rFonts w:cs="Times New Roman"/>
        </w:rPr>
        <w:t xml:space="preserve"> </w:t>
      </w:r>
      <w:r w:rsidRPr="008026D4">
        <w:rPr>
          <w:rFonts w:cs="Times New Roman"/>
        </w:rPr>
        <w:t xml:space="preserve">during intake and </w:t>
      </w:r>
      <w:r>
        <w:rPr>
          <w:rFonts w:cs="Times New Roman"/>
        </w:rPr>
        <w:t xml:space="preserve">routine medical, </w:t>
      </w:r>
      <w:r w:rsidRPr="008026D4">
        <w:rPr>
          <w:rFonts w:cs="Times New Roman"/>
        </w:rPr>
        <w:t>psychosocial</w:t>
      </w:r>
      <w:r>
        <w:rPr>
          <w:rFonts w:cs="Times New Roman"/>
        </w:rPr>
        <w:t>, or other</w:t>
      </w:r>
      <w:r w:rsidRPr="008026D4">
        <w:rPr>
          <w:rFonts w:cs="Times New Roman"/>
        </w:rPr>
        <w:t xml:space="preserve"> appointments.</w:t>
      </w:r>
      <w:r>
        <w:rPr>
          <w:rFonts w:cs="Times New Roman"/>
        </w:rPr>
        <w:t xml:space="preserve"> When a </w:t>
      </w:r>
      <w:r w:rsidR="007F156C">
        <w:rPr>
          <w:rFonts w:cs="Times New Roman"/>
        </w:rPr>
        <w:t>client</w:t>
      </w:r>
      <w:r>
        <w:rPr>
          <w:rFonts w:cs="Times New Roman"/>
        </w:rPr>
        <w:t xml:space="preserve"> requests housing</w:t>
      </w:r>
      <w:r w:rsidRPr="00502019">
        <w:rPr>
          <w:rFonts w:cs="Times New Roman"/>
        </w:rPr>
        <w:t xml:space="preserve"> assistance, </w:t>
      </w:r>
      <w:r>
        <w:rPr>
          <w:rFonts w:cs="Times New Roman"/>
        </w:rPr>
        <w:t>the Project Sponsor</w:t>
      </w:r>
      <w:r w:rsidRPr="00502019">
        <w:rPr>
          <w:rFonts w:cs="Times New Roman"/>
        </w:rPr>
        <w:t xml:space="preserve"> </w:t>
      </w:r>
      <w:r>
        <w:rPr>
          <w:rFonts w:cs="Times New Roman"/>
        </w:rPr>
        <w:t>should inform them of the program</w:t>
      </w:r>
      <w:r w:rsidRPr="00502019">
        <w:rPr>
          <w:rFonts w:cs="Times New Roman"/>
        </w:rPr>
        <w:t xml:space="preserve">. </w:t>
      </w:r>
      <w:r>
        <w:rPr>
          <w:rFonts w:cs="Times New Roman"/>
        </w:rPr>
        <w:t>At minimum, the i</w:t>
      </w:r>
      <w:r w:rsidRPr="00502019">
        <w:rPr>
          <w:rFonts w:cs="Times New Roman"/>
        </w:rPr>
        <w:t xml:space="preserve">nformation </w:t>
      </w:r>
      <w:r>
        <w:rPr>
          <w:rFonts w:cs="Times New Roman"/>
        </w:rPr>
        <w:t>should include the types of</w:t>
      </w:r>
      <w:r w:rsidRPr="00502019">
        <w:rPr>
          <w:rFonts w:cs="Times New Roman"/>
        </w:rPr>
        <w:t xml:space="preserve"> housing assistance available</w:t>
      </w:r>
      <w:r>
        <w:rPr>
          <w:rFonts w:cs="Times New Roman"/>
        </w:rPr>
        <w:t xml:space="preserve">; </w:t>
      </w:r>
      <w:r w:rsidRPr="00502019">
        <w:rPr>
          <w:rFonts w:cs="Times New Roman"/>
        </w:rPr>
        <w:t>application process</w:t>
      </w:r>
      <w:r>
        <w:rPr>
          <w:rFonts w:cs="Times New Roman"/>
        </w:rPr>
        <w:t xml:space="preserve">; documentation needed to determine </w:t>
      </w:r>
      <w:r w:rsidR="00A41FEB">
        <w:rPr>
          <w:rFonts w:cs="Times New Roman"/>
        </w:rPr>
        <w:t>household</w:t>
      </w:r>
      <w:r>
        <w:rPr>
          <w:rFonts w:cs="Times New Roman"/>
        </w:rPr>
        <w:t xml:space="preserve"> eligibility</w:t>
      </w:r>
      <w:r w:rsidR="00327D7C">
        <w:rPr>
          <w:rFonts w:cs="Times New Roman"/>
        </w:rPr>
        <w:t xml:space="preserve"> and satisfy other program requirements</w:t>
      </w:r>
      <w:r w:rsidR="007F156C">
        <w:rPr>
          <w:rFonts w:cs="Times New Roman"/>
        </w:rPr>
        <w:t xml:space="preserve">; </w:t>
      </w:r>
      <w:r>
        <w:rPr>
          <w:rFonts w:cs="Times New Roman"/>
        </w:rPr>
        <w:t>qualifications for specific program services; current waitlists</w:t>
      </w:r>
      <w:r w:rsidRPr="00502019">
        <w:rPr>
          <w:rFonts w:cs="Times New Roman"/>
        </w:rPr>
        <w:t xml:space="preserve"> and priority populations, if applicable</w:t>
      </w:r>
      <w:r>
        <w:rPr>
          <w:rFonts w:cs="Times New Roman"/>
        </w:rPr>
        <w:t xml:space="preserve">; and potential interview dates and </w:t>
      </w:r>
      <w:r w:rsidRPr="00502019">
        <w:rPr>
          <w:rFonts w:cs="Times New Roman"/>
        </w:rPr>
        <w:t>times</w:t>
      </w:r>
      <w:r>
        <w:rPr>
          <w:rFonts w:cs="Times New Roman"/>
        </w:rPr>
        <w:t>.</w:t>
      </w:r>
    </w:p>
    <w:p w14:paraId="1C6AAC7E" w14:textId="77777777" w:rsidR="007F156C" w:rsidRDefault="007F156C" w:rsidP="007F156C">
      <w:pPr>
        <w:pStyle w:val="NoSpacing"/>
        <w:ind w:left="720"/>
        <w:rPr>
          <w:rFonts w:cs="Times New Roman"/>
        </w:rPr>
      </w:pPr>
    </w:p>
    <w:p w14:paraId="43682149" w14:textId="77777777" w:rsidR="007F156C" w:rsidRPr="00786AC9" w:rsidRDefault="007F156C" w:rsidP="007F156C">
      <w:pPr>
        <w:pStyle w:val="NoSpacing"/>
        <w:numPr>
          <w:ilvl w:val="1"/>
          <w:numId w:val="32"/>
        </w:numPr>
        <w:rPr>
          <w:rFonts w:cs="Times New Roman"/>
          <w:b/>
          <w:u w:val="single"/>
        </w:rPr>
      </w:pPr>
      <w:r w:rsidRPr="00786AC9">
        <w:rPr>
          <w:rFonts w:cs="Times New Roman"/>
          <w:b/>
          <w:u w:val="single"/>
        </w:rPr>
        <w:t>Application Office Location</w:t>
      </w:r>
    </w:p>
    <w:p w14:paraId="0CD1BA40" w14:textId="0C2F9C64" w:rsidR="007F156C" w:rsidRDefault="007F156C" w:rsidP="007F156C">
      <w:pPr>
        <w:pStyle w:val="NoSpacing"/>
        <w:ind w:left="720"/>
        <w:rPr>
          <w:rFonts w:cs="Times New Roman"/>
        </w:rPr>
      </w:pPr>
      <w:r w:rsidRPr="008026D4">
        <w:rPr>
          <w:rFonts w:cs="Times New Roman"/>
        </w:rPr>
        <w:t>Project Sponsors should have a</w:t>
      </w:r>
      <w:r w:rsidR="00327D7C">
        <w:rPr>
          <w:rFonts w:cs="Times New Roman"/>
        </w:rPr>
        <w:t xml:space="preserve"> physically </w:t>
      </w:r>
      <w:r w:rsidRPr="008026D4">
        <w:rPr>
          <w:rFonts w:cs="Times New Roman"/>
        </w:rPr>
        <w:t xml:space="preserve">accessible </w:t>
      </w:r>
      <w:r w:rsidR="00AA0210">
        <w:rPr>
          <w:rFonts w:cs="Times New Roman"/>
        </w:rPr>
        <w:t>facility</w:t>
      </w:r>
      <w:r w:rsidRPr="008026D4">
        <w:rPr>
          <w:rFonts w:cs="Times New Roman"/>
        </w:rPr>
        <w:t xml:space="preserve"> </w:t>
      </w:r>
      <w:r w:rsidR="00327D7C">
        <w:rPr>
          <w:rFonts w:cs="Times New Roman"/>
        </w:rPr>
        <w:t xml:space="preserve">located near </w:t>
      </w:r>
      <w:r w:rsidR="00170017">
        <w:rPr>
          <w:rFonts w:cs="Times New Roman"/>
        </w:rPr>
        <w:t xml:space="preserve">adequate </w:t>
      </w:r>
      <w:r w:rsidR="00327D7C">
        <w:rPr>
          <w:rFonts w:cs="Times New Roman"/>
        </w:rPr>
        <w:t xml:space="preserve">public transit </w:t>
      </w:r>
      <w:r w:rsidRPr="008026D4">
        <w:rPr>
          <w:rFonts w:cs="Times New Roman"/>
        </w:rPr>
        <w:t>where house</w:t>
      </w:r>
      <w:r>
        <w:rPr>
          <w:rFonts w:cs="Times New Roman"/>
        </w:rPr>
        <w:t xml:space="preserve">holds </w:t>
      </w:r>
      <w:r w:rsidR="00170017">
        <w:rPr>
          <w:rFonts w:cs="Times New Roman"/>
        </w:rPr>
        <w:t>may</w:t>
      </w:r>
      <w:r>
        <w:rPr>
          <w:rFonts w:cs="Times New Roman"/>
        </w:rPr>
        <w:t xml:space="preserve"> </w:t>
      </w:r>
      <w:r w:rsidR="00AA0210">
        <w:rPr>
          <w:rFonts w:cs="Times New Roman"/>
        </w:rPr>
        <w:t xml:space="preserve">easily </w:t>
      </w:r>
      <w:r>
        <w:rPr>
          <w:rFonts w:cs="Times New Roman"/>
        </w:rPr>
        <w:t>apply for assistance.</w:t>
      </w:r>
      <w:r w:rsidR="00327D7C">
        <w:rPr>
          <w:rFonts w:cs="Times New Roman"/>
        </w:rPr>
        <w:t xml:space="preserve"> Households should feel safe and comfortable </w:t>
      </w:r>
      <w:r w:rsidR="00387DD5">
        <w:rPr>
          <w:rFonts w:cs="Times New Roman"/>
        </w:rPr>
        <w:t>while visiting</w:t>
      </w:r>
      <w:r w:rsidR="00327D7C">
        <w:rPr>
          <w:rFonts w:cs="Times New Roman"/>
        </w:rPr>
        <w:t xml:space="preserve"> these locations and the</w:t>
      </w:r>
      <w:r w:rsidR="005338D0">
        <w:rPr>
          <w:rFonts w:cs="Times New Roman"/>
        </w:rPr>
        <w:t xml:space="preserve"> design of these</w:t>
      </w:r>
      <w:r w:rsidR="00327D7C">
        <w:rPr>
          <w:rFonts w:cs="Times New Roman"/>
        </w:rPr>
        <w:t xml:space="preserve"> </w:t>
      </w:r>
      <w:r w:rsidR="00AA0210">
        <w:rPr>
          <w:rFonts w:cs="Times New Roman"/>
        </w:rPr>
        <w:t>facilities</w:t>
      </w:r>
      <w:r w:rsidR="00327D7C">
        <w:rPr>
          <w:rFonts w:cs="Times New Roman"/>
        </w:rPr>
        <w:t xml:space="preserve"> should </w:t>
      </w:r>
      <w:r w:rsidR="00387DD5">
        <w:rPr>
          <w:rFonts w:cs="Times New Roman"/>
        </w:rPr>
        <w:t>protect client confidentiality</w:t>
      </w:r>
      <w:r w:rsidR="00327D7C">
        <w:rPr>
          <w:rFonts w:cs="Times New Roman"/>
        </w:rPr>
        <w:t>.</w:t>
      </w:r>
    </w:p>
    <w:p w14:paraId="7B114F59" w14:textId="77777777" w:rsidR="00BE4BAB" w:rsidRDefault="00BE4BAB" w:rsidP="00DE48B8">
      <w:pPr>
        <w:pStyle w:val="NoSpacing"/>
        <w:ind w:left="720"/>
        <w:rPr>
          <w:rFonts w:cs="Times New Roman"/>
        </w:rPr>
      </w:pPr>
    </w:p>
    <w:p w14:paraId="42FAA229" w14:textId="1F6EA099" w:rsidR="001A41AA" w:rsidRPr="00786AC9" w:rsidRDefault="00786AC9" w:rsidP="00754E9B">
      <w:pPr>
        <w:pStyle w:val="NoSpacing"/>
        <w:numPr>
          <w:ilvl w:val="1"/>
          <w:numId w:val="32"/>
        </w:numPr>
        <w:rPr>
          <w:rFonts w:cs="Times New Roman"/>
          <w:b/>
          <w:u w:val="single"/>
        </w:rPr>
      </w:pPr>
      <w:bookmarkStart w:id="7" w:name="_Hlk83218720"/>
      <w:r>
        <w:rPr>
          <w:rFonts w:cs="Times New Roman"/>
          <w:b/>
          <w:u w:val="single"/>
        </w:rPr>
        <w:t xml:space="preserve">Methods of </w:t>
      </w:r>
      <w:r w:rsidR="00A55038">
        <w:rPr>
          <w:rFonts w:cs="Times New Roman"/>
          <w:b/>
          <w:u w:val="single"/>
        </w:rPr>
        <w:t>Meeting with Applicant and Participant Households</w:t>
      </w:r>
    </w:p>
    <w:p w14:paraId="242BD909" w14:textId="2B2E6CBA" w:rsidR="001A41AA" w:rsidRPr="008026D4" w:rsidRDefault="001A41AA" w:rsidP="00850524">
      <w:pPr>
        <w:pStyle w:val="NoSpacing"/>
        <w:ind w:left="720"/>
        <w:rPr>
          <w:rFonts w:cs="Times New Roman"/>
        </w:rPr>
      </w:pPr>
      <w:r w:rsidRPr="008026D4">
        <w:rPr>
          <w:rFonts w:cs="Times New Roman"/>
        </w:rPr>
        <w:t xml:space="preserve">Project Sponsors </w:t>
      </w:r>
      <w:r w:rsidR="004D7574">
        <w:rPr>
          <w:rFonts w:cs="Times New Roman"/>
        </w:rPr>
        <w:t xml:space="preserve">may </w:t>
      </w:r>
      <w:r w:rsidR="00BD220F">
        <w:rPr>
          <w:rFonts w:cs="Times New Roman"/>
        </w:rPr>
        <w:t>hold</w:t>
      </w:r>
      <w:r w:rsidR="004D7574">
        <w:rPr>
          <w:rFonts w:cs="Times New Roman"/>
        </w:rPr>
        <w:t xml:space="preserve"> scheduled or unscheduled meetings</w:t>
      </w:r>
      <w:r w:rsidR="00A55038">
        <w:rPr>
          <w:rFonts w:cs="Times New Roman"/>
        </w:rPr>
        <w:t xml:space="preserve"> with applicant and participant households</w:t>
      </w:r>
      <w:r w:rsidRPr="008026D4">
        <w:rPr>
          <w:rFonts w:cs="Times New Roman"/>
        </w:rPr>
        <w:t>. To accommodate the needs of various households and assure proper use of staff resources, Project Sponsor</w:t>
      </w:r>
      <w:r w:rsidR="00581224">
        <w:rPr>
          <w:rFonts w:cs="Times New Roman"/>
        </w:rPr>
        <w:t>s</w:t>
      </w:r>
      <w:r w:rsidRPr="008026D4">
        <w:rPr>
          <w:rFonts w:cs="Times New Roman"/>
        </w:rPr>
        <w:t xml:space="preserve"> should offer the following </w:t>
      </w:r>
      <w:r w:rsidR="002E608F">
        <w:rPr>
          <w:rFonts w:cs="Times New Roman"/>
        </w:rPr>
        <w:t xml:space="preserve">options </w:t>
      </w:r>
      <w:r w:rsidR="00581224">
        <w:rPr>
          <w:rFonts w:cs="Times New Roman"/>
        </w:rPr>
        <w:t>for</w:t>
      </w:r>
      <w:r w:rsidR="002E608F">
        <w:rPr>
          <w:rFonts w:cs="Times New Roman"/>
        </w:rPr>
        <w:t xml:space="preserve"> </w:t>
      </w:r>
      <w:r w:rsidR="00A55038">
        <w:rPr>
          <w:rFonts w:cs="Times New Roman"/>
        </w:rPr>
        <w:t>meeting with households</w:t>
      </w:r>
      <w:r w:rsidR="002E608F">
        <w:rPr>
          <w:rFonts w:cs="Times New Roman"/>
        </w:rPr>
        <w:t>:</w:t>
      </w:r>
    </w:p>
    <w:p w14:paraId="26F2711A" w14:textId="07EBEB52" w:rsidR="004B539E" w:rsidRPr="00066B7E" w:rsidRDefault="001A41AA">
      <w:pPr>
        <w:pStyle w:val="NoSpacing"/>
        <w:numPr>
          <w:ilvl w:val="2"/>
          <w:numId w:val="32"/>
        </w:numPr>
        <w:rPr>
          <w:rFonts w:cs="Times New Roman"/>
          <w:b/>
        </w:rPr>
      </w:pPr>
      <w:r w:rsidRPr="00066B7E">
        <w:rPr>
          <w:rFonts w:cs="Times New Roman"/>
          <w:b/>
        </w:rPr>
        <w:t xml:space="preserve">Regular </w:t>
      </w:r>
      <w:r w:rsidR="004B539E" w:rsidRPr="00066B7E">
        <w:rPr>
          <w:rFonts w:cs="Times New Roman"/>
          <w:b/>
        </w:rPr>
        <w:t>O</w:t>
      </w:r>
      <w:r w:rsidRPr="00066B7E">
        <w:rPr>
          <w:rFonts w:cs="Times New Roman"/>
          <w:b/>
        </w:rPr>
        <w:t xml:space="preserve">ffice </w:t>
      </w:r>
      <w:r w:rsidR="00A55038">
        <w:rPr>
          <w:rFonts w:cs="Times New Roman"/>
          <w:b/>
        </w:rPr>
        <w:t>Meetings</w:t>
      </w:r>
    </w:p>
    <w:p w14:paraId="4131F574" w14:textId="38AC3411" w:rsidR="001A41AA" w:rsidRPr="00BE4BAB" w:rsidRDefault="00A55038" w:rsidP="00066B7E">
      <w:pPr>
        <w:pStyle w:val="NoSpacing"/>
        <w:ind w:left="1440"/>
        <w:rPr>
          <w:rFonts w:cs="Times New Roman"/>
        </w:rPr>
      </w:pPr>
      <w:r>
        <w:rPr>
          <w:rFonts w:cs="Times New Roman"/>
        </w:rPr>
        <w:t>H</w:t>
      </w:r>
      <w:r w:rsidR="001A41AA" w:rsidRPr="00BE4BAB">
        <w:rPr>
          <w:rFonts w:cs="Times New Roman"/>
        </w:rPr>
        <w:t xml:space="preserve">ouseholds </w:t>
      </w:r>
      <w:r w:rsidR="004D7574">
        <w:rPr>
          <w:rFonts w:cs="Times New Roman"/>
        </w:rPr>
        <w:t>can</w:t>
      </w:r>
      <w:r w:rsidR="001A41AA" w:rsidRPr="00BE4BAB">
        <w:rPr>
          <w:rFonts w:cs="Times New Roman"/>
        </w:rPr>
        <w:t xml:space="preserve"> </w:t>
      </w:r>
      <w:r>
        <w:rPr>
          <w:rFonts w:cs="Times New Roman"/>
        </w:rPr>
        <w:t>meet with</w:t>
      </w:r>
      <w:r w:rsidR="001A41AA" w:rsidRPr="00BE4BAB">
        <w:rPr>
          <w:rFonts w:cs="Times New Roman"/>
        </w:rPr>
        <w:t xml:space="preserve"> Project Sponsor</w:t>
      </w:r>
      <w:r>
        <w:rPr>
          <w:rFonts w:cs="Times New Roman"/>
        </w:rPr>
        <w:t xml:space="preserve"> staff </w:t>
      </w:r>
      <w:r w:rsidR="004D7574">
        <w:rPr>
          <w:rFonts w:cs="Times New Roman"/>
        </w:rPr>
        <w:t xml:space="preserve">in the office </w:t>
      </w:r>
      <w:r>
        <w:rPr>
          <w:rFonts w:cs="Times New Roman"/>
        </w:rPr>
        <w:t>during regular</w:t>
      </w:r>
      <w:r w:rsidR="001A41AA" w:rsidRPr="00BE4BAB">
        <w:rPr>
          <w:rFonts w:cs="Times New Roman"/>
        </w:rPr>
        <w:t xml:space="preserve"> business hours.</w:t>
      </w:r>
    </w:p>
    <w:p w14:paraId="629694E6" w14:textId="3FBFD381" w:rsidR="004B539E" w:rsidRPr="00066B7E" w:rsidRDefault="001A41AA">
      <w:pPr>
        <w:pStyle w:val="NoSpacing"/>
        <w:numPr>
          <w:ilvl w:val="2"/>
          <w:numId w:val="32"/>
        </w:numPr>
        <w:rPr>
          <w:rFonts w:cs="Times New Roman"/>
          <w:b/>
        </w:rPr>
      </w:pPr>
      <w:r w:rsidRPr="00066B7E">
        <w:rPr>
          <w:rFonts w:cs="Times New Roman"/>
          <w:b/>
        </w:rPr>
        <w:t xml:space="preserve">Special </w:t>
      </w:r>
      <w:r w:rsidR="004B539E" w:rsidRPr="00066B7E">
        <w:rPr>
          <w:rFonts w:cs="Times New Roman"/>
          <w:b/>
        </w:rPr>
        <w:t>O</w:t>
      </w:r>
      <w:r w:rsidRPr="00066B7E">
        <w:rPr>
          <w:rFonts w:cs="Times New Roman"/>
          <w:b/>
        </w:rPr>
        <w:t xml:space="preserve">ffice </w:t>
      </w:r>
      <w:r w:rsidR="00A55038">
        <w:rPr>
          <w:rFonts w:cs="Times New Roman"/>
          <w:b/>
        </w:rPr>
        <w:t>Meetings</w:t>
      </w:r>
    </w:p>
    <w:p w14:paraId="34A22C0C" w14:textId="08E9715B" w:rsidR="001A41AA" w:rsidRPr="00BE4BAB" w:rsidRDefault="001A41AA" w:rsidP="00066B7E">
      <w:pPr>
        <w:pStyle w:val="NoSpacing"/>
        <w:ind w:left="1440"/>
        <w:rPr>
          <w:rFonts w:cs="Times New Roman"/>
        </w:rPr>
      </w:pPr>
      <w:r w:rsidRPr="00BE4BAB">
        <w:rPr>
          <w:rFonts w:cs="Times New Roman"/>
        </w:rPr>
        <w:t xml:space="preserve">If </w:t>
      </w:r>
      <w:r w:rsidR="00A55038">
        <w:rPr>
          <w:rFonts w:cs="Times New Roman"/>
        </w:rPr>
        <w:t>a</w:t>
      </w:r>
      <w:r w:rsidRPr="00BE4BAB">
        <w:rPr>
          <w:rFonts w:cs="Times New Roman"/>
        </w:rPr>
        <w:t xml:space="preserve"> household </w:t>
      </w:r>
      <w:r w:rsidR="004D7574">
        <w:rPr>
          <w:rFonts w:cs="Times New Roman"/>
        </w:rPr>
        <w:t xml:space="preserve">cannot </w:t>
      </w:r>
      <w:r w:rsidR="00A55038">
        <w:rPr>
          <w:rFonts w:cs="Times New Roman"/>
        </w:rPr>
        <w:t>meet with</w:t>
      </w:r>
      <w:r w:rsidR="004D7574">
        <w:rPr>
          <w:rFonts w:cs="Times New Roman"/>
        </w:rPr>
        <w:t xml:space="preserve"> Project Sponsor staff in the office during </w:t>
      </w:r>
      <w:r w:rsidRPr="00BE4BAB">
        <w:rPr>
          <w:rFonts w:cs="Times New Roman"/>
        </w:rPr>
        <w:t xml:space="preserve">regular business hours, then a Project Sponsor should arrange an off-hour </w:t>
      </w:r>
      <w:r w:rsidR="004D7574">
        <w:rPr>
          <w:rFonts w:cs="Times New Roman"/>
        </w:rPr>
        <w:t>meeting</w:t>
      </w:r>
      <w:r w:rsidRPr="00BE4BAB">
        <w:rPr>
          <w:rFonts w:cs="Times New Roman"/>
        </w:rPr>
        <w:t>.</w:t>
      </w:r>
    </w:p>
    <w:p w14:paraId="03B98998" w14:textId="50C9BAAA" w:rsidR="004B539E" w:rsidRPr="00066B7E" w:rsidRDefault="001A41AA">
      <w:pPr>
        <w:pStyle w:val="NoSpacing"/>
        <w:numPr>
          <w:ilvl w:val="2"/>
          <w:numId w:val="32"/>
        </w:numPr>
        <w:rPr>
          <w:rFonts w:cs="Times New Roman"/>
          <w:b/>
        </w:rPr>
      </w:pPr>
      <w:r w:rsidRPr="00066B7E">
        <w:rPr>
          <w:rFonts w:cs="Times New Roman"/>
          <w:b/>
        </w:rPr>
        <w:t xml:space="preserve">Home </w:t>
      </w:r>
      <w:r w:rsidR="004B539E" w:rsidRPr="00066B7E">
        <w:rPr>
          <w:rFonts w:cs="Times New Roman"/>
          <w:b/>
        </w:rPr>
        <w:t>V</w:t>
      </w:r>
      <w:r w:rsidRPr="00066B7E">
        <w:rPr>
          <w:rFonts w:cs="Times New Roman"/>
          <w:b/>
        </w:rPr>
        <w:t xml:space="preserve">isit </w:t>
      </w:r>
      <w:r w:rsidR="00A55038">
        <w:rPr>
          <w:rFonts w:cs="Times New Roman"/>
          <w:b/>
        </w:rPr>
        <w:t>Meetings</w:t>
      </w:r>
    </w:p>
    <w:p w14:paraId="4C809815" w14:textId="0500841B" w:rsidR="001A41AA" w:rsidRDefault="001A41AA" w:rsidP="00066B7E">
      <w:pPr>
        <w:pStyle w:val="NoSpacing"/>
        <w:ind w:left="1440"/>
        <w:rPr>
          <w:rFonts w:cs="Times New Roman"/>
        </w:rPr>
      </w:pPr>
      <w:r w:rsidRPr="00BE4BAB">
        <w:rPr>
          <w:rFonts w:cs="Times New Roman"/>
        </w:rPr>
        <w:t>If</w:t>
      </w:r>
      <w:r w:rsidR="004D7574">
        <w:rPr>
          <w:rFonts w:cs="Times New Roman"/>
        </w:rPr>
        <w:t xml:space="preserve"> a household cannot meet with</w:t>
      </w:r>
      <w:r w:rsidRPr="00BE4BAB">
        <w:rPr>
          <w:rFonts w:cs="Times New Roman"/>
        </w:rPr>
        <w:t xml:space="preserve"> Project Sponsor</w:t>
      </w:r>
      <w:r w:rsidR="004D7574">
        <w:rPr>
          <w:rFonts w:cs="Times New Roman"/>
        </w:rPr>
        <w:t xml:space="preserve"> staff in the office</w:t>
      </w:r>
      <w:r w:rsidRPr="00BE4BAB">
        <w:rPr>
          <w:rFonts w:cs="Times New Roman"/>
        </w:rPr>
        <w:t xml:space="preserve">, then the Project Sponsor should arrange </w:t>
      </w:r>
      <w:r w:rsidR="004D7574">
        <w:rPr>
          <w:rFonts w:cs="Times New Roman"/>
        </w:rPr>
        <w:t>a meeting</w:t>
      </w:r>
      <w:r w:rsidRPr="00BE4BAB">
        <w:rPr>
          <w:rFonts w:cs="Times New Roman"/>
        </w:rPr>
        <w:t xml:space="preserve"> at the household’s current residence or other agreed location.</w:t>
      </w:r>
    </w:p>
    <w:p w14:paraId="7C77C916" w14:textId="39E263AA" w:rsidR="0006743A" w:rsidRPr="00066B7E" w:rsidRDefault="0006743A" w:rsidP="0006743A">
      <w:pPr>
        <w:pStyle w:val="NoSpacing"/>
        <w:numPr>
          <w:ilvl w:val="2"/>
          <w:numId w:val="32"/>
        </w:numPr>
        <w:rPr>
          <w:rFonts w:cs="Times New Roman"/>
          <w:b/>
        </w:rPr>
      </w:pPr>
      <w:r>
        <w:rPr>
          <w:rFonts w:cs="Times New Roman"/>
          <w:b/>
        </w:rPr>
        <w:t>Remote</w:t>
      </w:r>
      <w:r w:rsidRPr="00066B7E">
        <w:rPr>
          <w:rFonts w:cs="Times New Roman"/>
          <w:b/>
        </w:rPr>
        <w:t xml:space="preserve"> </w:t>
      </w:r>
      <w:r w:rsidR="00A55038">
        <w:rPr>
          <w:rFonts w:cs="Times New Roman"/>
          <w:b/>
        </w:rPr>
        <w:t>Meetings</w:t>
      </w:r>
    </w:p>
    <w:p w14:paraId="6F5F6743" w14:textId="0AAC402C" w:rsidR="0006743A" w:rsidRPr="00BE4BAB" w:rsidRDefault="0006743A" w:rsidP="00066B7E">
      <w:pPr>
        <w:pStyle w:val="NoSpacing"/>
        <w:ind w:left="1440"/>
        <w:rPr>
          <w:rFonts w:cs="Times New Roman"/>
        </w:rPr>
      </w:pPr>
      <w:r>
        <w:rPr>
          <w:rFonts w:cs="Times New Roman"/>
        </w:rPr>
        <w:t>Instead of</w:t>
      </w:r>
      <w:r w:rsidR="008F549A">
        <w:rPr>
          <w:rFonts w:cs="Times New Roman"/>
        </w:rPr>
        <w:t xml:space="preserve"> a face-to-face </w:t>
      </w:r>
      <w:r w:rsidR="004D7574">
        <w:rPr>
          <w:rFonts w:cs="Times New Roman"/>
        </w:rPr>
        <w:t>meeting</w:t>
      </w:r>
      <w:r>
        <w:rPr>
          <w:rFonts w:cs="Times New Roman"/>
        </w:rPr>
        <w:t xml:space="preserve">, a Project Sponsor may arrange </w:t>
      </w:r>
      <w:r w:rsidR="008F549A">
        <w:rPr>
          <w:rFonts w:cs="Times New Roman"/>
        </w:rPr>
        <w:t xml:space="preserve">a remote </w:t>
      </w:r>
      <w:r w:rsidR="004D7574">
        <w:rPr>
          <w:rFonts w:cs="Times New Roman"/>
        </w:rPr>
        <w:t>meeting</w:t>
      </w:r>
      <w:r w:rsidR="008F549A">
        <w:rPr>
          <w:rFonts w:cs="Times New Roman"/>
        </w:rPr>
        <w:t xml:space="preserve"> via phone or </w:t>
      </w:r>
      <w:r w:rsidR="00BD220F">
        <w:rPr>
          <w:rFonts w:cs="Times New Roman"/>
        </w:rPr>
        <w:t xml:space="preserve">secure </w:t>
      </w:r>
      <w:r w:rsidR="008F549A">
        <w:rPr>
          <w:rFonts w:cs="Times New Roman"/>
        </w:rPr>
        <w:t>audio/video streaming technology and household</w:t>
      </w:r>
      <w:r w:rsidR="004D7574">
        <w:rPr>
          <w:rFonts w:cs="Times New Roman"/>
        </w:rPr>
        <w:t>s</w:t>
      </w:r>
      <w:r w:rsidR="008F549A">
        <w:rPr>
          <w:rFonts w:cs="Times New Roman"/>
        </w:rPr>
        <w:t xml:space="preserve"> may submit application</w:t>
      </w:r>
      <w:r w:rsidR="004D7574">
        <w:rPr>
          <w:rFonts w:cs="Times New Roman"/>
        </w:rPr>
        <w:t>s and/or other relevant documentation</w:t>
      </w:r>
      <w:r w:rsidR="008F549A">
        <w:rPr>
          <w:rFonts w:cs="Times New Roman"/>
        </w:rPr>
        <w:t xml:space="preserve"> via mail, fax, or secure electronic means.</w:t>
      </w:r>
      <w:r w:rsidR="00097FEA">
        <w:rPr>
          <w:rFonts w:cs="Times New Roman"/>
        </w:rPr>
        <w:t xml:space="preserve"> Project Sponsors using telemedicine, </w:t>
      </w:r>
      <w:proofErr w:type="spellStart"/>
      <w:r w:rsidR="00097FEA">
        <w:rPr>
          <w:rFonts w:cs="Times New Roman"/>
        </w:rPr>
        <w:t>teledentistry</w:t>
      </w:r>
      <w:proofErr w:type="spellEnd"/>
      <w:r w:rsidR="00097FEA">
        <w:rPr>
          <w:rFonts w:cs="Times New Roman"/>
        </w:rPr>
        <w:t xml:space="preserve">, or telehealth platforms to offer remote </w:t>
      </w:r>
      <w:r w:rsidR="004D7574">
        <w:rPr>
          <w:rFonts w:cs="Times New Roman"/>
        </w:rPr>
        <w:t>meetings</w:t>
      </w:r>
      <w:r w:rsidR="00097FEA">
        <w:rPr>
          <w:rFonts w:cs="Times New Roman"/>
        </w:rPr>
        <w:t xml:space="preserve"> must do so in accordance with federal and state law</w:t>
      </w:r>
      <w:r w:rsidR="00A55038">
        <w:rPr>
          <w:rFonts w:cs="Times New Roman"/>
        </w:rPr>
        <w:t xml:space="preserve"> </w:t>
      </w:r>
      <w:r w:rsidR="00097FEA">
        <w:rPr>
          <w:rFonts w:cs="Times New Roman"/>
        </w:rPr>
        <w:t xml:space="preserve">and the </w:t>
      </w:r>
      <w:hyperlink r:id="rId34" w:history="1">
        <w:r w:rsidR="00097FEA" w:rsidRPr="00A55038">
          <w:rPr>
            <w:rStyle w:val="Hyperlink"/>
            <w:rFonts w:cs="Times New Roman"/>
          </w:rPr>
          <w:t>DSHS Guidance for the Use of Telemedicine and Telehealth for HIV Core and Support Services</w:t>
        </w:r>
      </w:hyperlink>
      <w:r w:rsidR="00A55038">
        <w:rPr>
          <w:rFonts w:cs="Times New Roman"/>
        </w:rPr>
        <w:t>.</w:t>
      </w:r>
      <w:bookmarkEnd w:id="7"/>
      <w:r w:rsidR="00097FEA">
        <w:rPr>
          <w:rFonts w:cs="Times New Roman"/>
        </w:rPr>
        <w:t xml:space="preserve"> </w:t>
      </w:r>
    </w:p>
    <w:p w14:paraId="4B86F022" w14:textId="77777777" w:rsidR="00BE4BAB" w:rsidRDefault="00BE4BAB" w:rsidP="00FF0231">
      <w:pPr>
        <w:pStyle w:val="NoSpacing"/>
        <w:ind w:left="720"/>
        <w:rPr>
          <w:rFonts w:cs="Times New Roman"/>
        </w:rPr>
      </w:pPr>
    </w:p>
    <w:p w14:paraId="75F3CD62" w14:textId="251B27AF" w:rsidR="00B830E0" w:rsidRPr="00786AC9" w:rsidRDefault="00B830E0" w:rsidP="00754E9B">
      <w:pPr>
        <w:pStyle w:val="NoSpacing"/>
        <w:numPr>
          <w:ilvl w:val="1"/>
          <w:numId w:val="32"/>
        </w:numPr>
        <w:rPr>
          <w:rFonts w:cs="Times New Roman"/>
          <w:b/>
          <w:u w:val="single"/>
        </w:rPr>
      </w:pPr>
      <w:r>
        <w:rPr>
          <w:rFonts w:cs="Times New Roman"/>
          <w:b/>
          <w:u w:val="single"/>
        </w:rPr>
        <w:t>Waitlists</w:t>
      </w:r>
    </w:p>
    <w:p w14:paraId="50BB1A9D" w14:textId="163B6C74" w:rsidR="00B830E0" w:rsidRPr="008A2E75" w:rsidRDefault="00B830E0" w:rsidP="00B830E0">
      <w:pPr>
        <w:pStyle w:val="NoSpacing"/>
        <w:ind w:left="720"/>
        <w:rPr>
          <w:rFonts w:cs="Times New Roman"/>
        </w:rPr>
      </w:pPr>
      <w:r>
        <w:rPr>
          <w:rFonts w:cs="Times New Roman"/>
        </w:rPr>
        <w:t xml:space="preserve">Project Sponsors </w:t>
      </w:r>
      <w:r w:rsidR="00966E47">
        <w:rPr>
          <w:rFonts w:cs="Times New Roman"/>
        </w:rPr>
        <w:t>must establish a waitlist for eligible households when demand for service</w:t>
      </w:r>
      <w:r w:rsidR="00C73B35">
        <w:rPr>
          <w:rFonts w:cs="Times New Roman"/>
        </w:rPr>
        <w:t>s</w:t>
      </w:r>
      <w:r w:rsidR="00966E47">
        <w:rPr>
          <w:rFonts w:cs="Times New Roman"/>
        </w:rPr>
        <w:t xml:space="preserve"> exceeds the Project Sponsor’s ability to supply </w:t>
      </w:r>
      <w:r w:rsidR="00C73B35">
        <w:rPr>
          <w:rFonts w:cs="Times New Roman"/>
        </w:rPr>
        <w:t>them</w:t>
      </w:r>
      <w:r w:rsidR="00966E47">
        <w:rPr>
          <w:rFonts w:cs="Times New Roman"/>
        </w:rPr>
        <w:t xml:space="preserve">. Further, Project Sponsors must </w:t>
      </w:r>
      <w:r w:rsidR="00966E47" w:rsidRPr="00B830E0">
        <w:rPr>
          <w:rFonts w:cs="Times New Roman"/>
        </w:rPr>
        <w:t xml:space="preserve">collaborate with </w:t>
      </w:r>
      <w:r w:rsidR="00570DA0">
        <w:rPr>
          <w:rFonts w:cs="Times New Roman"/>
        </w:rPr>
        <w:t>their AA</w:t>
      </w:r>
      <w:r w:rsidR="00966E47" w:rsidRPr="00B830E0">
        <w:rPr>
          <w:rFonts w:cs="Times New Roman"/>
        </w:rPr>
        <w:t xml:space="preserve"> to develop </w:t>
      </w:r>
      <w:r w:rsidR="00966E47">
        <w:rPr>
          <w:rFonts w:cs="Times New Roman"/>
        </w:rPr>
        <w:t>a waitlist policy</w:t>
      </w:r>
      <w:r w:rsidR="00354751" w:rsidRPr="00354751">
        <w:rPr>
          <w:rFonts w:cs="Times New Roman"/>
        </w:rPr>
        <w:t>.</w:t>
      </w:r>
      <w:r w:rsidR="00354751">
        <w:rPr>
          <w:rFonts w:cs="Times New Roman"/>
        </w:rPr>
        <w:t xml:space="preserve"> </w:t>
      </w:r>
      <w:r w:rsidRPr="00B830E0">
        <w:rPr>
          <w:rFonts w:cs="Times New Roman"/>
        </w:rPr>
        <w:t xml:space="preserve">The </w:t>
      </w:r>
      <w:r w:rsidR="00B300DF">
        <w:rPr>
          <w:rFonts w:cs="Times New Roman"/>
        </w:rPr>
        <w:t>policy must specify</w:t>
      </w:r>
      <w:r w:rsidRPr="00B830E0">
        <w:rPr>
          <w:rFonts w:cs="Times New Roman"/>
        </w:rPr>
        <w:t xml:space="preserve"> how </w:t>
      </w:r>
      <w:r w:rsidR="00AA0210">
        <w:rPr>
          <w:rFonts w:cs="Times New Roman"/>
        </w:rPr>
        <w:t>the Project Sponsor maintains their waitlist</w:t>
      </w:r>
      <w:r w:rsidRPr="00B830E0">
        <w:rPr>
          <w:rFonts w:cs="Times New Roman"/>
        </w:rPr>
        <w:t xml:space="preserve"> and how </w:t>
      </w:r>
      <w:r w:rsidR="00AA0210">
        <w:rPr>
          <w:rFonts w:cs="Times New Roman"/>
        </w:rPr>
        <w:t xml:space="preserve">they prioritize </w:t>
      </w:r>
      <w:r w:rsidRPr="00B830E0">
        <w:rPr>
          <w:rFonts w:cs="Times New Roman"/>
        </w:rPr>
        <w:t xml:space="preserve">waitlisted households. </w:t>
      </w:r>
      <w:r w:rsidR="00AA0210">
        <w:rPr>
          <w:rFonts w:cs="Times New Roman"/>
        </w:rPr>
        <w:t xml:space="preserve">Additionally, </w:t>
      </w:r>
      <w:r w:rsidRPr="00B830E0">
        <w:rPr>
          <w:rFonts w:cs="Times New Roman"/>
        </w:rPr>
        <w:t xml:space="preserve">Project Sponsors must </w:t>
      </w:r>
      <w:r w:rsidR="00AA0210">
        <w:rPr>
          <w:rFonts w:cs="Times New Roman"/>
        </w:rPr>
        <w:t>create</w:t>
      </w:r>
      <w:r w:rsidR="00966E47">
        <w:rPr>
          <w:rFonts w:cs="Times New Roman"/>
        </w:rPr>
        <w:t xml:space="preserve"> a waitlist management tool that </w:t>
      </w:r>
      <w:r w:rsidRPr="00B830E0">
        <w:rPr>
          <w:rFonts w:cs="Times New Roman"/>
        </w:rPr>
        <w:t>categoriz</w:t>
      </w:r>
      <w:r w:rsidR="00966E47">
        <w:rPr>
          <w:rFonts w:cs="Times New Roman"/>
        </w:rPr>
        <w:t>es</w:t>
      </w:r>
      <w:r w:rsidRPr="00B830E0">
        <w:rPr>
          <w:rFonts w:cs="Times New Roman"/>
        </w:rPr>
        <w:t xml:space="preserve"> waitlisted households by t</w:t>
      </w:r>
      <w:r w:rsidR="00B300DF">
        <w:rPr>
          <w:rFonts w:cs="Times New Roman"/>
        </w:rPr>
        <w:t xml:space="preserve">he service category </w:t>
      </w:r>
      <w:r w:rsidR="00B300DF" w:rsidRPr="008A2E75">
        <w:rPr>
          <w:rFonts w:cs="Times New Roman"/>
        </w:rPr>
        <w:t>they need (i</w:t>
      </w:r>
      <w:r w:rsidRPr="008A2E75">
        <w:rPr>
          <w:rFonts w:cs="Times New Roman"/>
        </w:rPr>
        <w:t>.</w:t>
      </w:r>
      <w:r w:rsidR="00B300DF" w:rsidRPr="008A2E75">
        <w:rPr>
          <w:rFonts w:cs="Times New Roman"/>
        </w:rPr>
        <w:t>e</w:t>
      </w:r>
      <w:r w:rsidRPr="008A2E75">
        <w:rPr>
          <w:rFonts w:cs="Times New Roman"/>
        </w:rPr>
        <w:t>., TBRA</w:t>
      </w:r>
      <w:r w:rsidR="003538FA">
        <w:rPr>
          <w:rFonts w:cs="Times New Roman"/>
        </w:rPr>
        <w:t>,</w:t>
      </w:r>
      <w:r w:rsidR="00332D31">
        <w:rPr>
          <w:rFonts w:cs="Times New Roman"/>
        </w:rPr>
        <w:t xml:space="preserve"> </w:t>
      </w:r>
      <w:r w:rsidRPr="008A2E75">
        <w:rPr>
          <w:rFonts w:cs="Times New Roman"/>
        </w:rPr>
        <w:t>STRMU</w:t>
      </w:r>
      <w:r w:rsidR="003538FA">
        <w:rPr>
          <w:rFonts w:cs="Times New Roman"/>
        </w:rPr>
        <w:t>,</w:t>
      </w:r>
      <w:r w:rsidR="00332D31">
        <w:rPr>
          <w:rFonts w:cs="Times New Roman"/>
        </w:rPr>
        <w:t xml:space="preserve"> and FB</w:t>
      </w:r>
      <w:r w:rsidR="00AC5DC1">
        <w:rPr>
          <w:rFonts w:cs="Times New Roman"/>
        </w:rPr>
        <w:t>H</w:t>
      </w:r>
      <w:r w:rsidR="00332D31">
        <w:rPr>
          <w:rFonts w:cs="Times New Roman"/>
        </w:rPr>
        <w:t>A</w:t>
      </w:r>
      <w:r w:rsidRPr="008A2E75">
        <w:rPr>
          <w:rFonts w:cs="Times New Roman"/>
        </w:rPr>
        <w:t xml:space="preserve">), update </w:t>
      </w:r>
      <w:r w:rsidR="00F71194">
        <w:rPr>
          <w:rFonts w:cs="Times New Roman"/>
        </w:rPr>
        <w:t>the waitlist</w:t>
      </w:r>
      <w:r w:rsidRPr="008A2E75">
        <w:rPr>
          <w:rFonts w:cs="Times New Roman"/>
        </w:rPr>
        <w:t xml:space="preserve"> every three months at minimum, and include the dates </w:t>
      </w:r>
      <w:r w:rsidR="00EF343F">
        <w:rPr>
          <w:rFonts w:cs="Times New Roman"/>
        </w:rPr>
        <w:t xml:space="preserve">that households transition on or </w:t>
      </w:r>
      <w:r w:rsidR="000A08A7">
        <w:rPr>
          <w:rFonts w:cs="Times New Roman"/>
        </w:rPr>
        <w:t>off</w:t>
      </w:r>
      <w:r w:rsidR="00F71194">
        <w:rPr>
          <w:rFonts w:cs="Times New Roman"/>
        </w:rPr>
        <w:t xml:space="preserve"> the waitlist</w:t>
      </w:r>
      <w:r w:rsidR="00F41F6C">
        <w:rPr>
          <w:rFonts w:cs="Times New Roman"/>
        </w:rPr>
        <w:t>.</w:t>
      </w:r>
    </w:p>
    <w:p w14:paraId="7F6EAF9E" w14:textId="676351D6" w:rsidR="00CB06E6" w:rsidRPr="004F1682" w:rsidRDefault="00691152" w:rsidP="004F1682">
      <w:pPr>
        <w:rPr>
          <w:rFonts w:cs="Times New Roman"/>
          <w:sz w:val="6"/>
          <w:szCs w:val="6"/>
        </w:rPr>
      </w:pPr>
      <w:r w:rsidRPr="004F1682">
        <w:rPr>
          <w:rFonts w:cs="Times New Roman"/>
          <w:sz w:val="6"/>
          <w:szCs w:val="6"/>
        </w:rPr>
        <w:br w:type="page"/>
      </w:r>
    </w:p>
    <w:p w14:paraId="7B0788B5" w14:textId="1D54298A" w:rsidR="00F72174" w:rsidRPr="00CB06E6" w:rsidRDefault="00E635CA" w:rsidP="00CB06E6">
      <w:pPr>
        <w:pStyle w:val="Heading1"/>
      </w:pPr>
      <w:bookmarkStart w:id="8" w:name="_Toc140755462"/>
      <w:r>
        <w:lastRenderedPageBreak/>
        <w:t>Section 8.</w:t>
      </w:r>
      <w:r w:rsidR="001A41AA" w:rsidRPr="008A2696">
        <w:t xml:space="preserve"> Fair Housing</w:t>
      </w:r>
      <w:r w:rsidR="00F72174" w:rsidRPr="008A2696">
        <w:t>, Nondiscrimination, and Equal Opportunity</w:t>
      </w:r>
      <w:bookmarkEnd w:id="8"/>
    </w:p>
    <w:p w14:paraId="0B914C46" w14:textId="1DE765A0" w:rsidR="00F72174" w:rsidRPr="00F72174" w:rsidRDefault="00F72174" w:rsidP="00754E9B">
      <w:pPr>
        <w:pStyle w:val="NoSpacing"/>
        <w:numPr>
          <w:ilvl w:val="1"/>
          <w:numId w:val="33"/>
        </w:numPr>
        <w:rPr>
          <w:rFonts w:cs="Times New Roman"/>
          <w:b/>
          <w:u w:val="single"/>
        </w:rPr>
      </w:pPr>
      <w:r w:rsidRPr="00F72174">
        <w:rPr>
          <w:rFonts w:cs="Times New Roman"/>
          <w:b/>
          <w:u w:val="single"/>
        </w:rPr>
        <w:t>Fair Housing</w:t>
      </w:r>
      <w:r w:rsidR="00357ADA">
        <w:rPr>
          <w:rFonts w:cs="Times New Roman"/>
          <w:b/>
          <w:u w:val="single"/>
        </w:rPr>
        <w:t xml:space="preserve"> Act</w:t>
      </w:r>
    </w:p>
    <w:p w14:paraId="5C0A4DCF" w14:textId="48F1B574" w:rsidR="001A41AA" w:rsidRDefault="001A41AA" w:rsidP="00850524">
      <w:pPr>
        <w:pStyle w:val="NoSpacing"/>
        <w:ind w:left="720"/>
        <w:rPr>
          <w:rFonts w:cs="Times New Roman"/>
        </w:rPr>
      </w:pPr>
      <w:r w:rsidRPr="00F72174">
        <w:rPr>
          <w:rFonts w:cs="Times New Roman"/>
        </w:rPr>
        <w:t>The Fair Housing Act protects people from discrimination when they rent, buy, or secur</w:t>
      </w:r>
      <w:r w:rsidR="00563DA4">
        <w:rPr>
          <w:rFonts w:cs="Times New Roman"/>
        </w:rPr>
        <w:t>e</w:t>
      </w:r>
      <w:r w:rsidRPr="00F72174">
        <w:rPr>
          <w:rFonts w:cs="Times New Roman"/>
        </w:rPr>
        <w:t xml:space="preserve"> financing for any housing. The prohibitions specifically cover discrimination because of </w:t>
      </w:r>
      <w:r w:rsidR="00357ADA" w:rsidRPr="00357ADA">
        <w:rPr>
          <w:rFonts w:cs="Times New Roman"/>
        </w:rPr>
        <w:t>race, color, religion, sex</w:t>
      </w:r>
      <w:r w:rsidR="00F12ABE">
        <w:rPr>
          <w:rFonts w:cs="Times New Roman"/>
        </w:rPr>
        <w:t xml:space="preserve"> (including gender identity and sexual orientation)</w:t>
      </w:r>
      <w:r w:rsidR="00357ADA" w:rsidRPr="00357ADA">
        <w:rPr>
          <w:rFonts w:cs="Times New Roman"/>
        </w:rPr>
        <w:t xml:space="preserve">, age, national origin, familial status, or </w:t>
      </w:r>
      <w:r w:rsidR="00D74042">
        <w:rPr>
          <w:rFonts w:cs="Times New Roman"/>
        </w:rPr>
        <w:t>disability</w:t>
      </w:r>
      <w:r w:rsidRPr="00F72174">
        <w:rPr>
          <w:rFonts w:cs="Times New Roman"/>
        </w:rPr>
        <w:t xml:space="preserve">. </w:t>
      </w:r>
      <w:r w:rsidR="0057156B">
        <w:rPr>
          <w:rFonts w:cs="Times New Roman"/>
        </w:rPr>
        <w:t>The Act makes it</w:t>
      </w:r>
      <w:r w:rsidRPr="00F72174">
        <w:rPr>
          <w:rFonts w:cs="Times New Roman"/>
        </w:rPr>
        <w:t xml:space="preserve"> unlawful to discriminate in any aspect of selling or renting housing or to deny a dwelling to a buyer or renter because of the disability of that individual, an individual associated with the buyer or renter, or an individual who intends to live in the residence. Other covered activities include zoning practices, new constr</w:t>
      </w:r>
      <w:r w:rsidR="0020558A">
        <w:rPr>
          <w:rFonts w:cs="Times New Roman"/>
        </w:rPr>
        <w:t>uction design, and advertising.</w:t>
      </w:r>
      <w:r w:rsidR="005208E8">
        <w:rPr>
          <w:rFonts w:cs="Times New Roman"/>
        </w:rPr>
        <w:t xml:space="preserve"> </w:t>
      </w:r>
      <w:r w:rsidR="00E93ECA">
        <w:rPr>
          <w:rFonts w:cs="Times New Roman"/>
        </w:rPr>
        <w:t>For m</w:t>
      </w:r>
      <w:r w:rsidRPr="00F72174">
        <w:rPr>
          <w:rFonts w:cs="Times New Roman"/>
        </w:rPr>
        <w:t xml:space="preserve">ore information about </w:t>
      </w:r>
      <w:r w:rsidR="00F12ABE">
        <w:rPr>
          <w:rFonts w:cs="Times New Roman"/>
        </w:rPr>
        <w:t xml:space="preserve">fair housing and civil rights </w:t>
      </w:r>
      <w:r w:rsidR="00E93ECA">
        <w:rPr>
          <w:rFonts w:cs="Times New Roman"/>
        </w:rPr>
        <w:t xml:space="preserve">, visit </w:t>
      </w:r>
      <w:r w:rsidRPr="00F72174">
        <w:rPr>
          <w:rFonts w:cs="Times New Roman"/>
        </w:rPr>
        <w:t>HUD</w:t>
      </w:r>
      <w:r w:rsidR="00E93ECA">
        <w:rPr>
          <w:rFonts w:cs="Times New Roman"/>
        </w:rPr>
        <w:t>’s</w:t>
      </w:r>
      <w:r w:rsidRPr="00F72174">
        <w:rPr>
          <w:rFonts w:cs="Times New Roman"/>
        </w:rPr>
        <w:t xml:space="preserve"> </w:t>
      </w:r>
      <w:r w:rsidR="00E93ECA">
        <w:rPr>
          <w:rFonts w:cs="Times New Roman"/>
        </w:rPr>
        <w:t>Office of Fair Housing and Equal Opportunity</w:t>
      </w:r>
      <w:r w:rsidRPr="00F72174">
        <w:rPr>
          <w:rFonts w:cs="Times New Roman"/>
        </w:rPr>
        <w:t xml:space="preserve"> </w:t>
      </w:r>
      <w:hyperlink r:id="rId35" w:history="1">
        <w:r w:rsidR="00530EAA">
          <w:rPr>
            <w:rStyle w:val="Hyperlink"/>
            <w:rFonts w:cs="Times New Roman"/>
          </w:rPr>
          <w:t>website</w:t>
        </w:r>
      </w:hyperlink>
      <w:r w:rsidR="00F12ABE" w:rsidRPr="00DE48B8">
        <w:rPr>
          <w:rStyle w:val="Hyperlink"/>
          <w:rFonts w:cs="Times New Roman"/>
          <w:color w:val="auto"/>
          <w:u w:val="none"/>
        </w:rPr>
        <w:t xml:space="preserve"> or the HUD Exchange Fair Housing and Civil Rights </w:t>
      </w:r>
      <w:hyperlink r:id="rId36" w:history="1">
        <w:r w:rsidR="00F12ABE" w:rsidRPr="00D430A4">
          <w:rPr>
            <w:rStyle w:val="Hyperlink"/>
            <w:rFonts w:cs="Times New Roman"/>
          </w:rPr>
          <w:t>website</w:t>
        </w:r>
      </w:hyperlink>
      <w:r w:rsidRPr="00D430A4">
        <w:rPr>
          <w:rFonts w:cs="Times New Roman"/>
        </w:rPr>
        <w:t xml:space="preserve">. </w:t>
      </w:r>
      <w:r w:rsidR="00E93ECA" w:rsidRPr="00D430A4">
        <w:rPr>
          <w:rFonts w:cs="Times New Roman"/>
        </w:rPr>
        <w:t xml:space="preserve">For </w:t>
      </w:r>
      <w:r w:rsidR="00E93ECA">
        <w:rPr>
          <w:rFonts w:cs="Times New Roman"/>
        </w:rPr>
        <w:t xml:space="preserve">fair housing outreach and marketing tools, visit </w:t>
      </w:r>
      <w:r w:rsidRPr="00F72174">
        <w:rPr>
          <w:rFonts w:cs="Times New Roman"/>
        </w:rPr>
        <w:t>HUD</w:t>
      </w:r>
      <w:r w:rsidR="00E93ECA">
        <w:rPr>
          <w:rFonts w:cs="Times New Roman"/>
        </w:rPr>
        <w:t>’s</w:t>
      </w:r>
      <w:r w:rsidRPr="00F72174">
        <w:rPr>
          <w:rFonts w:cs="Times New Roman"/>
        </w:rPr>
        <w:t xml:space="preserve"> Fair Housing </w:t>
      </w:r>
      <w:r w:rsidR="00E93ECA">
        <w:rPr>
          <w:rFonts w:cs="Times New Roman"/>
        </w:rPr>
        <w:t>Marketing</w:t>
      </w:r>
      <w:r w:rsidRPr="00F72174">
        <w:rPr>
          <w:rFonts w:cs="Times New Roman"/>
        </w:rPr>
        <w:t xml:space="preserve"> </w:t>
      </w:r>
      <w:hyperlink r:id="rId37" w:history="1">
        <w:r w:rsidR="00E5417B">
          <w:rPr>
            <w:rStyle w:val="Hyperlink"/>
            <w:rFonts w:cs="Times New Roman"/>
          </w:rPr>
          <w:t>website</w:t>
        </w:r>
      </w:hyperlink>
      <w:r w:rsidR="00E93ECA" w:rsidRPr="00E93ECA">
        <w:rPr>
          <w:rStyle w:val="Hyperlink"/>
          <w:rFonts w:cs="Times New Roman"/>
          <w:color w:val="auto"/>
          <w:u w:val="none"/>
        </w:rPr>
        <w:t>.</w:t>
      </w:r>
      <w:r w:rsidR="002504DD">
        <w:rPr>
          <w:rStyle w:val="Hyperlink"/>
          <w:rFonts w:cs="Times New Roman"/>
          <w:color w:val="auto"/>
          <w:u w:val="none"/>
        </w:rPr>
        <w:t xml:space="preserve"> To file a fair housing complaint</w:t>
      </w:r>
      <w:r w:rsidR="00EB6A0A">
        <w:rPr>
          <w:rStyle w:val="Hyperlink"/>
          <w:rFonts w:cs="Times New Roman"/>
          <w:color w:val="auto"/>
          <w:u w:val="none"/>
        </w:rPr>
        <w:t xml:space="preserve"> with HUD</w:t>
      </w:r>
      <w:r w:rsidR="002504DD">
        <w:rPr>
          <w:rStyle w:val="Hyperlink"/>
          <w:rFonts w:cs="Times New Roman"/>
          <w:color w:val="auto"/>
          <w:u w:val="none"/>
        </w:rPr>
        <w:t xml:space="preserve">, visit HUD’s File a Complaint </w:t>
      </w:r>
      <w:hyperlink r:id="rId38" w:history="1">
        <w:r w:rsidR="002504DD" w:rsidRPr="002504DD">
          <w:rPr>
            <w:rStyle w:val="Hyperlink"/>
            <w:rFonts w:cs="Times New Roman"/>
          </w:rPr>
          <w:t>website</w:t>
        </w:r>
      </w:hyperlink>
      <w:r w:rsidR="002504DD">
        <w:rPr>
          <w:rStyle w:val="Hyperlink"/>
          <w:rFonts w:cs="Times New Roman"/>
          <w:color w:val="auto"/>
          <w:u w:val="none"/>
        </w:rPr>
        <w:t>.</w:t>
      </w:r>
      <w:r w:rsidR="00EB6A0A">
        <w:rPr>
          <w:rStyle w:val="Hyperlink"/>
          <w:rFonts w:cs="Times New Roman"/>
          <w:color w:val="auto"/>
          <w:u w:val="none"/>
        </w:rPr>
        <w:t xml:space="preserve"> For additional fair housing information and resources in Texas, visit the Texas Department of Housing and Community Affairs Fair Housing </w:t>
      </w:r>
      <w:hyperlink r:id="rId39" w:history="1">
        <w:r w:rsidR="00EB6A0A" w:rsidRPr="00EB6A0A">
          <w:rPr>
            <w:rStyle w:val="Hyperlink"/>
            <w:rFonts w:cs="Times New Roman"/>
          </w:rPr>
          <w:t>website</w:t>
        </w:r>
      </w:hyperlink>
      <w:r w:rsidR="00EB6A0A">
        <w:rPr>
          <w:rStyle w:val="Hyperlink"/>
          <w:rFonts w:cs="Times New Roman"/>
          <w:color w:val="auto"/>
          <w:u w:val="none"/>
        </w:rPr>
        <w:t>.</w:t>
      </w:r>
    </w:p>
    <w:p w14:paraId="2D3A71BB" w14:textId="77777777" w:rsidR="00BE4BAB" w:rsidRDefault="00BE4BAB" w:rsidP="00850524">
      <w:pPr>
        <w:pStyle w:val="NoSpacing"/>
        <w:ind w:left="720"/>
        <w:rPr>
          <w:rFonts w:cs="Times New Roman"/>
        </w:rPr>
      </w:pPr>
    </w:p>
    <w:p w14:paraId="7DE181B6" w14:textId="058C2567" w:rsidR="00382EB8" w:rsidRDefault="00382EB8" w:rsidP="00754E9B">
      <w:pPr>
        <w:pStyle w:val="NoSpacing"/>
        <w:numPr>
          <w:ilvl w:val="1"/>
          <w:numId w:val="33"/>
        </w:numPr>
        <w:rPr>
          <w:rFonts w:cs="Times New Roman"/>
          <w:b/>
          <w:u w:val="single"/>
        </w:rPr>
      </w:pPr>
      <w:r>
        <w:rPr>
          <w:rFonts w:cs="Times New Roman"/>
          <w:b/>
          <w:u w:val="single"/>
        </w:rPr>
        <w:t>Affirmatively Furthering Fair Housing</w:t>
      </w:r>
    </w:p>
    <w:p w14:paraId="4F3A2AE3" w14:textId="0FB1235E" w:rsidR="00382EB8" w:rsidRDefault="0057156B" w:rsidP="00382EB8">
      <w:pPr>
        <w:pStyle w:val="NoSpacing"/>
        <w:ind w:left="720"/>
        <w:rPr>
          <w:rFonts w:cs="Times New Roman"/>
        </w:rPr>
      </w:pPr>
      <w:r>
        <w:rPr>
          <w:rFonts w:cs="Times New Roman"/>
        </w:rPr>
        <w:t>F</w:t>
      </w:r>
      <w:r w:rsidR="00382EB8" w:rsidRPr="00382EB8">
        <w:rPr>
          <w:rFonts w:cs="Times New Roman"/>
        </w:rPr>
        <w:t xml:space="preserve">ederal grantees </w:t>
      </w:r>
      <w:r>
        <w:rPr>
          <w:rFonts w:cs="Times New Roman"/>
        </w:rPr>
        <w:t xml:space="preserve">must </w:t>
      </w:r>
      <w:r w:rsidR="00382EB8" w:rsidRPr="00382EB8">
        <w:rPr>
          <w:rFonts w:cs="Times New Roman"/>
        </w:rPr>
        <w:t xml:space="preserve">further the purposes of the Fair Housing Act. </w:t>
      </w:r>
      <w:r w:rsidR="00382EB8">
        <w:rPr>
          <w:rFonts w:cs="Times New Roman"/>
        </w:rPr>
        <w:t>DSHS supports AAs and Project Sponsors in their efforts</w:t>
      </w:r>
      <w:r w:rsidR="00382EB8" w:rsidRPr="00382EB8">
        <w:rPr>
          <w:rFonts w:cs="Times New Roman"/>
        </w:rPr>
        <w:t xml:space="preserve"> </w:t>
      </w:r>
      <w:r w:rsidR="00382EB8">
        <w:rPr>
          <w:rFonts w:cs="Times New Roman"/>
        </w:rPr>
        <w:t>to</w:t>
      </w:r>
      <w:r w:rsidR="00382EB8" w:rsidRPr="00382EB8">
        <w:rPr>
          <w:rFonts w:cs="Times New Roman"/>
        </w:rPr>
        <w:t xml:space="preserve"> </w:t>
      </w:r>
      <w:r w:rsidR="002F69B1">
        <w:rPr>
          <w:rFonts w:cs="Times New Roman"/>
        </w:rPr>
        <w:t>take</w:t>
      </w:r>
      <w:r w:rsidR="00382EB8" w:rsidRPr="00382EB8">
        <w:rPr>
          <w:rFonts w:cs="Times New Roman"/>
        </w:rPr>
        <w:t xml:space="preserve"> meaningful actions </w:t>
      </w:r>
      <w:r w:rsidR="00382EB8">
        <w:rPr>
          <w:rFonts w:cs="Times New Roman"/>
        </w:rPr>
        <w:t>that</w:t>
      </w:r>
      <w:r w:rsidR="00382EB8" w:rsidRPr="00382EB8">
        <w:rPr>
          <w:rFonts w:cs="Times New Roman"/>
        </w:rPr>
        <w:t xml:space="preserve"> overcome historic patterns of segregation, promote </w:t>
      </w:r>
      <w:proofErr w:type="gramStart"/>
      <w:r w:rsidR="00B01FA0">
        <w:rPr>
          <w:rFonts w:cs="Times New Roman"/>
        </w:rPr>
        <w:t>equity</w:t>
      </w:r>
      <w:proofErr w:type="gramEnd"/>
      <w:r w:rsidR="00B01FA0">
        <w:rPr>
          <w:rFonts w:cs="Times New Roman"/>
        </w:rPr>
        <w:t xml:space="preserve"> and</w:t>
      </w:r>
      <w:r w:rsidR="00BC751F">
        <w:rPr>
          <w:rFonts w:cs="Times New Roman"/>
        </w:rPr>
        <w:t xml:space="preserve"> fair</w:t>
      </w:r>
      <w:r w:rsidR="00382EB8" w:rsidRPr="00382EB8">
        <w:rPr>
          <w:rFonts w:cs="Times New Roman"/>
        </w:rPr>
        <w:t xml:space="preserve"> housing choice, and foster inclusive communities free from discrimination. </w:t>
      </w:r>
      <w:r w:rsidR="00E31DF9">
        <w:rPr>
          <w:rFonts w:cs="Times New Roman"/>
        </w:rPr>
        <w:t>Affirmatively furthering fair housing</w:t>
      </w:r>
      <w:r w:rsidR="00382EB8" w:rsidRPr="00382EB8">
        <w:rPr>
          <w:rFonts w:cs="Times New Roman"/>
        </w:rPr>
        <w:t xml:space="preserve"> </w:t>
      </w:r>
      <w:r w:rsidR="00E31DF9" w:rsidRPr="00E31DF9">
        <w:rPr>
          <w:rFonts w:cs="Times New Roman"/>
        </w:rPr>
        <w:t>encompasses not only combating discrimination</w:t>
      </w:r>
      <w:r w:rsidR="00E31DF9">
        <w:rPr>
          <w:rFonts w:cs="Times New Roman"/>
        </w:rPr>
        <w:t>, but also implementing measures</w:t>
      </w:r>
      <w:r w:rsidR="00382EB8" w:rsidRPr="00382EB8">
        <w:rPr>
          <w:rFonts w:cs="Times New Roman"/>
        </w:rPr>
        <w:t xml:space="preserve"> that overcome patterns of segregation</w:t>
      </w:r>
      <w:r w:rsidR="00E31DF9">
        <w:rPr>
          <w:rFonts w:cs="Times New Roman"/>
        </w:rPr>
        <w:t>,</w:t>
      </w:r>
      <w:r w:rsidR="00382EB8" w:rsidRPr="00382EB8">
        <w:rPr>
          <w:rFonts w:cs="Times New Roman"/>
        </w:rPr>
        <w:t xml:space="preserve"> foster</w:t>
      </w:r>
      <w:r w:rsidR="00E31DF9">
        <w:rPr>
          <w:rFonts w:cs="Times New Roman"/>
        </w:rPr>
        <w:t>ing</w:t>
      </w:r>
      <w:r w:rsidR="00382EB8" w:rsidRPr="00382EB8">
        <w:rPr>
          <w:rFonts w:cs="Times New Roman"/>
        </w:rPr>
        <w:t xml:space="preserve"> inclusive communities</w:t>
      </w:r>
      <w:r w:rsidR="00E31DF9">
        <w:rPr>
          <w:rFonts w:cs="Times New Roman"/>
        </w:rPr>
        <w:t xml:space="preserve">, removing barriers to opportunity based on </w:t>
      </w:r>
      <w:r w:rsidR="00382EB8" w:rsidRPr="00382EB8">
        <w:rPr>
          <w:rFonts w:cs="Times New Roman"/>
        </w:rPr>
        <w:t>protected characteristics</w:t>
      </w:r>
      <w:r w:rsidR="00E31DF9">
        <w:rPr>
          <w:rFonts w:cs="Times New Roman"/>
        </w:rPr>
        <w:t xml:space="preserve">, </w:t>
      </w:r>
      <w:r w:rsidR="00382EB8" w:rsidRPr="00382EB8">
        <w:rPr>
          <w:rFonts w:cs="Times New Roman"/>
        </w:rPr>
        <w:t>address</w:t>
      </w:r>
      <w:r w:rsidR="00E31DF9">
        <w:rPr>
          <w:rFonts w:cs="Times New Roman"/>
        </w:rPr>
        <w:t>ing</w:t>
      </w:r>
      <w:r w:rsidR="00382EB8" w:rsidRPr="00382EB8">
        <w:rPr>
          <w:rFonts w:cs="Times New Roman"/>
        </w:rPr>
        <w:t xml:space="preserve"> significant disparities in housing needs and access to opportunity, replacing segregated living patterns with truly integrated and balanced living patterns, transforming racially and ethnically concentrated areas of poverty into areas of opportunity, and fostering and maintaining compliance with civil rights and fair housing laws. </w:t>
      </w:r>
      <w:r w:rsidR="00B01FA0">
        <w:rPr>
          <w:rFonts w:cs="Times New Roman"/>
        </w:rPr>
        <w:t>For example, Project Sponsors could establish</w:t>
      </w:r>
      <w:r w:rsidR="00BC751F" w:rsidRPr="00BC751F">
        <w:t xml:space="preserve"> </w:t>
      </w:r>
      <w:r w:rsidR="00BC751F">
        <w:t xml:space="preserve">additional service requirements </w:t>
      </w:r>
      <w:r w:rsidR="00BC751F" w:rsidRPr="00BC751F">
        <w:rPr>
          <w:rFonts w:cs="Times New Roman"/>
        </w:rPr>
        <w:t>as a means of prioritizing benefits to those with the greatest need</w:t>
      </w:r>
      <w:r w:rsidR="009A2176">
        <w:rPr>
          <w:rFonts w:cs="Times New Roman"/>
        </w:rPr>
        <w:t>.</w:t>
      </w:r>
      <w:r w:rsidR="00BC751F">
        <w:rPr>
          <w:rFonts w:cs="Times New Roman"/>
        </w:rPr>
        <w:t xml:space="preserve"> </w:t>
      </w:r>
      <w:r w:rsidR="009A2176">
        <w:rPr>
          <w:rFonts w:cs="Times New Roman"/>
        </w:rPr>
        <w:t>S</w:t>
      </w:r>
      <w:r w:rsidR="00BC751F">
        <w:rPr>
          <w:rFonts w:cs="Times New Roman"/>
        </w:rPr>
        <w:t>uch</w:t>
      </w:r>
      <w:r w:rsidR="00B01FA0" w:rsidRPr="00D22435">
        <w:rPr>
          <w:rFonts w:cs="Times New Roman"/>
        </w:rPr>
        <w:t xml:space="preserve"> local preferences </w:t>
      </w:r>
      <w:r w:rsidR="00BC751F">
        <w:rPr>
          <w:rFonts w:cs="Times New Roman"/>
        </w:rPr>
        <w:t xml:space="preserve">could target the needs, barriers, and vulnerabilities disproportionately faced by </w:t>
      </w:r>
      <w:r w:rsidR="00903765">
        <w:rPr>
          <w:rFonts w:cs="Times New Roman"/>
        </w:rPr>
        <w:t>people</w:t>
      </w:r>
      <w:r w:rsidR="00BC751F">
        <w:rPr>
          <w:rFonts w:cs="Times New Roman"/>
        </w:rPr>
        <w:t xml:space="preserve"> </w:t>
      </w:r>
      <w:r w:rsidR="001738AA">
        <w:rPr>
          <w:rFonts w:cs="Times New Roman"/>
        </w:rPr>
        <w:t xml:space="preserve">with characteristics protected by civil rights or fair housing law without specifically </w:t>
      </w:r>
      <w:r w:rsidR="00903765">
        <w:rPr>
          <w:rFonts w:cs="Times New Roman"/>
        </w:rPr>
        <w:t xml:space="preserve">targeting </w:t>
      </w:r>
      <w:r w:rsidR="001738AA">
        <w:rPr>
          <w:rFonts w:cs="Times New Roman"/>
        </w:rPr>
        <w:t>those</w:t>
      </w:r>
      <w:r w:rsidR="00903765">
        <w:rPr>
          <w:rFonts w:cs="Times New Roman"/>
        </w:rPr>
        <w:t xml:space="preserve"> characteristics</w:t>
      </w:r>
      <w:r w:rsidR="001738AA">
        <w:rPr>
          <w:rFonts w:cs="Times New Roman"/>
        </w:rPr>
        <w:t xml:space="preserve">. </w:t>
      </w:r>
      <w:r w:rsidR="00382EB8" w:rsidRPr="00382EB8">
        <w:rPr>
          <w:rFonts w:cs="Times New Roman"/>
        </w:rPr>
        <w:t>The duty to affirmatively further fair housing extends to all housing and urban development</w:t>
      </w:r>
      <w:r w:rsidR="00E31DF9">
        <w:rPr>
          <w:rFonts w:cs="Times New Roman"/>
        </w:rPr>
        <w:t xml:space="preserve"> programs and activities</w:t>
      </w:r>
      <w:r w:rsidR="00382EB8" w:rsidRPr="00382EB8">
        <w:rPr>
          <w:rFonts w:cs="Times New Roman"/>
        </w:rPr>
        <w:t>.</w:t>
      </w:r>
      <w:r w:rsidR="00382EB8">
        <w:rPr>
          <w:rFonts w:cs="Times New Roman"/>
        </w:rPr>
        <w:t xml:space="preserve"> AAs and Project Sponsors must report efforts to </w:t>
      </w:r>
      <w:r w:rsidR="00A72824">
        <w:rPr>
          <w:rFonts w:cs="Times New Roman"/>
        </w:rPr>
        <w:t>a</w:t>
      </w:r>
      <w:r w:rsidR="00382EB8">
        <w:rPr>
          <w:rFonts w:cs="Times New Roman"/>
        </w:rPr>
        <w:t xml:space="preserve">ffirmatively </w:t>
      </w:r>
      <w:r w:rsidR="00A72824">
        <w:rPr>
          <w:rFonts w:cs="Times New Roman"/>
        </w:rPr>
        <w:t>f</w:t>
      </w:r>
      <w:r w:rsidR="00382EB8">
        <w:rPr>
          <w:rFonts w:cs="Times New Roman"/>
        </w:rPr>
        <w:t xml:space="preserve">urther </w:t>
      </w:r>
      <w:r w:rsidR="00A72824">
        <w:rPr>
          <w:rFonts w:cs="Times New Roman"/>
        </w:rPr>
        <w:t>f</w:t>
      </w:r>
      <w:r w:rsidR="00382EB8">
        <w:rPr>
          <w:rFonts w:cs="Times New Roman"/>
        </w:rPr>
        <w:t xml:space="preserve">air </w:t>
      </w:r>
      <w:r w:rsidR="00A72824">
        <w:rPr>
          <w:rFonts w:cs="Times New Roman"/>
        </w:rPr>
        <w:t>h</w:t>
      </w:r>
      <w:r w:rsidR="00382EB8">
        <w:rPr>
          <w:rFonts w:cs="Times New Roman"/>
        </w:rPr>
        <w:t xml:space="preserve">ousing in their Semi-Annual and </w:t>
      </w:r>
      <w:r w:rsidR="00E2769F">
        <w:rPr>
          <w:rFonts w:cs="Times New Roman"/>
        </w:rPr>
        <w:t>Annual</w:t>
      </w:r>
      <w:r w:rsidR="00382EB8">
        <w:rPr>
          <w:rFonts w:cs="Times New Roman"/>
        </w:rPr>
        <w:t xml:space="preserve"> Program Progress Reports (PPRs).</w:t>
      </w:r>
    </w:p>
    <w:p w14:paraId="3629CD61" w14:textId="77777777" w:rsidR="00BE4BAB" w:rsidRPr="00382EB8" w:rsidRDefault="00BE4BAB" w:rsidP="00382EB8">
      <w:pPr>
        <w:pStyle w:val="NoSpacing"/>
        <w:ind w:left="720"/>
        <w:rPr>
          <w:rFonts w:cs="Times New Roman"/>
        </w:rPr>
      </w:pPr>
    </w:p>
    <w:p w14:paraId="5132735B" w14:textId="178047CC" w:rsidR="00357ADA" w:rsidRPr="00357ADA" w:rsidRDefault="00357ADA" w:rsidP="00754E9B">
      <w:pPr>
        <w:pStyle w:val="NoSpacing"/>
        <w:numPr>
          <w:ilvl w:val="1"/>
          <w:numId w:val="33"/>
        </w:numPr>
        <w:rPr>
          <w:rFonts w:cs="Times New Roman"/>
          <w:b/>
          <w:u w:val="single"/>
        </w:rPr>
      </w:pPr>
      <w:r w:rsidRPr="00357ADA">
        <w:rPr>
          <w:rFonts w:cs="Times New Roman"/>
          <w:b/>
          <w:u w:val="single"/>
        </w:rPr>
        <w:t>Americans with Disabilities Act</w:t>
      </w:r>
    </w:p>
    <w:p w14:paraId="6FF2C8B6" w14:textId="19573053" w:rsidR="00F72174" w:rsidRDefault="00F72174" w:rsidP="00850524">
      <w:pPr>
        <w:pStyle w:val="NoSpacing"/>
        <w:ind w:left="720"/>
        <w:rPr>
          <w:rFonts w:cs="Times New Roman"/>
        </w:rPr>
      </w:pPr>
      <w:r>
        <w:rPr>
          <w:rFonts w:cs="Times New Roman"/>
        </w:rPr>
        <w:t xml:space="preserve">Per 24 CFR </w:t>
      </w:r>
      <w:r w:rsidRPr="008026D4">
        <w:rPr>
          <w:rFonts w:cs="Times New Roman"/>
        </w:rPr>
        <w:t>§</w:t>
      </w:r>
      <w:r>
        <w:rPr>
          <w:rFonts w:cs="Times New Roman"/>
        </w:rPr>
        <w:t>574.603(a)</w:t>
      </w:r>
      <w:r w:rsidR="00357ADA">
        <w:rPr>
          <w:rFonts w:cs="Times New Roman"/>
        </w:rPr>
        <w:t>(1)</w:t>
      </w:r>
      <w:r>
        <w:rPr>
          <w:rFonts w:cs="Times New Roman"/>
        </w:rPr>
        <w:t xml:space="preserve">, DSHS and Project Sponsors must comply with the applicable provisions of the Americans with Disabilities Act </w:t>
      </w:r>
      <w:r w:rsidRPr="00F72174">
        <w:rPr>
          <w:rFonts w:cs="Times New Roman"/>
        </w:rPr>
        <w:t xml:space="preserve">(42 USC 12101-12213) and implementing regulations </w:t>
      </w:r>
      <w:r w:rsidR="00B21A8D">
        <w:rPr>
          <w:rFonts w:cs="Times New Roman"/>
        </w:rPr>
        <w:t>in</w:t>
      </w:r>
      <w:r w:rsidR="00B21A8D" w:rsidRPr="00F72174">
        <w:rPr>
          <w:rFonts w:cs="Times New Roman"/>
        </w:rPr>
        <w:t xml:space="preserve"> </w:t>
      </w:r>
      <w:r w:rsidRPr="00F72174">
        <w:rPr>
          <w:rFonts w:cs="Times New Roman"/>
        </w:rPr>
        <w:t xml:space="preserve">28 CFR </w:t>
      </w:r>
      <w:r w:rsidR="00357ADA" w:rsidRPr="008026D4">
        <w:rPr>
          <w:rFonts w:cs="Times New Roman"/>
        </w:rPr>
        <w:t>§</w:t>
      </w:r>
      <w:r w:rsidRPr="00F72174">
        <w:rPr>
          <w:rFonts w:cs="Times New Roman"/>
        </w:rPr>
        <w:t xml:space="preserve">35 (States and local government grantees) and </w:t>
      </w:r>
      <w:r w:rsidR="00357ADA" w:rsidRPr="008026D4">
        <w:rPr>
          <w:rFonts w:cs="Times New Roman"/>
        </w:rPr>
        <w:t>§</w:t>
      </w:r>
      <w:r w:rsidRPr="00F72174">
        <w:rPr>
          <w:rFonts w:cs="Times New Roman"/>
        </w:rPr>
        <w:t>36 (public accommodations and requirements for certain types of short-term housing assistance).</w:t>
      </w:r>
    </w:p>
    <w:p w14:paraId="7CB8CFC9" w14:textId="77777777" w:rsidR="00BE4BAB" w:rsidRDefault="00BE4BAB" w:rsidP="00850524">
      <w:pPr>
        <w:pStyle w:val="NoSpacing"/>
        <w:ind w:left="720"/>
        <w:rPr>
          <w:rFonts w:cs="Times New Roman"/>
        </w:rPr>
      </w:pPr>
    </w:p>
    <w:p w14:paraId="2F4F1981" w14:textId="08922CC7" w:rsidR="00357ADA" w:rsidRPr="00357ADA" w:rsidRDefault="00357ADA" w:rsidP="00754E9B">
      <w:pPr>
        <w:pStyle w:val="NoSpacing"/>
        <w:numPr>
          <w:ilvl w:val="1"/>
          <w:numId w:val="33"/>
        </w:numPr>
        <w:rPr>
          <w:rFonts w:cs="Times New Roman"/>
          <w:b/>
          <w:u w:val="single"/>
        </w:rPr>
      </w:pPr>
      <w:r w:rsidRPr="00357ADA">
        <w:rPr>
          <w:rFonts w:cs="Times New Roman"/>
          <w:b/>
          <w:u w:val="single"/>
        </w:rPr>
        <w:t>Affirmative Outreach</w:t>
      </w:r>
    </w:p>
    <w:p w14:paraId="500AEA46" w14:textId="3170C398" w:rsidR="00F72174" w:rsidRDefault="00357ADA" w:rsidP="00850524">
      <w:pPr>
        <w:pStyle w:val="NoSpacing"/>
        <w:ind w:left="720"/>
        <w:rPr>
          <w:rFonts w:cs="Times New Roman"/>
        </w:rPr>
      </w:pPr>
      <w:r>
        <w:rPr>
          <w:rFonts w:cs="Times New Roman"/>
        </w:rPr>
        <w:t xml:space="preserve">Per 24 CFR </w:t>
      </w:r>
      <w:r w:rsidRPr="008026D4">
        <w:rPr>
          <w:rFonts w:cs="Times New Roman"/>
        </w:rPr>
        <w:t>§</w:t>
      </w:r>
      <w:r>
        <w:rPr>
          <w:rFonts w:cs="Times New Roman"/>
        </w:rPr>
        <w:t xml:space="preserve">574.603(b), Project Sponsors </w:t>
      </w:r>
      <w:r w:rsidRPr="00357ADA">
        <w:rPr>
          <w:rFonts w:cs="Times New Roman"/>
        </w:rPr>
        <w:t xml:space="preserve">must </w:t>
      </w:r>
      <w:r>
        <w:rPr>
          <w:rFonts w:cs="Times New Roman"/>
        </w:rPr>
        <w:t>develop local program policies</w:t>
      </w:r>
      <w:r w:rsidRPr="00357ADA">
        <w:rPr>
          <w:rFonts w:cs="Times New Roman"/>
        </w:rPr>
        <w:t xml:space="preserve"> to ensure that all persons who qualify for the assistance, regardless of their race, color, religion, sex</w:t>
      </w:r>
      <w:r w:rsidR="0004409D">
        <w:rPr>
          <w:rFonts w:cs="Times New Roman"/>
        </w:rPr>
        <w:t xml:space="preserve"> (</w:t>
      </w:r>
      <w:r w:rsidR="0004409D" w:rsidRPr="0004409D">
        <w:rPr>
          <w:rFonts w:cs="Times New Roman"/>
        </w:rPr>
        <w:t>including gender identity and sexual orientation</w:t>
      </w:r>
      <w:r w:rsidR="0004409D">
        <w:rPr>
          <w:rFonts w:cs="Times New Roman"/>
        </w:rPr>
        <w:t>)</w:t>
      </w:r>
      <w:r w:rsidRPr="00357ADA">
        <w:rPr>
          <w:rFonts w:cs="Times New Roman"/>
        </w:rPr>
        <w:t xml:space="preserve">, age, national origin, familial status, or </w:t>
      </w:r>
      <w:r w:rsidR="00D74042">
        <w:rPr>
          <w:rFonts w:cs="Times New Roman"/>
        </w:rPr>
        <w:t>disability</w:t>
      </w:r>
      <w:r w:rsidRPr="00357ADA">
        <w:rPr>
          <w:rFonts w:cs="Times New Roman"/>
        </w:rPr>
        <w:t xml:space="preserve">, know of the availability of the HOPWA program, including facilities and services accessible to persons with a </w:t>
      </w:r>
      <w:r w:rsidR="00D74042">
        <w:rPr>
          <w:rFonts w:cs="Times New Roman"/>
        </w:rPr>
        <w:t>disability</w:t>
      </w:r>
      <w:r w:rsidRPr="00357ADA">
        <w:rPr>
          <w:rFonts w:cs="Times New Roman"/>
        </w:rPr>
        <w:t>, and maintain evidence of implementation of the procedures.</w:t>
      </w:r>
    </w:p>
    <w:p w14:paraId="59085225" w14:textId="77777777" w:rsidR="00BE4BAB" w:rsidRDefault="00BE4BAB" w:rsidP="00850524">
      <w:pPr>
        <w:pStyle w:val="NoSpacing"/>
        <w:ind w:left="720"/>
        <w:rPr>
          <w:rFonts w:cs="Times New Roman"/>
        </w:rPr>
      </w:pPr>
    </w:p>
    <w:p w14:paraId="0613BE58" w14:textId="25C3F39F" w:rsidR="003F03DD" w:rsidRDefault="00E56152" w:rsidP="00754E9B">
      <w:pPr>
        <w:pStyle w:val="NoSpacing"/>
        <w:numPr>
          <w:ilvl w:val="1"/>
          <w:numId w:val="33"/>
        </w:numPr>
        <w:rPr>
          <w:rFonts w:cs="Times New Roman"/>
          <w:b/>
          <w:u w:val="single"/>
        </w:rPr>
      </w:pPr>
      <w:r w:rsidRPr="00E56152">
        <w:rPr>
          <w:rFonts w:cs="Times New Roman"/>
          <w:b/>
          <w:u w:val="single"/>
        </w:rPr>
        <w:t>Reasonable Accommodations</w:t>
      </w:r>
    </w:p>
    <w:p w14:paraId="4EDDB207" w14:textId="2BB39A94" w:rsidR="00C21602" w:rsidRDefault="0057156B" w:rsidP="00DE48B8">
      <w:pPr>
        <w:pStyle w:val="NoSpacing"/>
        <w:ind w:left="720"/>
        <w:rPr>
          <w:rFonts w:cs="Times New Roman"/>
        </w:rPr>
      </w:pPr>
      <w:r>
        <w:rPr>
          <w:rFonts w:cs="Times New Roman"/>
        </w:rPr>
        <w:t>The</w:t>
      </w:r>
      <w:r w:rsidR="00F6587A" w:rsidRPr="00ED208F">
        <w:rPr>
          <w:rFonts w:cs="Times New Roman"/>
        </w:rPr>
        <w:t xml:space="preserve"> </w:t>
      </w:r>
      <w:r w:rsidR="00AE6EE7">
        <w:rPr>
          <w:rFonts w:cs="Times New Roman"/>
        </w:rPr>
        <w:t xml:space="preserve">Fair Housing </w:t>
      </w:r>
      <w:r w:rsidR="00F6587A" w:rsidRPr="00ED208F">
        <w:rPr>
          <w:rFonts w:cs="Times New Roman"/>
        </w:rPr>
        <w:t xml:space="preserve">Act </w:t>
      </w:r>
      <w:r w:rsidR="0004409D">
        <w:rPr>
          <w:rFonts w:cs="Times New Roman"/>
        </w:rPr>
        <w:t>requires owners of housing facilities to make reasonable accommodations for persons with disabilities.</w:t>
      </w:r>
      <w:r w:rsidR="0004409D" w:rsidRPr="0004409D">
        <w:t xml:space="preserve"> </w:t>
      </w:r>
      <w:r w:rsidR="0004409D" w:rsidRPr="0004409D">
        <w:rPr>
          <w:rFonts w:cs="Times New Roman"/>
        </w:rPr>
        <w:t>These accommodations may include exceptions to existing rules, policies, practices</w:t>
      </w:r>
      <w:r w:rsidR="0004409D">
        <w:rPr>
          <w:rFonts w:cs="Times New Roman"/>
        </w:rPr>
        <w:t>, services</w:t>
      </w:r>
      <w:r w:rsidR="001E5446">
        <w:rPr>
          <w:rFonts w:cs="Times New Roman"/>
        </w:rPr>
        <w:t>, or operations</w:t>
      </w:r>
      <w:r w:rsidR="0004409D" w:rsidRPr="0004409D">
        <w:rPr>
          <w:rFonts w:cs="Times New Roman"/>
        </w:rPr>
        <w:t xml:space="preserve"> </w:t>
      </w:r>
      <w:r w:rsidR="001E5446">
        <w:rPr>
          <w:rFonts w:cs="Times New Roman"/>
        </w:rPr>
        <w:t xml:space="preserve">when necessary </w:t>
      </w:r>
      <w:r w:rsidR="0004409D" w:rsidRPr="0004409D">
        <w:rPr>
          <w:rFonts w:cs="Times New Roman"/>
        </w:rPr>
        <w:t xml:space="preserve">to </w:t>
      </w:r>
      <w:r w:rsidR="00F6587A" w:rsidRPr="00ED208F">
        <w:rPr>
          <w:rFonts w:cs="Times New Roman"/>
        </w:rPr>
        <w:t>afford a person with a disability the equal opportunity to use and enjoy a dwelling. For example, a</w:t>
      </w:r>
      <w:r w:rsidR="00793E07">
        <w:rPr>
          <w:rFonts w:cs="Times New Roman"/>
        </w:rPr>
        <w:t>n</w:t>
      </w:r>
      <w:r w:rsidR="00F6587A" w:rsidRPr="00ED208F">
        <w:rPr>
          <w:rFonts w:cs="Times New Roman"/>
        </w:rPr>
        <w:t xml:space="preserve"> </w:t>
      </w:r>
      <w:r w:rsidR="00793E07">
        <w:rPr>
          <w:rFonts w:cs="Times New Roman"/>
        </w:rPr>
        <w:t>owner</w:t>
      </w:r>
      <w:r w:rsidR="00793E07" w:rsidRPr="00ED208F">
        <w:rPr>
          <w:rFonts w:cs="Times New Roman"/>
        </w:rPr>
        <w:t xml:space="preserve"> </w:t>
      </w:r>
      <w:r w:rsidR="00F6587A" w:rsidRPr="00ED208F">
        <w:rPr>
          <w:rFonts w:cs="Times New Roman"/>
        </w:rPr>
        <w:t xml:space="preserve">with a "no pets" policy may </w:t>
      </w:r>
      <w:r w:rsidR="001E5446">
        <w:rPr>
          <w:rFonts w:cs="Times New Roman"/>
        </w:rPr>
        <w:t>need to waive</w:t>
      </w:r>
      <w:r w:rsidR="00F6587A" w:rsidRPr="00ED208F">
        <w:rPr>
          <w:rFonts w:cs="Times New Roman"/>
        </w:rPr>
        <w:t xml:space="preserve"> this rule </w:t>
      </w:r>
      <w:r w:rsidR="001E5446">
        <w:rPr>
          <w:rFonts w:cs="Times New Roman"/>
        </w:rPr>
        <w:t>to allow</w:t>
      </w:r>
      <w:r w:rsidR="00F6587A" w:rsidRPr="00ED208F">
        <w:rPr>
          <w:rFonts w:cs="Times New Roman"/>
        </w:rPr>
        <w:t xml:space="preserve"> a </w:t>
      </w:r>
      <w:r w:rsidR="001E5446">
        <w:rPr>
          <w:rFonts w:cs="Times New Roman"/>
        </w:rPr>
        <w:t>person</w:t>
      </w:r>
      <w:r w:rsidR="00F6587A" w:rsidRPr="00ED208F">
        <w:rPr>
          <w:rFonts w:cs="Times New Roman"/>
        </w:rPr>
        <w:t xml:space="preserve"> </w:t>
      </w:r>
      <w:r w:rsidR="008E2805">
        <w:rPr>
          <w:rFonts w:cs="Times New Roman"/>
        </w:rPr>
        <w:t>with vision impairments</w:t>
      </w:r>
      <w:r w:rsidR="00F6587A" w:rsidRPr="00ED208F">
        <w:rPr>
          <w:rFonts w:cs="Times New Roman"/>
        </w:rPr>
        <w:t xml:space="preserve"> to keep a guide dog in the residence. The Act also requires </w:t>
      </w:r>
      <w:r w:rsidR="00793E07">
        <w:rPr>
          <w:rFonts w:cs="Times New Roman"/>
        </w:rPr>
        <w:t>owner</w:t>
      </w:r>
      <w:r w:rsidR="00F6587A" w:rsidRPr="00ED208F">
        <w:rPr>
          <w:rFonts w:cs="Times New Roman"/>
        </w:rPr>
        <w:t xml:space="preserve">s to allow tenants with disabilities to make reasonable access-related modifications to their private living space, as well as to common use spaces. </w:t>
      </w:r>
      <w:r w:rsidR="00A44F0D" w:rsidRPr="00A44F0D">
        <w:rPr>
          <w:rFonts w:cs="Times New Roman"/>
        </w:rPr>
        <w:t>Additionally,</w:t>
      </w:r>
      <w:r w:rsidR="00A44F0D">
        <w:rPr>
          <w:rFonts w:cs="Times New Roman"/>
        </w:rPr>
        <w:t xml:space="preserve"> the design and construction of</w:t>
      </w:r>
      <w:r w:rsidR="00A44F0D" w:rsidRPr="00A44F0D">
        <w:rPr>
          <w:rFonts w:cs="Times New Roman"/>
        </w:rPr>
        <w:t xml:space="preserve"> new multifamily housing with four or more units must</w:t>
      </w:r>
      <w:r w:rsidR="00A44F0D">
        <w:rPr>
          <w:rFonts w:cs="Times New Roman"/>
        </w:rPr>
        <w:t xml:space="preserve"> </w:t>
      </w:r>
      <w:r w:rsidR="00A44F0D" w:rsidRPr="00A44F0D">
        <w:rPr>
          <w:rFonts w:cs="Times New Roman"/>
        </w:rPr>
        <w:t>accommodate individuals with disabilities, with features like accessible common areas, wide doors for wheelchair access</w:t>
      </w:r>
      <w:r w:rsidR="00A44F0D">
        <w:rPr>
          <w:rFonts w:cs="Times New Roman"/>
        </w:rPr>
        <w:t>, maneuverable</w:t>
      </w:r>
      <w:r w:rsidR="00F6587A" w:rsidRPr="00ED208F">
        <w:rPr>
          <w:rFonts w:cs="Times New Roman"/>
        </w:rPr>
        <w:t xml:space="preserve"> kitchens and bathrooms</w:t>
      </w:r>
      <w:r w:rsidR="00A44F0D">
        <w:rPr>
          <w:rFonts w:cs="Times New Roman"/>
        </w:rPr>
        <w:t>,</w:t>
      </w:r>
      <w:r w:rsidR="00F6587A" w:rsidRPr="00ED208F">
        <w:rPr>
          <w:rFonts w:cs="Times New Roman"/>
        </w:rPr>
        <w:t xml:space="preserve"> and other adaptable features within the units.</w:t>
      </w:r>
      <w:r w:rsidR="00C21602">
        <w:rPr>
          <w:rFonts w:cs="Times New Roman"/>
        </w:rPr>
        <w:br w:type="page"/>
      </w:r>
    </w:p>
    <w:p w14:paraId="78668712" w14:textId="48B45B2A" w:rsidR="00F504D6" w:rsidRDefault="00F504D6" w:rsidP="00F504D6">
      <w:pPr>
        <w:pStyle w:val="Heading1"/>
      </w:pPr>
      <w:bookmarkStart w:id="9" w:name="_Toc140755463"/>
      <w:r>
        <w:lastRenderedPageBreak/>
        <w:t>Section 9. Violence Against Women Act Requirements</w:t>
      </w:r>
      <w:bookmarkEnd w:id="9"/>
    </w:p>
    <w:p w14:paraId="1058C2D7" w14:textId="0F20AE1E" w:rsidR="00F504D6" w:rsidRDefault="00F504D6" w:rsidP="00ED208F">
      <w:pPr>
        <w:pStyle w:val="NoSpacing"/>
      </w:pPr>
      <w:r w:rsidRPr="00CB31F4">
        <w:t xml:space="preserve">The Violence Against Women Act (VAWA) provides protections and remedies for program applicants and beneficiaries who </w:t>
      </w:r>
      <w:r w:rsidR="00E838FB">
        <w:t>survived</w:t>
      </w:r>
      <w:r w:rsidRPr="00CB31F4">
        <w:t xml:space="preserve"> </w:t>
      </w:r>
      <w:hyperlink r:id="rId40" w:anchor="p-5.2003(Domestic%20violence)" w:tooltip="See 24 CFR §5.2003 for the definition of domestic violence." w:history="1">
        <w:r w:rsidRPr="001E3CC5">
          <w:rPr>
            <w:rStyle w:val="Hyperlink"/>
          </w:rPr>
          <w:t>domestic violence</w:t>
        </w:r>
      </w:hyperlink>
      <w:r w:rsidRPr="00CB31F4">
        <w:t xml:space="preserve">, </w:t>
      </w:r>
      <w:hyperlink r:id="rId41" w:anchor="p-5.2003(Dating%20violence)" w:tooltip="See 24 CFR §5.2003 for the definition of dating violence." w:history="1">
        <w:r w:rsidRPr="001E3CC5">
          <w:rPr>
            <w:rStyle w:val="Hyperlink"/>
          </w:rPr>
          <w:t>dating violence</w:t>
        </w:r>
      </w:hyperlink>
      <w:r w:rsidRPr="00CB31F4">
        <w:t xml:space="preserve">, </w:t>
      </w:r>
      <w:hyperlink r:id="rId42" w:anchor="p-5.2003(Sexual%20assault)" w:tooltip="See 24 CFR §5.2003 for the definition of sexual assault." w:history="1">
        <w:r w:rsidRPr="001E3CC5">
          <w:rPr>
            <w:rStyle w:val="Hyperlink"/>
          </w:rPr>
          <w:t>sexual assault</w:t>
        </w:r>
      </w:hyperlink>
      <w:r w:rsidRPr="00CB31F4">
        <w:t xml:space="preserve">, or </w:t>
      </w:r>
      <w:hyperlink r:id="rId43" w:anchor="p-5.2003(Stalking)" w:tooltip="See 24 CFR §5.2003 for the definition of stalking." w:history="1">
        <w:r w:rsidRPr="001E3CC5">
          <w:rPr>
            <w:rStyle w:val="Hyperlink"/>
          </w:rPr>
          <w:t>stalking</w:t>
        </w:r>
      </w:hyperlink>
      <w:r w:rsidRPr="00CB31F4">
        <w:t xml:space="preserve">. Despite the name of this law, </w:t>
      </w:r>
      <w:r w:rsidR="00A52228">
        <w:t xml:space="preserve">program applicants and beneficiaries may avail themselves of </w:t>
      </w:r>
      <w:r w:rsidRPr="00CB31F4">
        <w:t xml:space="preserve">VAWA protections and remedies regardless of </w:t>
      </w:r>
      <w:r w:rsidR="00A52228">
        <w:t xml:space="preserve">their </w:t>
      </w:r>
      <w:r w:rsidRPr="00CB31F4">
        <w:t xml:space="preserve">sex, gender identity, or sexual orientation. Per 24 CFR §5, Subpart L, VAWA applies to all HUD programs, including HOPWA. Specifically, </w:t>
      </w:r>
      <w:r w:rsidR="00A52228">
        <w:t xml:space="preserve">applicants and </w:t>
      </w:r>
      <w:r w:rsidR="00D07583">
        <w:t>beneficiaries</w:t>
      </w:r>
      <w:r w:rsidRPr="00CB31F4">
        <w:t xml:space="preserve"> of the DSHS HOPWA Program </w:t>
      </w:r>
      <w:r w:rsidR="00E838FB">
        <w:t xml:space="preserve">cannot </w:t>
      </w:r>
      <w:r w:rsidRPr="00CB31F4">
        <w:t xml:space="preserve">be denied admission to, denied assistance under, terminated from participation in, or evicted from the unit </w:t>
      </w:r>
      <w:r w:rsidR="00A52228">
        <w:t xml:space="preserve">solely because they </w:t>
      </w:r>
      <w:r w:rsidR="00E838FB">
        <w:t>survived</w:t>
      </w:r>
      <w:r w:rsidRPr="00CB31F4">
        <w:t xml:space="preserve"> domestic violence, dating violence, sexual assault, or stalking, if </w:t>
      </w:r>
      <w:r w:rsidR="00D07583">
        <w:t>they</w:t>
      </w:r>
      <w:r w:rsidRPr="00CB31F4">
        <w:t xml:space="preserve"> otherwise qualif</w:t>
      </w:r>
      <w:r w:rsidR="00D07583">
        <w:t>y</w:t>
      </w:r>
      <w:r w:rsidRPr="00CB31F4">
        <w:t xml:space="preserve"> for admission, assistan</w:t>
      </w:r>
      <w:r>
        <w:t>ce, participation, or occupancy.</w:t>
      </w:r>
    </w:p>
    <w:p w14:paraId="593A8988" w14:textId="77777777" w:rsidR="00077A9A" w:rsidRDefault="00077A9A" w:rsidP="00ED208F">
      <w:pPr>
        <w:pStyle w:val="NoSpacing"/>
      </w:pPr>
    </w:p>
    <w:p w14:paraId="38376AFA" w14:textId="565131ED" w:rsidR="00F504D6" w:rsidRDefault="00C47331" w:rsidP="00F504D6">
      <w:pPr>
        <w:pStyle w:val="NoSpacing"/>
        <w:numPr>
          <w:ilvl w:val="1"/>
          <w:numId w:val="10"/>
        </w:numPr>
        <w:rPr>
          <w:rFonts w:cs="Times New Roman"/>
          <w:b/>
          <w:u w:val="single"/>
        </w:rPr>
      </w:pPr>
      <w:r>
        <w:rPr>
          <w:rFonts w:cs="Times New Roman"/>
          <w:b/>
          <w:u w:val="single"/>
        </w:rPr>
        <w:t xml:space="preserve">VAWA </w:t>
      </w:r>
      <w:r w:rsidR="00F504D6">
        <w:rPr>
          <w:rFonts w:cs="Times New Roman"/>
          <w:b/>
          <w:u w:val="single"/>
        </w:rPr>
        <w:t>TBRA and TSH Requirements</w:t>
      </w:r>
    </w:p>
    <w:p w14:paraId="410FCD7D" w14:textId="68AE4DD9" w:rsidR="00F504D6" w:rsidRDefault="00F504D6" w:rsidP="00F504D6">
      <w:pPr>
        <w:pStyle w:val="NoSpacing"/>
        <w:ind w:left="720"/>
        <w:rPr>
          <w:rFonts w:cs="Times New Roman"/>
        </w:rPr>
      </w:pPr>
      <w:r>
        <w:rPr>
          <w:rFonts w:cs="Times New Roman"/>
        </w:rPr>
        <w:t xml:space="preserve">Per 24 CFR </w:t>
      </w:r>
      <w:r w:rsidRPr="005A10E1">
        <w:rPr>
          <w:rFonts w:cs="Times New Roman"/>
        </w:rPr>
        <w:t>§574.604</w:t>
      </w:r>
      <w:r>
        <w:rPr>
          <w:rFonts w:cs="Times New Roman"/>
        </w:rPr>
        <w:t xml:space="preserve">(a)(1), </w:t>
      </w:r>
      <w:r w:rsidRPr="005A10E1">
        <w:rPr>
          <w:rFonts w:cs="Times New Roman"/>
        </w:rPr>
        <w:t xml:space="preserve">VAWA </w:t>
      </w:r>
      <w:r>
        <w:rPr>
          <w:rFonts w:cs="Times New Roman"/>
        </w:rPr>
        <w:t>applies</w:t>
      </w:r>
      <w:r w:rsidRPr="005A10E1">
        <w:rPr>
          <w:rFonts w:cs="Times New Roman"/>
        </w:rPr>
        <w:t xml:space="preserve"> to </w:t>
      </w:r>
      <w:r>
        <w:rPr>
          <w:rFonts w:cs="Times New Roman"/>
        </w:rPr>
        <w:t xml:space="preserve">TBRA and TSH services. VAWA </w:t>
      </w:r>
      <w:r w:rsidRPr="005A10E1">
        <w:rPr>
          <w:rFonts w:cs="Times New Roman"/>
        </w:rPr>
        <w:t xml:space="preserve">provides protections and remedies for </w:t>
      </w:r>
      <w:r>
        <w:rPr>
          <w:rFonts w:cs="Times New Roman"/>
        </w:rPr>
        <w:t>DSHS HOPWA Program</w:t>
      </w:r>
      <w:r w:rsidRPr="005A10E1">
        <w:rPr>
          <w:rFonts w:cs="Times New Roman"/>
        </w:rPr>
        <w:t xml:space="preserve"> applicants and beneficiaries who </w:t>
      </w:r>
      <w:r w:rsidR="00491147">
        <w:rPr>
          <w:rFonts w:cs="Times New Roman"/>
        </w:rPr>
        <w:t>survived</w:t>
      </w:r>
      <w:r w:rsidRPr="005A10E1">
        <w:rPr>
          <w:rFonts w:cs="Times New Roman"/>
        </w:rPr>
        <w:t xml:space="preserve"> domestic violence, dating violence, sexual assault, or stalking.</w:t>
      </w:r>
      <w:r>
        <w:rPr>
          <w:rFonts w:cs="Times New Roman"/>
        </w:rPr>
        <w:t xml:space="preserve"> </w:t>
      </w:r>
      <w:r w:rsidRPr="005276EC">
        <w:rPr>
          <w:rFonts w:cs="Times New Roman"/>
        </w:rPr>
        <w:t xml:space="preserve">The DSHS HOPWA Program uses standardized </w:t>
      </w:r>
      <w:r>
        <w:rPr>
          <w:rFonts w:cs="Times New Roman"/>
        </w:rPr>
        <w:t>VAWA materials</w:t>
      </w:r>
      <w:r w:rsidRPr="005276EC">
        <w:rPr>
          <w:rFonts w:cs="Times New Roman"/>
        </w:rPr>
        <w:t xml:space="preserve"> to assist Project Sponsors with </w:t>
      </w:r>
      <w:r>
        <w:rPr>
          <w:rFonts w:cs="Times New Roman"/>
        </w:rPr>
        <w:t>meeting VAWA requirements</w:t>
      </w:r>
      <w:r w:rsidRPr="005276EC">
        <w:rPr>
          <w:rFonts w:cs="Times New Roman"/>
        </w:rPr>
        <w:t>.</w:t>
      </w:r>
      <w:r w:rsidR="0085599B" w:rsidRPr="0085599B">
        <w:t xml:space="preserve"> </w:t>
      </w:r>
      <w:r w:rsidR="0085599B" w:rsidRPr="0085599B">
        <w:rPr>
          <w:rFonts w:cs="Times New Roman"/>
        </w:rPr>
        <w:t>DSHS requires Project Sponsors to use the latest version</w:t>
      </w:r>
      <w:r w:rsidR="0085599B">
        <w:rPr>
          <w:rFonts w:cs="Times New Roman"/>
        </w:rPr>
        <w:t>s</w:t>
      </w:r>
      <w:r w:rsidR="0085599B" w:rsidRPr="0085599B">
        <w:rPr>
          <w:rFonts w:cs="Times New Roman"/>
        </w:rPr>
        <w:t xml:space="preserve"> of these forms, complete them accurately, and maintain them in each household’s record. The forms include the latest revision date. </w:t>
      </w:r>
      <w:r w:rsidRPr="005276EC">
        <w:rPr>
          <w:rFonts w:cs="Times New Roman"/>
        </w:rPr>
        <w:t xml:space="preserve"> </w:t>
      </w:r>
      <w:r w:rsidR="00563DA4">
        <w:rPr>
          <w:rFonts w:cs="Times New Roman"/>
        </w:rPr>
        <w:t>DSHS considers old forms</w:t>
      </w:r>
      <w:r w:rsidRPr="005276EC">
        <w:rPr>
          <w:rFonts w:cs="Times New Roman"/>
        </w:rPr>
        <w:t xml:space="preserve"> obsolete</w:t>
      </w:r>
      <w:r w:rsidR="00563DA4">
        <w:rPr>
          <w:rFonts w:cs="Times New Roman"/>
        </w:rPr>
        <w:t xml:space="preserve"> and Project Sponsors should discard them</w:t>
      </w:r>
      <w:r w:rsidRPr="005276EC">
        <w:rPr>
          <w:rFonts w:cs="Times New Roman"/>
        </w:rPr>
        <w:t xml:space="preserve">. Project Sponsors must </w:t>
      </w:r>
      <w:r w:rsidR="00076E1C">
        <w:rPr>
          <w:rFonts w:cs="Times New Roman"/>
        </w:rPr>
        <w:t>maintain</w:t>
      </w:r>
      <w:r w:rsidRPr="005276EC">
        <w:rPr>
          <w:rFonts w:cs="Times New Roman"/>
        </w:rPr>
        <w:t xml:space="preserve"> any forms used in the household’s </w:t>
      </w:r>
      <w:r w:rsidR="002228D2">
        <w:rPr>
          <w:rFonts w:cs="Times New Roman"/>
        </w:rPr>
        <w:t>record</w:t>
      </w:r>
      <w:r w:rsidRPr="005276EC">
        <w:rPr>
          <w:rFonts w:cs="Times New Roman"/>
        </w:rPr>
        <w:t xml:space="preserve">. </w:t>
      </w:r>
      <w:r w:rsidR="0085599B" w:rsidRPr="0085599B">
        <w:rPr>
          <w:rFonts w:cs="Times New Roman"/>
        </w:rPr>
        <w:t>Forms that require a signature are available in Spanish. The forms allow both electronic and written signatures.</w:t>
      </w:r>
      <w:r w:rsidRPr="005276EC">
        <w:rPr>
          <w:rFonts w:cs="Times New Roman"/>
        </w:rPr>
        <w:t xml:space="preserve"> </w:t>
      </w:r>
      <w:r w:rsidRPr="00905509">
        <w:rPr>
          <w:rFonts w:cs="Times New Roman"/>
        </w:rPr>
        <w:t>Project Sponsors must enter their neutral program and/or fund name into each document before using them to attribute the documents to their programs and protect client confidentiality.</w:t>
      </w:r>
      <w:r>
        <w:rPr>
          <w:rFonts w:cs="Times New Roman"/>
        </w:rPr>
        <w:t xml:space="preserve"> </w:t>
      </w:r>
      <w:r w:rsidRPr="005276EC">
        <w:rPr>
          <w:rFonts w:cs="Times New Roman"/>
        </w:rPr>
        <w:t xml:space="preserve">As of this publication, </w:t>
      </w:r>
      <w:r>
        <w:rPr>
          <w:rFonts w:cs="Times New Roman"/>
        </w:rPr>
        <w:t>the VAWA materials include</w:t>
      </w:r>
      <w:r w:rsidRPr="005276EC">
        <w:rPr>
          <w:rFonts w:cs="Times New Roman"/>
        </w:rPr>
        <w:t>:</w:t>
      </w:r>
    </w:p>
    <w:p w14:paraId="164B17FE" w14:textId="26F31D19" w:rsidR="00F504D6" w:rsidRDefault="00F504D6" w:rsidP="00F504D6">
      <w:pPr>
        <w:pStyle w:val="NoSpacing"/>
        <w:ind w:left="720"/>
        <w:rPr>
          <w:rFonts w:cs="Times New Roman"/>
        </w:rPr>
      </w:pPr>
      <w:r w:rsidRPr="005276EC">
        <w:rPr>
          <w:rFonts w:cs="Times New Roman"/>
          <w:b/>
          <w:color w:val="C00000"/>
        </w:rPr>
        <w:t>NOTE:</w:t>
      </w:r>
      <w:r w:rsidRPr="005276EC">
        <w:rPr>
          <w:rFonts w:cs="Times New Roman"/>
          <w:color w:val="C00000"/>
        </w:rPr>
        <w:t xml:space="preserve"> See Appendix </w:t>
      </w:r>
      <w:r w:rsidR="009E3DDE">
        <w:rPr>
          <w:rFonts w:cs="Times New Roman"/>
          <w:color w:val="C00000"/>
        </w:rPr>
        <w:t>K</w:t>
      </w:r>
      <w:r w:rsidRPr="005276EC">
        <w:rPr>
          <w:rFonts w:cs="Times New Roman"/>
          <w:color w:val="C00000"/>
        </w:rPr>
        <w:t xml:space="preserve">: VAWA Requirements for </w:t>
      </w:r>
      <w:r w:rsidR="00757029">
        <w:rPr>
          <w:rFonts w:cs="Times New Roman"/>
          <w:color w:val="C00000"/>
        </w:rPr>
        <w:t>Rental Assistance</w:t>
      </w:r>
      <w:r w:rsidR="00757029" w:rsidRPr="005276EC">
        <w:rPr>
          <w:rFonts w:cs="Times New Roman"/>
          <w:color w:val="C00000"/>
        </w:rPr>
        <w:t xml:space="preserve"> </w:t>
      </w:r>
      <w:r w:rsidRPr="005276EC">
        <w:rPr>
          <w:rFonts w:cs="Times New Roman"/>
          <w:color w:val="C00000"/>
        </w:rPr>
        <w:t>Services.</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5"/>
        <w:gridCol w:w="5670"/>
        <w:gridCol w:w="1170"/>
        <w:gridCol w:w="1170"/>
        <w:gridCol w:w="1075"/>
      </w:tblGrid>
      <w:tr w:rsidR="00A256F9" w14:paraId="54473D35" w14:textId="77777777" w:rsidTr="00066B7E">
        <w:trPr>
          <w:jc w:val="right"/>
        </w:trPr>
        <w:tc>
          <w:tcPr>
            <w:tcW w:w="6665" w:type="dxa"/>
            <w:gridSpan w:val="2"/>
            <w:tcBorders>
              <w:top w:val="single" w:sz="4" w:space="0" w:color="FFFFFF" w:themeColor="background1"/>
              <w:left w:val="single" w:sz="4" w:space="0" w:color="FFFFFF" w:themeColor="background1"/>
              <w:bottom w:val="single" w:sz="4" w:space="0" w:color="FFFFFF" w:themeColor="background1"/>
            </w:tcBorders>
            <w:shd w:val="clear" w:color="auto" w:fill="C4B6D9"/>
          </w:tcPr>
          <w:p w14:paraId="59E42E1C" w14:textId="77777777" w:rsidR="00A256F9" w:rsidRPr="00CB0902" w:rsidRDefault="00A256F9" w:rsidP="00083D25">
            <w:pPr>
              <w:pStyle w:val="NoSpacing"/>
              <w:rPr>
                <w:rFonts w:cs="Times New Roman"/>
                <w:b/>
              </w:rPr>
            </w:pPr>
            <w:r>
              <w:rPr>
                <w:rFonts w:cs="Times New Roman"/>
                <w:b/>
              </w:rPr>
              <w:t>VAWA Materials</w:t>
            </w:r>
          </w:p>
        </w:tc>
        <w:tc>
          <w:tcPr>
            <w:tcW w:w="1170" w:type="dxa"/>
            <w:tcBorders>
              <w:top w:val="single" w:sz="4" w:space="0" w:color="FFFFFF" w:themeColor="background1"/>
              <w:bottom w:val="single" w:sz="4" w:space="0" w:color="FFFFFF" w:themeColor="background1"/>
            </w:tcBorders>
            <w:shd w:val="clear" w:color="auto" w:fill="C4B6D9"/>
          </w:tcPr>
          <w:p w14:paraId="6187C908" w14:textId="79FF28B2" w:rsidR="00A256F9" w:rsidRDefault="00A256F9" w:rsidP="00083D25">
            <w:pPr>
              <w:pStyle w:val="NoSpacing"/>
              <w:rPr>
                <w:rFonts w:cs="Times New Roman"/>
                <w:b/>
              </w:rPr>
            </w:pPr>
            <w:r>
              <w:rPr>
                <w:rFonts w:cs="Times New Roman"/>
                <w:b/>
              </w:rPr>
              <w:t>English</w:t>
            </w:r>
          </w:p>
        </w:tc>
        <w:tc>
          <w:tcPr>
            <w:tcW w:w="1170" w:type="dxa"/>
            <w:tcBorders>
              <w:top w:val="single" w:sz="4" w:space="0" w:color="FFFFFF" w:themeColor="background1"/>
              <w:bottom w:val="single" w:sz="4" w:space="0" w:color="FFFFFF" w:themeColor="background1"/>
            </w:tcBorders>
            <w:shd w:val="clear" w:color="auto" w:fill="C4B6D9"/>
          </w:tcPr>
          <w:p w14:paraId="4253FDBA" w14:textId="4CB0CD3F" w:rsidR="00A256F9" w:rsidRDefault="00A256F9" w:rsidP="00083D25">
            <w:pPr>
              <w:pStyle w:val="NoSpacing"/>
              <w:rPr>
                <w:rFonts w:cs="Times New Roman"/>
                <w:b/>
              </w:rPr>
            </w:pPr>
            <w:r>
              <w:rPr>
                <w:rFonts w:cs="Times New Roman"/>
                <w:b/>
              </w:rPr>
              <w:t>Spanish</w:t>
            </w:r>
          </w:p>
        </w:tc>
        <w:tc>
          <w:tcPr>
            <w:tcW w:w="1075" w:type="dxa"/>
            <w:tcBorders>
              <w:top w:val="single" w:sz="4" w:space="0" w:color="FFFFFF" w:themeColor="background1"/>
              <w:bottom w:val="single" w:sz="4" w:space="0" w:color="FFFFFF" w:themeColor="background1"/>
              <w:right w:val="single" w:sz="4" w:space="0" w:color="FFFFFF" w:themeColor="background1"/>
            </w:tcBorders>
            <w:shd w:val="clear" w:color="auto" w:fill="C4B6D9"/>
          </w:tcPr>
          <w:p w14:paraId="21C9C2EA" w14:textId="50254EFC" w:rsidR="00A256F9" w:rsidRPr="005276EC" w:rsidRDefault="00A256F9" w:rsidP="00083D25">
            <w:pPr>
              <w:pStyle w:val="NoSpacing"/>
              <w:rPr>
                <w:rFonts w:cs="Times New Roman"/>
                <w:b/>
              </w:rPr>
            </w:pPr>
            <w:r>
              <w:rPr>
                <w:rFonts w:cs="Times New Roman"/>
                <w:b/>
              </w:rPr>
              <w:t>Format</w:t>
            </w:r>
          </w:p>
        </w:tc>
      </w:tr>
      <w:tr w:rsidR="00A256F9" w14:paraId="5573E8A9" w14:textId="77777777" w:rsidTr="00066B7E">
        <w:trPr>
          <w:jc w:val="right"/>
        </w:trPr>
        <w:tc>
          <w:tcPr>
            <w:tcW w:w="995" w:type="dxa"/>
            <w:tcBorders>
              <w:top w:val="single" w:sz="4" w:space="0" w:color="FFFFFF" w:themeColor="background1"/>
              <w:left w:val="single" w:sz="4" w:space="0" w:color="FFFFFF" w:themeColor="background1"/>
            </w:tcBorders>
            <w:shd w:val="clear" w:color="auto" w:fill="E2DBED"/>
          </w:tcPr>
          <w:p w14:paraId="4C040EEB" w14:textId="77777777" w:rsidR="00A256F9" w:rsidRPr="005276EC" w:rsidRDefault="00A256F9" w:rsidP="00A256F9">
            <w:pPr>
              <w:pStyle w:val="NoSpacing"/>
              <w:rPr>
                <w:rFonts w:cs="Times New Roman"/>
              </w:rPr>
            </w:pPr>
            <w:r>
              <w:rPr>
                <w:rFonts w:cs="Times New Roman"/>
              </w:rPr>
              <w:t>VAWA</w:t>
            </w:r>
          </w:p>
        </w:tc>
        <w:tc>
          <w:tcPr>
            <w:tcW w:w="5670" w:type="dxa"/>
            <w:tcBorders>
              <w:top w:val="single" w:sz="4" w:space="0" w:color="FFFFFF" w:themeColor="background1"/>
            </w:tcBorders>
            <w:shd w:val="clear" w:color="auto" w:fill="E2DBED"/>
          </w:tcPr>
          <w:p w14:paraId="52BD2017" w14:textId="77777777" w:rsidR="00A256F9" w:rsidRPr="005276EC" w:rsidRDefault="00A256F9" w:rsidP="00A256F9">
            <w:pPr>
              <w:pStyle w:val="NoSpacing"/>
              <w:rPr>
                <w:rFonts w:cs="Times New Roman"/>
              </w:rPr>
            </w:pPr>
            <w:r>
              <w:rPr>
                <w:rFonts w:cs="Times New Roman"/>
              </w:rPr>
              <w:t>Certification Form</w:t>
            </w:r>
          </w:p>
        </w:tc>
        <w:tc>
          <w:tcPr>
            <w:tcW w:w="1170" w:type="dxa"/>
            <w:tcBorders>
              <w:top w:val="single" w:sz="4" w:space="0" w:color="FFFFFF" w:themeColor="background1"/>
            </w:tcBorders>
            <w:shd w:val="clear" w:color="auto" w:fill="E2DBED"/>
          </w:tcPr>
          <w:p w14:paraId="35723352" w14:textId="38AE7AFA" w:rsidR="00A256F9" w:rsidRDefault="00A256F9" w:rsidP="00A256F9">
            <w:pPr>
              <w:pStyle w:val="NoSpacing"/>
              <w:rPr>
                <w:rFonts w:cs="Times New Roman"/>
              </w:rPr>
            </w:pPr>
            <w:r>
              <w:rPr>
                <w:rFonts w:cs="Times New Roman"/>
              </w:rPr>
              <w:t>Yes</w:t>
            </w:r>
          </w:p>
        </w:tc>
        <w:tc>
          <w:tcPr>
            <w:tcW w:w="1170" w:type="dxa"/>
            <w:tcBorders>
              <w:top w:val="single" w:sz="4" w:space="0" w:color="FFFFFF" w:themeColor="background1"/>
            </w:tcBorders>
            <w:shd w:val="clear" w:color="auto" w:fill="E2DBED"/>
          </w:tcPr>
          <w:p w14:paraId="065EF073" w14:textId="1409FAD5" w:rsidR="00A256F9" w:rsidRDefault="00A256F9" w:rsidP="00A256F9">
            <w:pPr>
              <w:pStyle w:val="NoSpacing"/>
              <w:rPr>
                <w:rFonts w:cs="Times New Roman"/>
              </w:rPr>
            </w:pPr>
            <w:r w:rsidRPr="00E93615">
              <w:rPr>
                <w:rFonts w:cs="Times New Roman"/>
              </w:rPr>
              <w:t>Yes</w:t>
            </w:r>
          </w:p>
        </w:tc>
        <w:tc>
          <w:tcPr>
            <w:tcW w:w="1075" w:type="dxa"/>
            <w:tcBorders>
              <w:top w:val="single" w:sz="4" w:space="0" w:color="FFFFFF" w:themeColor="background1"/>
              <w:right w:val="single" w:sz="4" w:space="0" w:color="FFFFFF" w:themeColor="background1"/>
            </w:tcBorders>
            <w:shd w:val="clear" w:color="auto" w:fill="E2DBED"/>
          </w:tcPr>
          <w:p w14:paraId="3C850093" w14:textId="3DB29084" w:rsidR="00A256F9" w:rsidRPr="005276EC" w:rsidRDefault="00A256F9" w:rsidP="00A256F9">
            <w:pPr>
              <w:pStyle w:val="NoSpacing"/>
              <w:rPr>
                <w:rFonts w:cs="Times New Roman"/>
              </w:rPr>
            </w:pPr>
            <w:r>
              <w:rPr>
                <w:rFonts w:cs="Times New Roman"/>
              </w:rPr>
              <w:t>Word</w:t>
            </w:r>
          </w:p>
        </w:tc>
      </w:tr>
      <w:tr w:rsidR="00A256F9" w14:paraId="2A826DD9" w14:textId="77777777" w:rsidTr="00066B7E">
        <w:trPr>
          <w:jc w:val="right"/>
        </w:trPr>
        <w:tc>
          <w:tcPr>
            <w:tcW w:w="995" w:type="dxa"/>
            <w:tcBorders>
              <w:left w:val="single" w:sz="4" w:space="0" w:color="FFFFFF" w:themeColor="background1"/>
            </w:tcBorders>
            <w:shd w:val="clear" w:color="auto" w:fill="E2DBED"/>
          </w:tcPr>
          <w:p w14:paraId="5AB16C64" w14:textId="77777777" w:rsidR="00A256F9" w:rsidRDefault="00A256F9" w:rsidP="00A256F9">
            <w:pPr>
              <w:pStyle w:val="NoSpacing"/>
              <w:rPr>
                <w:rFonts w:cs="Times New Roman"/>
              </w:rPr>
            </w:pPr>
            <w:r>
              <w:rPr>
                <w:rFonts w:cs="Times New Roman"/>
              </w:rPr>
              <w:t>VAWA</w:t>
            </w:r>
          </w:p>
        </w:tc>
        <w:tc>
          <w:tcPr>
            <w:tcW w:w="5670" w:type="dxa"/>
            <w:shd w:val="clear" w:color="auto" w:fill="E2DBED"/>
          </w:tcPr>
          <w:p w14:paraId="63981FBA" w14:textId="77777777" w:rsidR="00A256F9" w:rsidRDefault="00A256F9" w:rsidP="00A256F9">
            <w:pPr>
              <w:pStyle w:val="NoSpacing"/>
              <w:rPr>
                <w:rFonts w:cs="Times New Roman"/>
              </w:rPr>
            </w:pPr>
            <w:r>
              <w:rPr>
                <w:rFonts w:cs="Times New Roman"/>
              </w:rPr>
              <w:t>Emergency Transfer Form</w:t>
            </w:r>
          </w:p>
        </w:tc>
        <w:tc>
          <w:tcPr>
            <w:tcW w:w="1170" w:type="dxa"/>
            <w:shd w:val="clear" w:color="auto" w:fill="E2DBED"/>
          </w:tcPr>
          <w:p w14:paraId="7D7CC5B0" w14:textId="43D651C3" w:rsidR="00A256F9" w:rsidRDefault="00A256F9" w:rsidP="00A256F9">
            <w:pPr>
              <w:pStyle w:val="NoSpacing"/>
              <w:rPr>
                <w:rFonts w:cs="Times New Roman"/>
              </w:rPr>
            </w:pPr>
            <w:r w:rsidRPr="007E4758">
              <w:rPr>
                <w:rFonts w:cs="Times New Roman"/>
              </w:rPr>
              <w:t>Yes</w:t>
            </w:r>
          </w:p>
        </w:tc>
        <w:tc>
          <w:tcPr>
            <w:tcW w:w="1170" w:type="dxa"/>
            <w:shd w:val="clear" w:color="auto" w:fill="E2DBED"/>
          </w:tcPr>
          <w:p w14:paraId="0B64D23B" w14:textId="5DE88948" w:rsidR="00A256F9" w:rsidRDefault="00A256F9" w:rsidP="00A256F9">
            <w:pPr>
              <w:pStyle w:val="NoSpacing"/>
              <w:rPr>
                <w:rFonts w:cs="Times New Roman"/>
              </w:rPr>
            </w:pPr>
            <w:r w:rsidRPr="00E93615">
              <w:rPr>
                <w:rFonts w:cs="Times New Roman"/>
              </w:rPr>
              <w:t>Yes</w:t>
            </w:r>
          </w:p>
        </w:tc>
        <w:tc>
          <w:tcPr>
            <w:tcW w:w="1075" w:type="dxa"/>
            <w:tcBorders>
              <w:right w:val="single" w:sz="4" w:space="0" w:color="FFFFFF" w:themeColor="background1"/>
            </w:tcBorders>
            <w:shd w:val="clear" w:color="auto" w:fill="E2DBED"/>
          </w:tcPr>
          <w:p w14:paraId="5E0615E2" w14:textId="033B0CC0" w:rsidR="00A256F9" w:rsidRDefault="00A256F9" w:rsidP="00A256F9">
            <w:pPr>
              <w:pStyle w:val="NoSpacing"/>
              <w:rPr>
                <w:rFonts w:cs="Times New Roman"/>
              </w:rPr>
            </w:pPr>
            <w:r>
              <w:rPr>
                <w:rFonts w:cs="Times New Roman"/>
              </w:rPr>
              <w:t>Word</w:t>
            </w:r>
          </w:p>
        </w:tc>
      </w:tr>
      <w:tr w:rsidR="00A256F9" w14:paraId="2E729A67" w14:textId="77777777" w:rsidTr="00066B7E">
        <w:trPr>
          <w:jc w:val="right"/>
        </w:trPr>
        <w:tc>
          <w:tcPr>
            <w:tcW w:w="995" w:type="dxa"/>
            <w:tcBorders>
              <w:left w:val="single" w:sz="4" w:space="0" w:color="FFFFFF" w:themeColor="background1"/>
            </w:tcBorders>
            <w:shd w:val="clear" w:color="auto" w:fill="E2DBED"/>
          </w:tcPr>
          <w:p w14:paraId="68BCE323" w14:textId="77777777" w:rsidR="00A256F9" w:rsidRDefault="00A256F9" w:rsidP="00A256F9">
            <w:pPr>
              <w:pStyle w:val="NoSpacing"/>
              <w:rPr>
                <w:rFonts w:cs="Times New Roman"/>
              </w:rPr>
            </w:pPr>
            <w:r>
              <w:rPr>
                <w:rFonts w:cs="Times New Roman"/>
              </w:rPr>
              <w:t>VAWA</w:t>
            </w:r>
          </w:p>
        </w:tc>
        <w:tc>
          <w:tcPr>
            <w:tcW w:w="5670" w:type="dxa"/>
            <w:shd w:val="clear" w:color="auto" w:fill="E2DBED"/>
          </w:tcPr>
          <w:p w14:paraId="3162B698" w14:textId="77777777" w:rsidR="00A256F9" w:rsidRDefault="00A256F9" w:rsidP="00A256F9">
            <w:pPr>
              <w:pStyle w:val="NoSpacing"/>
              <w:rPr>
                <w:rFonts w:cs="Times New Roman"/>
              </w:rPr>
            </w:pPr>
            <w:r>
              <w:rPr>
                <w:rFonts w:cs="Times New Roman"/>
              </w:rPr>
              <w:t>Emergency Transfer Plan</w:t>
            </w:r>
          </w:p>
        </w:tc>
        <w:tc>
          <w:tcPr>
            <w:tcW w:w="1170" w:type="dxa"/>
            <w:shd w:val="clear" w:color="auto" w:fill="E2DBED"/>
          </w:tcPr>
          <w:p w14:paraId="70CB3B07" w14:textId="100B86CD" w:rsidR="00A256F9" w:rsidRDefault="00A256F9" w:rsidP="00A256F9">
            <w:pPr>
              <w:pStyle w:val="NoSpacing"/>
              <w:rPr>
                <w:rFonts w:cs="Times New Roman"/>
              </w:rPr>
            </w:pPr>
            <w:r w:rsidRPr="007E4758">
              <w:rPr>
                <w:rFonts w:cs="Times New Roman"/>
              </w:rPr>
              <w:t>Yes</w:t>
            </w:r>
          </w:p>
        </w:tc>
        <w:tc>
          <w:tcPr>
            <w:tcW w:w="1170" w:type="dxa"/>
            <w:shd w:val="clear" w:color="auto" w:fill="E2DBED"/>
          </w:tcPr>
          <w:p w14:paraId="36B154C8" w14:textId="3CE76912" w:rsidR="00A256F9" w:rsidRDefault="00A256F9" w:rsidP="00A256F9">
            <w:pPr>
              <w:pStyle w:val="NoSpacing"/>
              <w:rPr>
                <w:rFonts w:cs="Times New Roman"/>
              </w:rPr>
            </w:pPr>
            <w:r w:rsidRPr="00E93615">
              <w:rPr>
                <w:rFonts w:cs="Times New Roman"/>
              </w:rPr>
              <w:t>Yes</w:t>
            </w:r>
          </w:p>
        </w:tc>
        <w:tc>
          <w:tcPr>
            <w:tcW w:w="1075" w:type="dxa"/>
            <w:tcBorders>
              <w:right w:val="single" w:sz="4" w:space="0" w:color="FFFFFF" w:themeColor="background1"/>
            </w:tcBorders>
            <w:shd w:val="clear" w:color="auto" w:fill="E2DBED"/>
          </w:tcPr>
          <w:p w14:paraId="3303A8E1" w14:textId="35E1E8EB" w:rsidR="00A256F9" w:rsidRDefault="00A256F9" w:rsidP="00A256F9">
            <w:pPr>
              <w:pStyle w:val="NoSpacing"/>
              <w:rPr>
                <w:rFonts w:cs="Times New Roman"/>
              </w:rPr>
            </w:pPr>
            <w:r>
              <w:rPr>
                <w:rFonts w:cs="Times New Roman"/>
              </w:rPr>
              <w:t>Word</w:t>
            </w:r>
          </w:p>
        </w:tc>
      </w:tr>
      <w:tr w:rsidR="00A256F9" w14:paraId="4D177D96" w14:textId="77777777" w:rsidTr="00066B7E">
        <w:trPr>
          <w:jc w:val="right"/>
        </w:trPr>
        <w:tc>
          <w:tcPr>
            <w:tcW w:w="995" w:type="dxa"/>
            <w:tcBorders>
              <w:left w:val="single" w:sz="4" w:space="0" w:color="FFFFFF" w:themeColor="background1"/>
            </w:tcBorders>
            <w:shd w:val="clear" w:color="auto" w:fill="E2DBED"/>
          </w:tcPr>
          <w:p w14:paraId="7D9A3303" w14:textId="77777777" w:rsidR="00A256F9" w:rsidRDefault="00A256F9" w:rsidP="00A256F9">
            <w:pPr>
              <w:pStyle w:val="NoSpacing"/>
              <w:rPr>
                <w:rFonts w:cs="Times New Roman"/>
              </w:rPr>
            </w:pPr>
            <w:r>
              <w:rPr>
                <w:rFonts w:cs="Times New Roman"/>
              </w:rPr>
              <w:t>VAWA</w:t>
            </w:r>
          </w:p>
        </w:tc>
        <w:tc>
          <w:tcPr>
            <w:tcW w:w="5670" w:type="dxa"/>
            <w:shd w:val="clear" w:color="auto" w:fill="E2DBED"/>
          </w:tcPr>
          <w:p w14:paraId="1FA3F2E0" w14:textId="77777777" w:rsidR="00A256F9" w:rsidRDefault="00A256F9" w:rsidP="00A256F9">
            <w:pPr>
              <w:pStyle w:val="NoSpacing"/>
              <w:rPr>
                <w:rFonts w:cs="Times New Roman"/>
              </w:rPr>
            </w:pPr>
            <w:r>
              <w:rPr>
                <w:rFonts w:cs="Times New Roman"/>
              </w:rPr>
              <w:t>Lease Addendum</w:t>
            </w:r>
          </w:p>
        </w:tc>
        <w:tc>
          <w:tcPr>
            <w:tcW w:w="1170" w:type="dxa"/>
            <w:shd w:val="clear" w:color="auto" w:fill="E2DBED"/>
          </w:tcPr>
          <w:p w14:paraId="2365C922" w14:textId="253F1B99" w:rsidR="00A256F9" w:rsidRDefault="00A256F9" w:rsidP="00A256F9">
            <w:pPr>
              <w:pStyle w:val="NoSpacing"/>
              <w:rPr>
                <w:rFonts w:cs="Times New Roman"/>
              </w:rPr>
            </w:pPr>
            <w:r w:rsidRPr="007E4758">
              <w:rPr>
                <w:rFonts w:cs="Times New Roman"/>
              </w:rPr>
              <w:t>Yes</w:t>
            </w:r>
          </w:p>
        </w:tc>
        <w:tc>
          <w:tcPr>
            <w:tcW w:w="1170" w:type="dxa"/>
            <w:shd w:val="clear" w:color="auto" w:fill="E2DBED"/>
          </w:tcPr>
          <w:p w14:paraId="5B362D89" w14:textId="14B6B02F" w:rsidR="00A256F9" w:rsidRDefault="00A256F9" w:rsidP="00A256F9">
            <w:pPr>
              <w:pStyle w:val="NoSpacing"/>
              <w:rPr>
                <w:rFonts w:cs="Times New Roman"/>
              </w:rPr>
            </w:pPr>
            <w:r w:rsidRPr="00E93615">
              <w:rPr>
                <w:rFonts w:cs="Times New Roman"/>
              </w:rPr>
              <w:t>Yes</w:t>
            </w:r>
          </w:p>
        </w:tc>
        <w:tc>
          <w:tcPr>
            <w:tcW w:w="1075" w:type="dxa"/>
            <w:tcBorders>
              <w:right w:val="single" w:sz="4" w:space="0" w:color="FFFFFF" w:themeColor="background1"/>
            </w:tcBorders>
            <w:shd w:val="clear" w:color="auto" w:fill="E2DBED"/>
          </w:tcPr>
          <w:p w14:paraId="6FA94DB8" w14:textId="4C0E49E8" w:rsidR="00A256F9" w:rsidRDefault="00A256F9" w:rsidP="00A256F9">
            <w:pPr>
              <w:pStyle w:val="NoSpacing"/>
              <w:rPr>
                <w:rFonts w:cs="Times New Roman"/>
              </w:rPr>
            </w:pPr>
            <w:r>
              <w:rPr>
                <w:rFonts w:cs="Times New Roman"/>
              </w:rPr>
              <w:t>Word</w:t>
            </w:r>
          </w:p>
        </w:tc>
      </w:tr>
      <w:tr w:rsidR="00A256F9" w14:paraId="38BCBAAF" w14:textId="77777777" w:rsidTr="00066B7E">
        <w:trPr>
          <w:jc w:val="right"/>
        </w:trPr>
        <w:tc>
          <w:tcPr>
            <w:tcW w:w="995" w:type="dxa"/>
            <w:tcBorders>
              <w:left w:val="single" w:sz="4" w:space="0" w:color="FFFFFF" w:themeColor="background1"/>
              <w:bottom w:val="single" w:sz="4" w:space="0" w:color="FFFFFF" w:themeColor="background1"/>
            </w:tcBorders>
            <w:shd w:val="clear" w:color="auto" w:fill="E2DBED"/>
          </w:tcPr>
          <w:p w14:paraId="1939B325" w14:textId="77777777" w:rsidR="00A256F9" w:rsidRDefault="00A256F9" w:rsidP="00A256F9">
            <w:pPr>
              <w:pStyle w:val="NoSpacing"/>
              <w:rPr>
                <w:rFonts w:cs="Times New Roman"/>
              </w:rPr>
            </w:pPr>
            <w:r>
              <w:rPr>
                <w:rFonts w:cs="Times New Roman"/>
              </w:rPr>
              <w:t>VAWA</w:t>
            </w:r>
          </w:p>
        </w:tc>
        <w:tc>
          <w:tcPr>
            <w:tcW w:w="5670" w:type="dxa"/>
            <w:tcBorders>
              <w:bottom w:val="single" w:sz="4" w:space="0" w:color="FFFFFF" w:themeColor="background1"/>
            </w:tcBorders>
            <w:shd w:val="clear" w:color="auto" w:fill="E2DBED"/>
          </w:tcPr>
          <w:p w14:paraId="559A4923" w14:textId="77777777" w:rsidR="00A256F9" w:rsidRDefault="00A256F9" w:rsidP="00A256F9">
            <w:pPr>
              <w:pStyle w:val="NoSpacing"/>
              <w:rPr>
                <w:rFonts w:cs="Times New Roman"/>
              </w:rPr>
            </w:pPr>
            <w:r>
              <w:rPr>
                <w:rFonts w:cs="Times New Roman"/>
              </w:rPr>
              <w:t>Notice of Occupancy Rights</w:t>
            </w:r>
          </w:p>
        </w:tc>
        <w:tc>
          <w:tcPr>
            <w:tcW w:w="1170" w:type="dxa"/>
            <w:tcBorders>
              <w:bottom w:val="single" w:sz="4" w:space="0" w:color="FFFFFF" w:themeColor="background1"/>
            </w:tcBorders>
            <w:shd w:val="clear" w:color="auto" w:fill="E2DBED"/>
          </w:tcPr>
          <w:p w14:paraId="00791420" w14:textId="01128E1C" w:rsidR="00A256F9" w:rsidRDefault="00A256F9" w:rsidP="00A256F9">
            <w:pPr>
              <w:pStyle w:val="NoSpacing"/>
              <w:rPr>
                <w:rFonts w:cs="Times New Roman"/>
              </w:rPr>
            </w:pPr>
            <w:r w:rsidRPr="007E4758">
              <w:rPr>
                <w:rFonts w:cs="Times New Roman"/>
              </w:rPr>
              <w:t>Yes</w:t>
            </w:r>
          </w:p>
        </w:tc>
        <w:tc>
          <w:tcPr>
            <w:tcW w:w="1170" w:type="dxa"/>
            <w:tcBorders>
              <w:bottom w:val="single" w:sz="4" w:space="0" w:color="FFFFFF" w:themeColor="background1"/>
            </w:tcBorders>
            <w:shd w:val="clear" w:color="auto" w:fill="E2DBED"/>
          </w:tcPr>
          <w:p w14:paraId="1AA08205" w14:textId="3F91A9FB" w:rsidR="00A256F9" w:rsidRDefault="00A256F9" w:rsidP="00A256F9">
            <w:pPr>
              <w:pStyle w:val="NoSpacing"/>
              <w:rPr>
                <w:rFonts w:cs="Times New Roman"/>
              </w:rPr>
            </w:pPr>
            <w:r w:rsidRPr="00E93615">
              <w:rPr>
                <w:rFonts w:cs="Times New Roman"/>
              </w:rPr>
              <w:t>Yes</w:t>
            </w:r>
          </w:p>
        </w:tc>
        <w:tc>
          <w:tcPr>
            <w:tcW w:w="1075" w:type="dxa"/>
            <w:tcBorders>
              <w:bottom w:val="single" w:sz="4" w:space="0" w:color="FFFFFF" w:themeColor="background1"/>
              <w:right w:val="single" w:sz="4" w:space="0" w:color="FFFFFF" w:themeColor="background1"/>
            </w:tcBorders>
            <w:shd w:val="clear" w:color="auto" w:fill="E2DBED"/>
          </w:tcPr>
          <w:p w14:paraId="1AF4B47C" w14:textId="487DBBF5" w:rsidR="00A256F9" w:rsidRDefault="00A256F9" w:rsidP="00A256F9">
            <w:pPr>
              <w:pStyle w:val="NoSpacing"/>
              <w:rPr>
                <w:rFonts w:cs="Times New Roman"/>
              </w:rPr>
            </w:pPr>
            <w:r>
              <w:rPr>
                <w:rFonts w:cs="Times New Roman"/>
              </w:rPr>
              <w:t>Word</w:t>
            </w:r>
          </w:p>
        </w:tc>
      </w:tr>
    </w:tbl>
    <w:p w14:paraId="3B52A9E9" w14:textId="77777777" w:rsidR="00F504D6" w:rsidRPr="005276EC" w:rsidRDefault="00F504D6" w:rsidP="00F504D6">
      <w:pPr>
        <w:pStyle w:val="NoSpacing"/>
        <w:ind w:left="720"/>
        <w:rPr>
          <w:rFonts w:cs="Times New Roman"/>
        </w:rPr>
      </w:pPr>
    </w:p>
    <w:p w14:paraId="6D4D1D6B" w14:textId="77777777" w:rsidR="00F504D6" w:rsidRDefault="00F504D6" w:rsidP="00F504D6">
      <w:pPr>
        <w:pStyle w:val="NoSpacing"/>
        <w:numPr>
          <w:ilvl w:val="2"/>
          <w:numId w:val="10"/>
        </w:numPr>
        <w:rPr>
          <w:rFonts w:cs="Times New Roman"/>
          <w:b/>
        </w:rPr>
      </w:pPr>
      <w:r w:rsidRPr="005276EC">
        <w:rPr>
          <w:rFonts w:cs="Times New Roman"/>
          <w:b/>
        </w:rPr>
        <w:t>Owners</w:t>
      </w:r>
    </w:p>
    <w:p w14:paraId="426E808A" w14:textId="00F0759B" w:rsidR="00F504D6" w:rsidRDefault="00F504D6" w:rsidP="00F504D6">
      <w:pPr>
        <w:pStyle w:val="NoSpacing"/>
        <w:ind w:left="1440"/>
        <w:rPr>
          <w:rFonts w:cs="Times New Roman"/>
        </w:rPr>
      </w:pPr>
      <w:bookmarkStart w:id="10" w:name="_Hlk135227309"/>
      <w:r w:rsidRPr="005276EC">
        <w:rPr>
          <w:rFonts w:cs="Times New Roman"/>
        </w:rPr>
        <w:t xml:space="preserve">Owners must use the </w:t>
      </w:r>
      <w:r w:rsidRPr="005276EC">
        <w:rPr>
          <w:rFonts w:cs="Times New Roman"/>
          <w:b/>
          <w:color w:val="9B83BF"/>
        </w:rPr>
        <w:t>VAWA Lease Addendum</w:t>
      </w:r>
      <w:r w:rsidRPr="005276EC">
        <w:rPr>
          <w:rFonts w:cs="Times New Roman"/>
        </w:rPr>
        <w:t>. The Addendum incorporate</w:t>
      </w:r>
      <w:r>
        <w:rPr>
          <w:rFonts w:cs="Times New Roman"/>
        </w:rPr>
        <w:t>s</w:t>
      </w:r>
      <w:r w:rsidRPr="005276EC">
        <w:rPr>
          <w:rFonts w:cs="Times New Roman"/>
        </w:rPr>
        <w:t xml:space="preserve"> eviction prohibitions, lease construction provisions, and confidentiality </w:t>
      </w:r>
      <w:r w:rsidR="002A5EA3">
        <w:rPr>
          <w:rFonts w:cs="Times New Roman"/>
        </w:rPr>
        <w:t>requirements for</w:t>
      </w:r>
      <w:r w:rsidR="002A5EA3" w:rsidRPr="005276EC">
        <w:rPr>
          <w:rFonts w:cs="Times New Roman"/>
        </w:rPr>
        <w:t xml:space="preserve"> </w:t>
      </w:r>
      <w:r w:rsidRPr="005276EC">
        <w:rPr>
          <w:rFonts w:cs="Times New Roman"/>
        </w:rPr>
        <w:t>documentation submitted by survivors requesting emergency transfers and of each survivor's housing location.</w:t>
      </w:r>
      <w:bookmarkEnd w:id="10"/>
      <w:r>
        <w:rPr>
          <w:rFonts w:cs="Times New Roman"/>
        </w:rPr>
        <w:t xml:space="preserve"> </w:t>
      </w:r>
      <w:r w:rsidRPr="002E5A33">
        <w:rPr>
          <w:rFonts w:cs="Times New Roman"/>
        </w:rPr>
        <w:t xml:space="preserve">The </w:t>
      </w:r>
      <w:r>
        <w:rPr>
          <w:rFonts w:cs="Times New Roman"/>
        </w:rPr>
        <w:t>A</w:t>
      </w:r>
      <w:r w:rsidRPr="002E5A33">
        <w:rPr>
          <w:rFonts w:cs="Times New Roman"/>
        </w:rPr>
        <w:t>ddendum provide</w:t>
      </w:r>
      <w:r>
        <w:rPr>
          <w:rFonts w:cs="Times New Roman"/>
        </w:rPr>
        <w:t>s</w:t>
      </w:r>
      <w:r w:rsidRPr="002E5A33">
        <w:rPr>
          <w:rFonts w:cs="Times New Roman"/>
        </w:rPr>
        <w:t xml:space="preserve"> that </w:t>
      </w:r>
      <w:r w:rsidR="00D84EF8">
        <w:rPr>
          <w:rFonts w:cs="Times New Roman"/>
        </w:rPr>
        <w:t xml:space="preserve">a </w:t>
      </w:r>
      <w:r w:rsidR="00655DD3">
        <w:rPr>
          <w:rFonts w:cs="Times New Roman"/>
        </w:rPr>
        <w:t>s</w:t>
      </w:r>
      <w:r w:rsidRPr="002E5A33">
        <w:rPr>
          <w:rFonts w:cs="Times New Roman"/>
        </w:rPr>
        <w:t xml:space="preserve">urvivor may terminate </w:t>
      </w:r>
      <w:r w:rsidR="00D84EF8">
        <w:rPr>
          <w:rFonts w:cs="Times New Roman"/>
        </w:rPr>
        <w:t>their</w:t>
      </w:r>
      <w:r w:rsidR="00D84EF8" w:rsidRPr="002E5A33">
        <w:rPr>
          <w:rFonts w:cs="Times New Roman"/>
        </w:rPr>
        <w:t xml:space="preserve"> </w:t>
      </w:r>
      <w:r w:rsidRPr="002E5A33">
        <w:rPr>
          <w:rFonts w:cs="Times New Roman"/>
        </w:rPr>
        <w:t xml:space="preserve">lease without penalty if </w:t>
      </w:r>
      <w:r w:rsidR="00D84EF8">
        <w:rPr>
          <w:rFonts w:cs="Times New Roman"/>
        </w:rPr>
        <w:t>they meet</w:t>
      </w:r>
      <w:r w:rsidRPr="002E5A33">
        <w:rPr>
          <w:rFonts w:cs="Times New Roman"/>
        </w:rPr>
        <w:t xml:space="preserve"> </w:t>
      </w:r>
      <w:r w:rsidR="00D84EF8">
        <w:rPr>
          <w:rFonts w:cs="Times New Roman"/>
        </w:rPr>
        <w:t>emergency transfer requirements</w:t>
      </w:r>
      <w:r w:rsidRPr="002E5A33">
        <w:rPr>
          <w:rFonts w:cs="Times New Roman"/>
        </w:rPr>
        <w:t>.</w:t>
      </w:r>
      <w:r>
        <w:rPr>
          <w:rFonts w:cs="Times New Roman"/>
        </w:rPr>
        <w:t xml:space="preserve"> Additionally, o</w:t>
      </w:r>
      <w:r w:rsidRPr="002E5A33">
        <w:rPr>
          <w:rFonts w:cs="Times New Roman"/>
        </w:rPr>
        <w:t xml:space="preserve">wners must provide the </w:t>
      </w:r>
      <w:r w:rsidRPr="005276EC">
        <w:rPr>
          <w:rFonts w:cs="Times New Roman"/>
          <w:b/>
          <w:color w:val="9B83BF"/>
        </w:rPr>
        <w:t>VAWA Notice of Occupancy Rights</w:t>
      </w:r>
      <w:r w:rsidRPr="002E5A33">
        <w:rPr>
          <w:rFonts w:cs="Times New Roman"/>
        </w:rPr>
        <w:t xml:space="preserve"> and </w:t>
      </w:r>
      <w:r w:rsidRPr="005276EC">
        <w:rPr>
          <w:rFonts w:cs="Times New Roman"/>
          <w:b/>
          <w:color w:val="9B83BF"/>
        </w:rPr>
        <w:t>VAWA Certification Form</w:t>
      </w:r>
      <w:r w:rsidRPr="002E5A33">
        <w:rPr>
          <w:rFonts w:cs="Times New Roman"/>
        </w:rPr>
        <w:t xml:space="preserve"> with any notification of eviction they provide to the household.</w:t>
      </w:r>
    </w:p>
    <w:p w14:paraId="244612EA" w14:textId="77777777" w:rsidR="00F504D6" w:rsidRPr="004A46C0" w:rsidRDefault="00F504D6" w:rsidP="00F504D6">
      <w:pPr>
        <w:pStyle w:val="NoSpacing"/>
        <w:ind w:left="1440"/>
        <w:rPr>
          <w:rFonts w:cs="Times New Roman"/>
          <w:color w:val="C00000"/>
        </w:rPr>
      </w:pPr>
      <w:r w:rsidRPr="005276EC">
        <w:rPr>
          <w:rFonts w:cs="Times New Roman"/>
          <w:b/>
          <w:color w:val="C00000"/>
        </w:rPr>
        <w:t>NOTE:</w:t>
      </w:r>
      <w:r w:rsidRPr="005276EC">
        <w:rPr>
          <w:rFonts w:cs="Times New Roman"/>
          <w:color w:val="C00000"/>
        </w:rPr>
        <w:t xml:space="preserve"> </w:t>
      </w:r>
      <w:r w:rsidRPr="004A46C0">
        <w:rPr>
          <w:rFonts w:cs="Times New Roman"/>
          <w:color w:val="C00000"/>
        </w:rPr>
        <w:t xml:space="preserve">To receive TBRA </w:t>
      </w:r>
      <w:r>
        <w:rPr>
          <w:rFonts w:cs="Times New Roman"/>
          <w:color w:val="C00000"/>
        </w:rPr>
        <w:t xml:space="preserve">or TSH </w:t>
      </w:r>
      <w:r w:rsidRPr="004A46C0">
        <w:rPr>
          <w:rFonts w:cs="Times New Roman"/>
          <w:color w:val="C00000"/>
        </w:rPr>
        <w:t>services, a household’s lease must include a VAWA Lease Addendum.</w:t>
      </w:r>
    </w:p>
    <w:p w14:paraId="2F505A40" w14:textId="50437167" w:rsidR="00F504D6" w:rsidRDefault="005700E4" w:rsidP="00F504D6">
      <w:pPr>
        <w:pStyle w:val="NoSpacing"/>
        <w:ind w:left="1440"/>
        <w:rPr>
          <w:rFonts w:cs="Times New Roman"/>
          <w:color w:val="C00000"/>
        </w:rPr>
      </w:pPr>
      <w:r>
        <w:rPr>
          <w:rFonts w:cs="Times New Roman"/>
          <w:color w:val="C00000"/>
        </w:rPr>
        <w:t>I</w:t>
      </w:r>
      <w:r w:rsidRPr="004A46C0">
        <w:rPr>
          <w:rFonts w:cs="Times New Roman"/>
          <w:color w:val="C00000"/>
        </w:rPr>
        <w:t xml:space="preserve">f </w:t>
      </w:r>
      <w:r>
        <w:rPr>
          <w:rFonts w:cs="Times New Roman"/>
          <w:color w:val="C00000"/>
        </w:rPr>
        <w:t>it doe</w:t>
      </w:r>
      <w:r w:rsidRPr="004A46C0">
        <w:rPr>
          <w:rFonts w:cs="Times New Roman"/>
          <w:color w:val="C00000"/>
        </w:rPr>
        <w:t>s not</w:t>
      </w:r>
      <w:r>
        <w:rPr>
          <w:rFonts w:cs="Times New Roman"/>
          <w:color w:val="C00000"/>
        </w:rPr>
        <w:t>, a</w:t>
      </w:r>
      <w:r w:rsidR="002A5EA3">
        <w:rPr>
          <w:rFonts w:cs="Times New Roman"/>
          <w:color w:val="C00000"/>
        </w:rPr>
        <w:t xml:space="preserve"> </w:t>
      </w:r>
      <w:r w:rsidR="002A5EA3" w:rsidRPr="004A46C0">
        <w:rPr>
          <w:rFonts w:cs="Times New Roman"/>
          <w:color w:val="C00000"/>
        </w:rPr>
        <w:t>Project Sponsor c</w:t>
      </w:r>
      <w:r w:rsidR="002A5EA3">
        <w:rPr>
          <w:rFonts w:cs="Times New Roman"/>
          <w:color w:val="C00000"/>
        </w:rPr>
        <w:t>annot approve a unit for TBRA or TSH services</w:t>
      </w:r>
      <w:r w:rsidR="00F504D6" w:rsidRPr="004A46C0">
        <w:rPr>
          <w:rFonts w:cs="Times New Roman"/>
          <w:color w:val="C00000"/>
        </w:rPr>
        <w:t>.</w:t>
      </w:r>
    </w:p>
    <w:p w14:paraId="35BB11A1" w14:textId="77777777" w:rsidR="00077A9A" w:rsidRPr="005276EC" w:rsidRDefault="00077A9A" w:rsidP="00F504D6">
      <w:pPr>
        <w:pStyle w:val="NoSpacing"/>
        <w:ind w:left="1440"/>
        <w:rPr>
          <w:rFonts w:cs="Times New Roman"/>
        </w:rPr>
      </w:pPr>
    </w:p>
    <w:p w14:paraId="38A3086A" w14:textId="77777777" w:rsidR="00F504D6" w:rsidRDefault="00F504D6" w:rsidP="00F504D6">
      <w:pPr>
        <w:pStyle w:val="NoSpacing"/>
        <w:numPr>
          <w:ilvl w:val="2"/>
          <w:numId w:val="10"/>
        </w:numPr>
        <w:rPr>
          <w:rFonts w:cs="Times New Roman"/>
          <w:b/>
        </w:rPr>
      </w:pPr>
      <w:r>
        <w:rPr>
          <w:rFonts w:cs="Times New Roman"/>
          <w:b/>
        </w:rPr>
        <w:t>Survivors</w:t>
      </w:r>
    </w:p>
    <w:p w14:paraId="6186A911" w14:textId="6A198266" w:rsidR="00F504D6" w:rsidRDefault="00F504D6" w:rsidP="00F504D6">
      <w:pPr>
        <w:pStyle w:val="NoSpacing"/>
        <w:ind w:left="1440"/>
        <w:rPr>
          <w:rFonts w:cs="Times New Roman"/>
        </w:rPr>
      </w:pPr>
      <w:r w:rsidRPr="002E5A33">
        <w:rPr>
          <w:rFonts w:cs="Times New Roman"/>
        </w:rPr>
        <w:t>In the event of an incident</w:t>
      </w:r>
      <w:r w:rsidRPr="00BD1B69">
        <w:t xml:space="preserve"> </w:t>
      </w:r>
      <w:r w:rsidRPr="00BD1B69">
        <w:rPr>
          <w:rFonts w:cs="Times New Roman"/>
        </w:rPr>
        <w:t>of domestic violence, dating violence, sexual assault, or stalking</w:t>
      </w:r>
      <w:r w:rsidRPr="002E5A33">
        <w:rPr>
          <w:rFonts w:cs="Times New Roman"/>
        </w:rPr>
        <w:t>, Project Sponsors may request, in writing, that the survivor submit documentation as specified under Permissible Documentation</w:t>
      </w:r>
      <w:r>
        <w:rPr>
          <w:rFonts w:cs="Times New Roman"/>
        </w:rPr>
        <w:t xml:space="preserve"> (see E. Permissible Documentation and Submission Requirements)</w:t>
      </w:r>
      <w:r w:rsidRPr="002E5A33">
        <w:rPr>
          <w:rFonts w:cs="Times New Roman"/>
        </w:rPr>
        <w:t>.</w:t>
      </w:r>
      <w:r>
        <w:rPr>
          <w:rFonts w:cs="Times New Roman"/>
        </w:rPr>
        <w:t xml:space="preserve"> </w:t>
      </w:r>
      <w:r w:rsidRPr="002E5A33">
        <w:rPr>
          <w:rFonts w:cs="Times New Roman"/>
        </w:rPr>
        <w:t xml:space="preserve">If </w:t>
      </w:r>
      <w:r w:rsidR="00FC296C">
        <w:rPr>
          <w:rFonts w:cs="Times New Roman"/>
        </w:rPr>
        <w:t>the survi</w:t>
      </w:r>
      <w:r w:rsidRPr="002E5A33">
        <w:rPr>
          <w:rFonts w:cs="Times New Roman"/>
        </w:rPr>
        <w:t xml:space="preserve">vor requests protections, they must submit the request to the Project Sponsor. The Project Sponsor will work with the owner to facilitate protections on the survivor's behalf. Project Sponsors must follow </w:t>
      </w:r>
      <w:r>
        <w:rPr>
          <w:rFonts w:cs="Times New Roman"/>
        </w:rPr>
        <w:t>VAWA</w:t>
      </w:r>
      <w:r w:rsidRPr="002E5A33">
        <w:rPr>
          <w:rFonts w:cs="Times New Roman"/>
        </w:rPr>
        <w:t xml:space="preserve"> documentation and confidentiality requirements</w:t>
      </w:r>
      <w:r>
        <w:rPr>
          <w:rFonts w:cs="Times New Roman"/>
        </w:rPr>
        <w:t xml:space="preserve"> (see D. Request for Documentation; E. Permissible Documentation and Submission Requirements; and F. Confidentiality)</w:t>
      </w:r>
      <w:r w:rsidRPr="002E5A33">
        <w:rPr>
          <w:rFonts w:cs="Times New Roman"/>
        </w:rPr>
        <w:t>.</w:t>
      </w:r>
      <w:r>
        <w:rPr>
          <w:rFonts w:cs="Times New Roman"/>
        </w:rPr>
        <w:t xml:space="preserve"> </w:t>
      </w:r>
      <w:r w:rsidRPr="002E5A33">
        <w:rPr>
          <w:rFonts w:cs="Times New Roman"/>
        </w:rPr>
        <w:t>Project Sponsors also determin</w:t>
      </w:r>
      <w:r w:rsidR="00020AD6">
        <w:rPr>
          <w:rFonts w:cs="Times New Roman"/>
        </w:rPr>
        <w:t>e</w:t>
      </w:r>
      <w:r w:rsidRPr="002E5A33">
        <w:rPr>
          <w:rFonts w:cs="Times New Roman"/>
        </w:rPr>
        <w:t xml:space="preserve"> on a case-by-case basis whether to provide </w:t>
      </w:r>
      <w:r w:rsidR="005B2E7A">
        <w:rPr>
          <w:rFonts w:cs="Times New Roman"/>
        </w:rPr>
        <w:t>rental assistance</w:t>
      </w:r>
      <w:r w:rsidRPr="002E5A33">
        <w:rPr>
          <w:rFonts w:cs="Times New Roman"/>
        </w:rPr>
        <w:t xml:space="preserve"> to remaining beneficiaries if lease bifurcation or an emergency transfer results in division of the household.</w:t>
      </w:r>
      <w:r>
        <w:rPr>
          <w:rFonts w:cs="Times New Roman"/>
        </w:rPr>
        <w:t xml:space="preserve"> </w:t>
      </w:r>
      <w:r w:rsidRPr="002E5A33">
        <w:rPr>
          <w:rFonts w:cs="Times New Roman"/>
        </w:rPr>
        <w:t xml:space="preserve">Project Sponsors should undertake whatever actions permissible and feasible to assist </w:t>
      </w:r>
      <w:r w:rsidR="00FC296C">
        <w:rPr>
          <w:rFonts w:cs="Times New Roman"/>
        </w:rPr>
        <w:t>the survi</w:t>
      </w:r>
      <w:r w:rsidRPr="002E5A33">
        <w:rPr>
          <w:rFonts w:cs="Times New Roman"/>
        </w:rPr>
        <w:t>vor to remain in their unit or transfer to a new unit, and for the Project Sponsor to bear the costs of any transfer, where permissible.</w:t>
      </w:r>
    </w:p>
    <w:p w14:paraId="64A0248E" w14:textId="522C3928" w:rsidR="00495AE2" w:rsidRDefault="00495AE2">
      <w:pPr>
        <w:rPr>
          <w:rFonts w:cs="Times New Roman"/>
        </w:rPr>
      </w:pPr>
      <w:r>
        <w:rPr>
          <w:rFonts w:cs="Times New Roman"/>
        </w:rPr>
        <w:br w:type="page"/>
      </w:r>
    </w:p>
    <w:p w14:paraId="0610D3DC" w14:textId="77777777" w:rsidR="00F504D6" w:rsidRDefault="00F504D6" w:rsidP="00F504D6">
      <w:pPr>
        <w:pStyle w:val="NoSpacing"/>
        <w:numPr>
          <w:ilvl w:val="2"/>
          <w:numId w:val="10"/>
        </w:numPr>
        <w:rPr>
          <w:rFonts w:cs="Times New Roman"/>
          <w:b/>
        </w:rPr>
      </w:pPr>
      <w:r>
        <w:rPr>
          <w:rFonts w:cs="Times New Roman"/>
          <w:b/>
        </w:rPr>
        <w:lastRenderedPageBreak/>
        <w:t>Notification Requirements</w:t>
      </w:r>
    </w:p>
    <w:p w14:paraId="4E9C5ADD" w14:textId="4717B974" w:rsidR="00F504D6" w:rsidRDefault="00F504D6" w:rsidP="00F504D6">
      <w:pPr>
        <w:pStyle w:val="NoSpacing"/>
        <w:ind w:left="1440"/>
        <w:rPr>
          <w:rFonts w:cs="Times New Roman"/>
        </w:rPr>
      </w:pPr>
      <w:r w:rsidRPr="005276EC">
        <w:rPr>
          <w:rFonts w:cs="Times New Roman"/>
        </w:rPr>
        <w:t xml:space="preserve">Project Sponsors must provide the </w:t>
      </w:r>
      <w:r w:rsidRPr="005276EC">
        <w:rPr>
          <w:rFonts w:cs="Times New Roman"/>
          <w:b/>
          <w:color w:val="9B83BF"/>
        </w:rPr>
        <w:t>VAWA Notice of Occupancy Rights</w:t>
      </w:r>
      <w:r w:rsidRPr="005276EC">
        <w:rPr>
          <w:rFonts w:cs="Times New Roman"/>
        </w:rPr>
        <w:t xml:space="preserve"> and </w:t>
      </w:r>
      <w:r w:rsidRPr="005276EC">
        <w:rPr>
          <w:rFonts w:cs="Times New Roman"/>
          <w:b/>
          <w:color w:val="9B83BF"/>
        </w:rPr>
        <w:t>VAWA Certification Form</w:t>
      </w:r>
      <w:r w:rsidRPr="005276EC">
        <w:rPr>
          <w:rFonts w:cs="Times New Roman"/>
        </w:rPr>
        <w:t xml:space="preserve"> to households at the following times: </w:t>
      </w:r>
      <w:r w:rsidR="00D07583">
        <w:rPr>
          <w:rFonts w:cs="Times New Roman"/>
        </w:rPr>
        <w:t>When</w:t>
      </w:r>
      <w:r w:rsidRPr="005276EC">
        <w:rPr>
          <w:rFonts w:cs="Times New Roman"/>
        </w:rPr>
        <w:t xml:space="preserve"> </w:t>
      </w:r>
      <w:r w:rsidR="008C469B">
        <w:rPr>
          <w:rFonts w:cs="Times New Roman"/>
        </w:rPr>
        <w:t>approving or denying</w:t>
      </w:r>
      <w:r w:rsidRPr="005276EC">
        <w:rPr>
          <w:rFonts w:cs="Times New Roman"/>
        </w:rPr>
        <w:t xml:space="preserve"> rental assistance, with any notification of termination of rental assistance, and during annual recertifications.</w:t>
      </w:r>
      <w:r>
        <w:rPr>
          <w:rFonts w:cs="Times New Roman"/>
        </w:rPr>
        <w:t xml:space="preserve"> </w:t>
      </w:r>
      <w:r w:rsidRPr="00A16ADD">
        <w:rPr>
          <w:rFonts w:cs="Times New Roman"/>
        </w:rPr>
        <w:t>The Notice and Certification must be made available in multiple languages.</w:t>
      </w:r>
      <w:r>
        <w:rPr>
          <w:rFonts w:cs="Times New Roman"/>
        </w:rPr>
        <w:t xml:space="preserve"> </w:t>
      </w:r>
      <w:r w:rsidRPr="00A16ADD">
        <w:rPr>
          <w:rFonts w:cs="Times New Roman"/>
        </w:rPr>
        <w:t xml:space="preserve">The </w:t>
      </w:r>
      <w:r w:rsidRPr="005276EC">
        <w:rPr>
          <w:rFonts w:cs="Times New Roman"/>
          <w:b/>
          <w:color w:val="9B83BF"/>
        </w:rPr>
        <w:t>VAWA Notice of Occupancy Rights</w:t>
      </w:r>
      <w:r w:rsidRPr="00A16ADD">
        <w:rPr>
          <w:rFonts w:cs="Times New Roman"/>
        </w:rPr>
        <w:t xml:space="preserve"> explains the VAWA protections and any limitations on those protections.</w:t>
      </w:r>
      <w:r>
        <w:rPr>
          <w:rFonts w:cs="Times New Roman"/>
        </w:rPr>
        <w:t xml:space="preserve"> </w:t>
      </w:r>
      <w:r w:rsidRPr="00A16ADD">
        <w:rPr>
          <w:rFonts w:cs="Times New Roman"/>
        </w:rPr>
        <w:t>In the event of an incident</w:t>
      </w:r>
      <w:r>
        <w:rPr>
          <w:rFonts w:cs="Times New Roman"/>
        </w:rPr>
        <w:t xml:space="preserve"> </w:t>
      </w:r>
      <w:r w:rsidRPr="00BD1B69">
        <w:rPr>
          <w:rFonts w:cs="Times New Roman"/>
        </w:rPr>
        <w:t>of domestic violence, dating violence, sexual assault, or stalking</w:t>
      </w:r>
      <w:r w:rsidRPr="00A16ADD">
        <w:rPr>
          <w:rFonts w:cs="Times New Roman"/>
        </w:rPr>
        <w:t>, Project Sponsors may request, in writing, that the survivor submit documentation as specified under Permissible Documentation.</w:t>
      </w:r>
    </w:p>
    <w:p w14:paraId="6EA737F8" w14:textId="77777777" w:rsidR="00077A9A" w:rsidRPr="005276EC" w:rsidRDefault="00077A9A" w:rsidP="00F504D6">
      <w:pPr>
        <w:pStyle w:val="NoSpacing"/>
        <w:ind w:left="1440"/>
        <w:rPr>
          <w:rFonts w:cs="Times New Roman"/>
        </w:rPr>
      </w:pPr>
    </w:p>
    <w:p w14:paraId="5F56B61C" w14:textId="77777777" w:rsidR="00F504D6" w:rsidRDefault="00F504D6" w:rsidP="00F504D6">
      <w:pPr>
        <w:pStyle w:val="NoSpacing"/>
        <w:numPr>
          <w:ilvl w:val="2"/>
          <w:numId w:val="10"/>
        </w:numPr>
        <w:rPr>
          <w:rFonts w:cs="Times New Roman"/>
          <w:b/>
        </w:rPr>
      </w:pPr>
      <w:r>
        <w:rPr>
          <w:rFonts w:cs="Times New Roman"/>
          <w:b/>
        </w:rPr>
        <w:t>Request for Documentation</w:t>
      </w:r>
    </w:p>
    <w:p w14:paraId="1C954A9B" w14:textId="6D18214F" w:rsidR="00F504D6" w:rsidRDefault="00F504D6" w:rsidP="00F504D6">
      <w:pPr>
        <w:pStyle w:val="NoSpacing"/>
        <w:ind w:left="1440"/>
        <w:rPr>
          <w:rFonts w:cs="Times New Roman"/>
        </w:rPr>
      </w:pPr>
      <w:r w:rsidRPr="003B2163">
        <w:rPr>
          <w:rFonts w:cs="Times New Roman"/>
        </w:rPr>
        <w:t xml:space="preserve">If an applicant or beneficiary informs a Project Sponsor they </w:t>
      </w:r>
      <w:r w:rsidR="00491147">
        <w:rPr>
          <w:rFonts w:cs="Times New Roman"/>
        </w:rPr>
        <w:t>survived</w:t>
      </w:r>
      <w:r w:rsidR="00491147" w:rsidRPr="00491147">
        <w:rPr>
          <w:rFonts w:cs="Times New Roman"/>
        </w:rPr>
        <w:t xml:space="preserve"> </w:t>
      </w:r>
      <w:r w:rsidR="00491147" w:rsidRPr="00A16ADD">
        <w:rPr>
          <w:rFonts w:cs="Times New Roman"/>
        </w:rPr>
        <w:t>an incident</w:t>
      </w:r>
      <w:r w:rsidR="00491147">
        <w:rPr>
          <w:rFonts w:cs="Times New Roman"/>
        </w:rPr>
        <w:t xml:space="preserve"> </w:t>
      </w:r>
      <w:r w:rsidR="00491147" w:rsidRPr="00BD1B69">
        <w:rPr>
          <w:rFonts w:cs="Times New Roman"/>
        </w:rPr>
        <w:t>of domestic violence, dating violence, sexual assault, or stalking</w:t>
      </w:r>
      <w:r w:rsidRPr="003B2163">
        <w:rPr>
          <w:rFonts w:cs="Times New Roman"/>
        </w:rPr>
        <w:t>, the Project Sponsor may request, in writing, that the applicant or beneficiary submit documentation</w:t>
      </w:r>
      <w:r>
        <w:rPr>
          <w:rFonts w:cs="Times New Roman"/>
        </w:rPr>
        <w:t xml:space="preserve"> of survivor status as</w:t>
      </w:r>
      <w:r w:rsidRPr="003B2163">
        <w:rPr>
          <w:rFonts w:cs="Times New Roman"/>
        </w:rPr>
        <w:t xml:space="preserve"> specified under Permissible Documentation</w:t>
      </w:r>
      <w:r>
        <w:rPr>
          <w:rFonts w:cs="Times New Roman"/>
        </w:rPr>
        <w:t xml:space="preserve"> (see E. Permissible Documentation and Submission Requirements)</w:t>
      </w:r>
      <w:r w:rsidRPr="003B2163">
        <w:rPr>
          <w:rFonts w:cs="Times New Roman"/>
        </w:rPr>
        <w:t>.</w:t>
      </w:r>
      <w:r>
        <w:rPr>
          <w:rFonts w:cs="Times New Roman"/>
        </w:rPr>
        <w:t xml:space="preserve"> </w:t>
      </w:r>
      <w:r w:rsidRPr="00A16ADD">
        <w:rPr>
          <w:rFonts w:cs="Times New Roman"/>
        </w:rPr>
        <w:t xml:space="preserve">Project Sponsors </w:t>
      </w:r>
      <w:r w:rsidR="00B22EA3">
        <w:rPr>
          <w:rFonts w:cs="Times New Roman"/>
        </w:rPr>
        <w:t>do not need to</w:t>
      </w:r>
      <w:r w:rsidRPr="00A16ADD">
        <w:rPr>
          <w:rFonts w:cs="Times New Roman"/>
        </w:rPr>
        <w:t xml:space="preserve"> request that an applicant or beneficiary submit documentation of survivor status.</w:t>
      </w:r>
      <w:r>
        <w:rPr>
          <w:rFonts w:cs="Times New Roman"/>
        </w:rPr>
        <w:t xml:space="preserve"> </w:t>
      </w:r>
      <w:r w:rsidRPr="00A16ADD">
        <w:rPr>
          <w:rFonts w:cs="Times New Roman"/>
        </w:rPr>
        <w:t>If an applicant or beneficiary does not provide the requested documentation within 14 business days after the date they receive the request in writing, the Project Sponsor may:</w:t>
      </w:r>
    </w:p>
    <w:p w14:paraId="265BEE82" w14:textId="77777777" w:rsidR="00F504D6" w:rsidRPr="00A16ADD" w:rsidRDefault="00F504D6" w:rsidP="00FD5ABA">
      <w:pPr>
        <w:pStyle w:val="NoSpacing"/>
        <w:numPr>
          <w:ilvl w:val="3"/>
          <w:numId w:val="68"/>
        </w:numPr>
        <w:ind w:left="1890" w:hanging="450"/>
        <w:rPr>
          <w:rFonts w:cs="Times New Roman"/>
        </w:rPr>
      </w:pPr>
      <w:r w:rsidRPr="00A16ADD">
        <w:rPr>
          <w:rFonts w:cs="Times New Roman"/>
        </w:rPr>
        <w:t>Deny admission by the applicant or beneficiary to the DSHS HOPWA Program;</w:t>
      </w:r>
    </w:p>
    <w:p w14:paraId="2FD9AEAB" w14:textId="77777777" w:rsidR="00F504D6" w:rsidRPr="00A16ADD" w:rsidRDefault="00F504D6" w:rsidP="00FD5ABA">
      <w:pPr>
        <w:pStyle w:val="NoSpacing"/>
        <w:numPr>
          <w:ilvl w:val="3"/>
          <w:numId w:val="68"/>
        </w:numPr>
        <w:ind w:left="1890" w:hanging="450"/>
        <w:rPr>
          <w:rFonts w:cs="Times New Roman"/>
        </w:rPr>
      </w:pPr>
      <w:r w:rsidRPr="00A16ADD">
        <w:rPr>
          <w:rFonts w:cs="Times New Roman"/>
        </w:rPr>
        <w:t>Deny housing assistance and supportive services to the applicant or beneficiary;</w:t>
      </w:r>
    </w:p>
    <w:p w14:paraId="4D0EADDD" w14:textId="77777777" w:rsidR="00F504D6" w:rsidRPr="00A16ADD" w:rsidRDefault="00F504D6" w:rsidP="00FD5ABA">
      <w:pPr>
        <w:pStyle w:val="NoSpacing"/>
        <w:numPr>
          <w:ilvl w:val="3"/>
          <w:numId w:val="68"/>
        </w:numPr>
        <w:ind w:left="1890" w:hanging="450"/>
        <w:rPr>
          <w:rFonts w:cs="Times New Roman"/>
        </w:rPr>
      </w:pPr>
      <w:r w:rsidRPr="00A16ADD">
        <w:rPr>
          <w:rFonts w:cs="Times New Roman"/>
        </w:rPr>
        <w:t>Terminate the participation of the beneficiary in the DSHS HOPWA Program; or</w:t>
      </w:r>
    </w:p>
    <w:p w14:paraId="4730C5A9" w14:textId="77777777" w:rsidR="00F504D6" w:rsidRPr="00ED208F" w:rsidRDefault="00F504D6" w:rsidP="00FD5ABA">
      <w:pPr>
        <w:pStyle w:val="NoSpacing"/>
        <w:numPr>
          <w:ilvl w:val="3"/>
          <w:numId w:val="68"/>
        </w:numPr>
        <w:ind w:left="1890" w:hanging="450"/>
        <w:rPr>
          <w:rFonts w:cs="Times New Roman"/>
          <w:b/>
        </w:rPr>
      </w:pPr>
      <w:r w:rsidRPr="00A16ADD">
        <w:rPr>
          <w:rFonts w:cs="Times New Roman"/>
        </w:rPr>
        <w:t>At the Project Sponsor's discretion, extend the 14-business-day deadline.</w:t>
      </w:r>
    </w:p>
    <w:p w14:paraId="201B23E0" w14:textId="77777777" w:rsidR="00077A9A" w:rsidRDefault="00077A9A" w:rsidP="00ED208F">
      <w:pPr>
        <w:pStyle w:val="NoSpacing"/>
        <w:ind w:left="1440"/>
        <w:rPr>
          <w:rFonts w:cs="Times New Roman"/>
          <w:b/>
        </w:rPr>
      </w:pPr>
    </w:p>
    <w:p w14:paraId="351BBE16" w14:textId="77777777" w:rsidR="00F504D6" w:rsidRDefault="00F504D6" w:rsidP="00F504D6">
      <w:pPr>
        <w:pStyle w:val="NoSpacing"/>
        <w:numPr>
          <w:ilvl w:val="2"/>
          <w:numId w:val="10"/>
        </w:numPr>
        <w:rPr>
          <w:rFonts w:cs="Times New Roman"/>
          <w:b/>
        </w:rPr>
      </w:pPr>
      <w:r>
        <w:rPr>
          <w:rFonts w:cs="Times New Roman"/>
          <w:b/>
        </w:rPr>
        <w:t>Permissible Documentation and Submission Requirements</w:t>
      </w:r>
    </w:p>
    <w:p w14:paraId="045815BB" w14:textId="77777777" w:rsidR="00F504D6" w:rsidRDefault="00F504D6" w:rsidP="00F504D6">
      <w:pPr>
        <w:pStyle w:val="NoSpacing"/>
        <w:ind w:left="1440"/>
        <w:rPr>
          <w:rFonts w:cs="Times New Roman"/>
        </w:rPr>
      </w:pPr>
      <w:r w:rsidRPr="005276EC">
        <w:rPr>
          <w:rFonts w:cs="Times New Roman"/>
        </w:rPr>
        <w:t>In response to a written request from the Project Sponsor, the applicant or beneficiary may submit as documentation any one of the following items, where it is at the discretion of the applicant or beneficiary which one of the following forms of documentation to submit:</w:t>
      </w:r>
    </w:p>
    <w:p w14:paraId="42466234" w14:textId="77777777" w:rsidR="00F504D6" w:rsidRPr="00E624BD" w:rsidRDefault="00F504D6" w:rsidP="003A5712">
      <w:pPr>
        <w:pStyle w:val="NoSpacing"/>
        <w:numPr>
          <w:ilvl w:val="3"/>
          <w:numId w:val="69"/>
        </w:numPr>
        <w:ind w:left="1890" w:hanging="450"/>
        <w:rPr>
          <w:rFonts w:cs="Times New Roman"/>
        </w:rPr>
      </w:pPr>
      <w:r w:rsidRPr="00E624BD">
        <w:rPr>
          <w:rFonts w:cs="Times New Roman"/>
        </w:rPr>
        <w:t xml:space="preserve">The </w:t>
      </w:r>
      <w:r w:rsidRPr="005276EC">
        <w:rPr>
          <w:rFonts w:cs="Times New Roman"/>
          <w:b/>
          <w:color w:val="9B83BF"/>
        </w:rPr>
        <w:t>VAWA Certification Form</w:t>
      </w:r>
      <w:r w:rsidRPr="00E624BD">
        <w:rPr>
          <w:rFonts w:cs="Times New Roman"/>
        </w:rPr>
        <w:t>, which:</w:t>
      </w:r>
    </w:p>
    <w:p w14:paraId="2132325E" w14:textId="74A771B5" w:rsidR="00F504D6" w:rsidRPr="00E624BD" w:rsidRDefault="00F504D6" w:rsidP="00F504D6">
      <w:pPr>
        <w:pStyle w:val="NoSpacing"/>
        <w:numPr>
          <w:ilvl w:val="4"/>
          <w:numId w:val="69"/>
        </w:numPr>
        <w:rPr>
          <w:rFonts w:cs="Times New Roman"/>
        </w:rPr>
      </w:pPr>
      <w:r w:rsidRPr="00E624BD">
        <w:rPr>
          <w:rFonts w:cs="Times New Roman"/>
        </w:rPr>
        <w:t xml:space="preserve">States that the applicant or beneficiary </w:t>
      </w:r>
      <w:r w:rsidR="00AF05E8">
        <w:rPr>
          <w:rFonts w:cs="Times New Roman"/>
        </w:rPr>
        <w:t>survived</w:t>
      </w:r>
      <w:r w:rsidRPr="006A0225">
        <w:rPr>
          <w:rFonts w:cs="Times New Roman"/>
        </w:rPr>
        <w:t xml:space="preserve"> </w:t>
      </w:r>
      <w:r w:rsidR="00491147">
        <w:rPr>
          <w:rFonts w:cs="Times New Roman"/>
        </w:rPr>
        <w:t xml:space="preserve">an incident of </w:t>
      </w:r>
      <w:r w:rsidRPr="006A0225">
        <w:rPr>
          <w:rFonts w:cs="Times New Roman"/>
        </w:rPr>
        <w:t>domestic violence, dating violence, sexual assault, or stalking</w:t>
      </w:r>
      <w:r w:rsidRPr="00E624BD">
        <w:rPr>
          <w:rFonts w:cs="Times New Roman"/>
        </w:rPr>
        <w:t>;</w:t>
      </w:r>
    </w:p>
    <w:p w14:paraId="1DC312F2" w14:textId="77777777" w:rsidR="00F504D6" w:rsidRPr="00E624BD" w:rsidRDefault="00F504D6" w:rsidP="00F504D6">
      <w:pPr>
        <w:pStyle w:val="NoSpacing"/>
        <w:numPr>
          <w:ilvl w:val="4"/>
          <w:numId w:val="69"/>
        </w:numPr>
        <w:rPr>
          <w:rFonts w:cs="Times New Roman"/>
        </w:rPr>
      </w:pPr>
      <w:r w:rsidRPr="00E624BD">
        <w:rPr>
          <w:rFonts w:cs="Times New Roman"/>
        </w:rPr>
        <w:t>Describes the incident; and</w:t>
      </w:r>
    </w:p>
    <w:p w14:paraId="5FBA9CBD" w14:textId="56C22576" w:rsidR="00F504D6" w:rsidRDefault="00F504D6" w:rsidP="00F504D6">
      <w:pPr>
        <w:pStyle w:val="NoSpacing"/>
        <w:numPr>
          <w:ilvl w:val="4"/>
          <w:numId w:val="69"/>
        </w:numPr>
        <w:rPr>
          <w:rFonts w:cs="Times New Roman"/>
        </w:rPr>
      </w:pPr>
      <w:r w:rsidRPr="00E624BD">
        <w:rPr>
          <w:rFonts w:cs="Times New Roman"/>
        </w:rPr>
        <w:t xml:space="preserve">Includes the name of the </w:t>
      </w:r>
      <w:r w:rsidR="00C63CC6">
        <w:rPr>
          <w:rFonts w:cs="Times New Roman"/>
        </w:rPr>
        <w:t>accused perpetrator</w:t>
      </w:r>
      <w:r w:rsidRPr="00E624BD">
        <w:rPr>
          <w:rFonts w:cs="Times New Roman"/>
        </w:rPr>
        <w:t xml:space="preserve"> if known and safe to provide; or</w:t>
      </w:r>
    </w:p>
    <w:p w14:paraId="151BDBCD" w14:textId="77777777" w:rsidR="00F504D6" w:rsidRDefault="00F504D6" w:rsidP="003A5712">
      <w:pPr>
        <w:pStyle w:val="NoSpacing"/>
        <w:numPr>
          <w:ilvl w:val="3"/>
          <w:numId w:val="69"/>
        </w:numPr>
        <w:ind w:left="1890" w:hanging="450"/>
        <w:rPr>
          <w:rFonts w:cs="Times New Roman"/>
        </w:rPr>
      </w:pPr>
      <w:r w:rsidRPr="00E624BD">
        <w:rPr>
          <w:rFonts w:cs="Times New Roman"/>
        </w:rPr>
        <w:t>A document:</w:t>
      </w:r>
    </w:p>
    <w:p w14:paraId="68CBF27B" w14:textId="77777777" w:rsidR="00F504D6" w:rsidRPr="00E624BD" w:rsidRDefault="00F504D6" w:rsidP="00F504D6">
      <w:pPr>
        <w:pStyle w:val="NoSpacing"/>
        <w:numPr>
          <w:ilvl w:val="4"/>
          <w:numId w:val="69"/>
        </w:numPr>
        <w:rPr>
          <w:rFonts w:cs="Times New Roman"/>
        </w:rPr>
      </w:pPr>
      <w:r w:rsidRPr="00E624BD">
        <w:rPr>
          <w:rFonts w:cs="Times New Roman"/>
        </w:rPr>
        <w:t>Signed by an employee, agent, or volunteer of a survivor service provider, an attorney, or medical professional, or a mental health professional (collectively, “professional”) from whom the survivor has sought assistance relating to the incident or the effects of abuse;</w:t>
      </w:r>
    </w:p>
    <w:p w14:paraId="73223C8F" w14:textId="77777777" w:rsidR="00F504D6" w:rsidRPr="00E624BD" w:rsidRDefault="00F504D6" w:rsidP="00F504D6">
      <w:pPr>
        <w:pStyle w:val="NoSpacing"/>
        <w:numPr>
          <w:ilvl w:val="4"/>
          <w:numId w:val="69"/>
        </w:numPr>
        <w:rPr>
          <w:rFonts w:cs="Times New Roman"/>
        </w:rPr>
      </w:pPr>
      <w:r w:rsidRPr="00E624BD">
        <w:rPr>
          <w:rFonts w:cs="Times New Roman"/>
        </w:rPr>
        <w:t>Signed by the applicant or beneficiary; and</w:t>
      </w:r>
    </w:p>
    <w:p w14:paraId="037A3F07" w14:textId="77777777" w:rsidR="00F504D6" w:rsidRDefault="00F504D6" w:rsidP="00F504D6">
      <w:pPr>
        <w:pStyle w:val="NoSpacing"/>
        <w:numPr>
          <w:ilvl w:val="4"/>
          <w:numId w:val="69"/>
        </w:numPr>
        <w:rPr>
          <w:rFonts w:cs="Times New Roman"/>
        </w:rPr>
      </w:pPr>
      <w:r w:rsidRPr="00E624BD">
        <w:rPr>
          <w:rFonts w:cs="Times New Roman"/>
        </w:rPr>
        <w:t>That specifies, under penalty of perjury, that the professional believes the incident occurred, and that the incident meets the applicable definition of domestic violence, dating violence, sexual assault, or stalking; or</w:t>
      </w:r>
    </w:p>
    <w:p w14:paraId="03D09370" w14:textId="0F67002B" w:rsidR="00F504D6" w:rsidRPr="00E624BD" w:rsidRDefault="00F504D6" w:rsidP="003A5712">
      <w:pPr>
        <w:pStyle w:val="NoSpacing"/>
        <w:numPr>
          <w:ilvl w:val="3"/>
          <w:numId w:val="69"/>
        </w:numPr>
        <w:ind w:left="1890" w:hanging="450"/>
        <w:rPr>
          <w:rFonts w:cs="Times New Roman"/>
        </w:rPr>
      </w:pPr>
      <w:r w:rsidRPr="00E624BD">
        <w:rPr>
          <w:rFonts w:cs="Times New Roman"/>
        </w:rPr>
        <w:t xml:space="preserve">A record of a Federal, State, tribal, </w:t>
      </w:r>
      <w:r w:rsidR="009C621C" w:rsidRPr="00E624BD">
        <w:rPr>
          <w:rFonts w:cs="Times New Roman"/>
        </w:rPr>
        <w:t>territorial,</w:t>
      </w:r>
      <w:r w:rsidRPr="00E624BD">
        <w:rPr>
          <w:rFonts w:cs="Times New Roman"/>
        </w:rPr>
        <w:t xml:space="preserve"> or local law enforcement agency, court, or administrative agency; or</w:t>
      </w:r>
    </w:p>
    <w:p w14:paraId="73B4E363" w14:textId="77777777" w:rsidR="00F504D6" w:rsidRDefault="00F504D6" w:rsidP="003A5712">
      <w:pPr>
        <w:pStyle w:val="NoSpacing"/>
        <w:numPr>
          <w:ilvl w:val="3"/>
          <w:numId w:val="69"/>
        </w:numPr>
        <w:ind w:left="1890" w:hanging="450"/>
        <w:rPr>
          <w:rFonts w:cs="Times New Roman"/>
        </w:rPr>
      </w:pPr>
      <w:r w:rsidRPr="00E624BD">
        <w:rPr>
          <w:rFonts w:cs="Times New Roman"/>
        </w:rPr>
        <w:t>At the Project Sponsor's discretion, a statement or other evidence provided by the applicant or beneficiary.</w:t>
      </w:r>
    </w:p>
    <w:p w14:paraId="362815A0" w14:textId="77777777" w:rsidR="00077A9A" w:rsidRDefault="00077A9A" w:rsidP="00ED208F">
      <w:pPr>
        <w:pStyle w:val="NoSpacing"/>
        <w:ind w:left="1440"/>
        <w:rPr>
          <w:rFonts w:cs="Times New Roman"/>
        </w:rPr>
      </w:pPr>
    </w:p>
    <w:p w14:paraId="7D84338A" w14:textId="712411AE" w:rsidR="00F504D6" w:rsidRDefault="00F504D6" w:rsidP="00F504D6">
      <w:pPr>
        <w:pStyle w:val="NoSpacing"/>
        <w:ind w:left="1440"/>
        <w:rPr>
          <w:rFonts w:cs="Times New Roman"/>
        </w:rPr>
      </w:pPr>
      <w:r w:rsidRPr="00E624BD">
        <w:rPr>
          <w:rFonts w:cs="Times New Roman"/>
        </w:rPr>
        <w:t xml:space="preserve">If a Project Sponsor receives documentation that contains conflicting information (including Certification Forms from two or more beneficiaries of a household each claiming to be </w:t>
      </w:r>
      <w:r w:rsidR="00FC296C">
        <w:rPr>
          <w:rFonts w:cs="Times New Roman"/>
        </w:rPr>
        <w:t>the survi</w:t>
      </w:r>
      <w:r w:rsidRPr="00E624BD">
        <w:rPr>
          <w:rFonts w:cs="Times New Roman"/>
        </w:rPr>
        <w:t xml:space="preserve">vor and naming another beneficiary as the </w:t>
      </w:r>
      <w:r w:rsidR="00C63CC6">
        <w:rPr>
          <w:rFonts w:cs="Times New Roman"/>
        </w:rPr>
        <w:t>accused perpetrator</w:t>
      </w:r>
      <w:r w:rsidRPr="00E624BD">
        <w:rPr>
          <w:rFonts w:cs="Times New Roman"/>
        </w:rPr>
        <w:t>), the Project Sponsor may require an applicant or beneficiary to submit third-party documentation, as described above, within 30 calendar days of the date of the request for the third-party documentation.</w:t>
      </w:r>
    </w:p>
    <w:p w14:paraId="4C98972A" w14:textId="77777777" w:rsidR="00AE6EE7" w:rsidRDefault="00AE6EE7" w:rsidP="00F504D6">
      <w:pPr>
        <w:pStyle w:val="NoSpacing"/>
        <w:ind w:left="1440"/>
        <w:rPr>
          <w:rFonts w:cs="Times New Roman"/>
        </w:rPr>
      </w:pPr>
    </w:p>
    <w:p w14:paraId="53BA2899" w14:textId="77777777" w:rsidR="00F504D6" w:rsidRDefault="00F504D6" w:rsidP="00F504D6">
      <w:pPr>
        <w:pStyle w:val="NoSpacing"/>
        <w:numPr>
          <w:ilvl w:val="2"/>
          <w:numId w:val="10"/>
        </w:numPr>
        <w:rPr>
          <w:rFonts w:cs="Times New Roman"/>
          <w:b/>
        </w:rPr>
      </w:pPr>
      <w:r>
        <w:rPr>
          <w:rFonts w:cs="Times New Roman"/>
          <w:b/>
        </w:rPr>
        <w:t>Confidentiality</w:t>
      </w:r>
    </w:p>
    <w:p w14:paraId="27B44BFA" w14:textId="4409EDE9" w:rsidR="00F504D6" w:rsidRDefault="00F504D6" w:rsidP="00F504D6">
      <w:pPr>
        <w:pStyle w:val="NoSpacing"/>
        <w:ind w:left="1440"/>
        <w:rPr>
          <w:rFonts w:cs="Times New Roman"/>
        </w:rPr>
      </w:pPr>
      <w:r w:rsidRPr="005276EC">
        <w:rPr>
          <w:rFonts w:cs="Times New Roman"/>
        </w:rPr>
        <w:t>If an applicant or beneficiary submits documentation of survivor status (confidential information) to a Project Sponsor, the Project Sponsor must maintain the documentation in strict confidence.</w:t>
      </w:r>
      <w:r>
        <w:rPr>
          <w:rFonts w:cs="Times New Roman"/>
        </w:rPr>
        <w:t xml:space="preserve"> </w:t>
      </w:r>
      <w:r w:rsidRPr="00D0252F">
        <w:rPr>
          <w:rFonts w:cs="Times New Roman"/>
        </w:rPr>
        <w:t xml:space="preserve">Project </w:t>
      </w:r>
      <w:r w:rsidRPr="00D0252F">
        <w:rPr>
          <w:rFonts w:cs="Times New Roman"/>
        </w:rPr>
        <w:lastRenderedPageBreak/>
        <w:t xml:space="preserve">Sponsors </w:t>
      </w:r>
      <w:r w:rsidR="007C4154">
        <w:rPr>
          <w:rFonts w:cs="Times New Roman"/>
        </w:rPr>
        <w:t>will</w:t>
      </w:r>
      <w:r w:rsidRPr="00D0252F">
        <w:rPr>
          <w:rFonts w:cs="Times New Roman"/>
        </w:rPr>
        <w:t xml:space="preserve"> not allow any staff to have access to confidential information unless explicitly authorized by the Project Sponsor for reasons that specifically call for these individuals to have access to this information under applicable Federal, State, or local law.</w:t>
      </w:r>
      <w:r>
        <w:rPr>
          <w:rFonts w:cs="Times New Roman"/>
        </w:rPr>
        <w:t xml:space="preserve"> </w:t>
      </w:r>
      <w:r w:rsidRPr="00D0252F">
        <w:rPr>
          <w:rFonts w:cs="Times New Roman"/>
        </w:rPr>
        <w:t xml:space="preserve">Project Sponsors </w:t>
      </w:r>
      <w:r w:rsidR="007C4154">
        <w:rPr>
          <w:rFonts w:cs="Times New Roman"/>
        </w:rPr>
        <w:t>cannot</w:t>
      </w:r>
      <w:r w:rsidRPr="00D0252F">
        <w:rPr>
          <w:rFonts w:cs="Times New Roman"/>
        </w:rPr>
        <w:t xml:space="preserve"> enter confidential information into any shared database or disclose such information to any other entity or individual, </w:t>
      </w:r>
      <w:r w:rsidR="00D85672">
        <w:rPr>
          <w:rFonts w:cs="Times New Roman"/>
        </w:rPr>
        <w:t xml:space="preserve">unless </w:t>
      </w:r>
      <w:r>
        <w:rPr>
          <w:rFonts w:cs="Times New Roman"/>
        </w:rPr>
        <w:t xml:space="preserve">the </w:t>
      </w:r>
      <w:r w:rsidR="00D85672">
        <w:rPr>
          <w:rFonts w:cs="Times New Roman"/>
        </w:rPr>
        <w:t xml:space="preserve">survivor requests or consents </w:t>
      </w:r>
      <w:r w:rsidR="00826D99">
        <w:rPr>
          <w:rFonts w:cs="Times New Roman"/>
        </w:rPr>
        <w:t xml:space="preserve">to the disclosure </w:t>
      </w:r>
      <w:r w:rsidR="00C72BE5" w:rsidRPr="00D0252F">
        <w:rPr>
          <w:rFonts w:cs="Times New Roman"/>
        </w:rPr>
        <w:t>in a time-limited release</w:t>
      </w:r>
      <w:r>
        <w:rPr>
          <w:rFonts w:cs="Times New Roman"/>
        </w:rPr>
        <w:t>,</w:t>
      </w:r>
      <w:r w:rsidR="00D85672">
        <w:rPr>
          <w:rFonts w:cs="Times New Roman"/>
        </w:rPr>
        <w:t xml:space="preserve"> </w:t>
      </w:r>
      <w:r w:rsidR="00C72BE5" w:rsidRPr="00D0252F">
        <w:rPr>
          <w:rFonts w:cs="Times New Roman"/>
        </w:rPr>
        <w:t>an eviction proceeding or hearing regarding termination of assista</w:t>
      </w:r>
      <w:r w:rsidR="00C72BE5">
        <w:rPr>
          <w:rFonts w:cs="Times New Roman"/>
        </w:rPr>
        <w:t xml:space="preserve">nce from the DSHS HOPWA Program requires the </w:t>
      </w:r>
      <w:r w:rsidR="00D85672">
        <w:rPr>
          <w:rFonts w:cs="Times New Roman"/>
        </w:rPr>
        <w:t>disclosure</w:t>
      </w:r>
      <w:r>
        <w:rPr>
          <w:rFonts w:cs="Times New Roman"/>
        </w:rPr>
        <w:t>,</w:t>
      </w:r>
      <w:r w:rsidRPr="00D0252F">
        <w:rPr>
          <w:rFonts w:cs="Times New Roman"/>
        </w:rPr>
        <w:t xml:space="preserve"> or</w:t>
      </w:r>
      <w:r w:rsidR="00C72BE5">
        <w:rPr>
          <w:rFonts w:cs="Times New Roman"/>
        </w:rPr>
        <w:t xml:space="preserve"> </w:t>
      </w:r>
      <w:r w:rsidR="00C72BE5" w:rsidRPr="00D0252F">
        <w:rPr>
          <w:rFonts w:cs="Times New Roman"/>
        </w:rPr>
        <w:t>applicable law</w:t>
      </w:r>
      <w:r w:rsidR="00C72BE5">
        <w:rPr>
          <w:rFonts w:cs="Times New Roman"/>
        </w:rPr>
        <w:t xml:space="preserve"> otherwise </w:t>
      </w:r>
      <w:r w:rsidR="005B66DB">
        <w:rPr>
          <w:rFonts w:cs="Times New Roman"/>
        </w:rPr>
        <w:t>mandates</w:t>
      </w:r>
      <w:r w:rsidR="00C72BE5">
        <w:rPr>
          <w:rFonts w:cs="Times New Roman"/>
        </w:rPr>
        <w:t xml:space="preserve"> the </w:t>
      </w:r>
      <w:r w:rsidR="00D85672">
        <w:rPr>
          <w:rFonts w:cs="Times New Roman"/>
        </w:rPr>
        <w:t>disclosure</w:t>
      </w:r>
      <w:r w:rsidRPr="00D0252F">
        <w:rPr>
          <w:rFonts w:cs="Times New Roman"/>
        </w:rPr>
        <w:t>.</w:t>
      </w:r>
    </w:p>
    <w:p w14:paraId="3AD2623C" w14:textId="77777777" w:rsidR="00077A9A" w:rsidRPr="005276EC" w:rsidRDefault="00077A9A" w:rsidP="00F504D6">
      <w:pPr>
        <w:pStyle w:val="NoSpacing"/>
        <w:ind w:left="1440"/>
        <w:rPr>
          <w:rFonts w:cs="Times New Roman"/>
        </w:rPr>
      </w:pPr>
    </w:p>
    <w:p w14:paraId="4AD379DB" w14:textId="77777777" w:rsidR="00F504D6" w:rsidRDefault="00F504D6" w:rsidP="00F504D6">
      <w:pPr>
        <w:pStyle w:val="NoSpacing"/>
        <w:numPr>
          <w:ilvl w:val="2"/>
          <w:numId w:val="10"/>
        </w:numPr>
        <w:rPr>
          <w:rFonts w:cs="Times New Roman"/>
          <w:b/>
        </w:rPr>
      </w:pPr>
      <w:r>
        <w:rPr>
          <w:rFonts w:cs="Times New Roman"/>
          <w:b/>
        </w:rPr>
        <w:t>Remedies</w:t>
      </w:r>
    </w:p>
    <w:p w14:paraId="2DF69DB4" w14:textId="2261B1BC" w:rsidR="00F504D6" w:rsidRPr="00BB2264" w:rsidRDefault="00F504D6" w:rsidP="003A5712">
      <w:pPr>
        <w:pStyle w:val="NoSpacing"/>
        <w:numPr>
          <w:ilvl w:val="3"/>
          <w:numId w:val="10"/>
        </w:numPr>
        <w:ind w:left="1890" w:hanging="450"/>
        <w:rPr>
          <w:rFonts w:cs="Times New Roman"/>
        </w:rPr>
      </w:pPr>
      <w:r w:rsidRPr="005276EC">
        <w:rPr>
          <w:rFonts w:cs="Times New Roman"/>
          <w:i/>
        </w:rPr>
        <w:t>Lease Bifurcation</w:t>
      </w:r>
      <w:r w:rsidRPr="005276EC">
        <w:rPr>
          <w:rFonts w:cs="Times New Roman"/>
        </w:rPr>
        <w:t>.</w:t>
      </w:r>
      <w:r w:rsidRPr="00BB2264">
        <w:rPr>
          <w:rFonts w:cs="Times New Roman"/>
        </w:rPr>
        <w:t xml:space="preserve"> Owners may bifurcate a lease </w:t>
      </w:r>
      <w:r w:rsidR="00D226DF" w:rsidRPr="00BB2264">
        <w:rPr>
          <w:rFonts w:cs="Times New Roman"/>
        </w:rPr>
        <w:t>to</w:t>
      </w:r>
      <w:r w:rsidRPr="00BB2264">
        <w:rPr>
          <w:rFonts w:cs="Times New Roman"/>
        </w:rPr>
        <w:t xml:space="preserve"> evict a</w:t>
      </w:r>
      <w:r w:rsidR="00C63CC6">
        <w:rPr>
          <w:rFonts w:cs="Times New Roman"/>
        </w:rPr>
        <w:t>n accused</w:t>
      </w:r>
      <w:r w:rsidRPr="00BB2264">
        <w:rPr>
          <w:rFonts w:cs="Times New Roman"/>
        </w:rPr>
        <w:t xml:space="preserve"> perpetrator without regard to whether the</w:t>
      </w:r>
      <w:r w:rsidR="00C63CC6">
        <w:rPr>
          <w:rFonts w:cs="Times New Roman"/>
        </w:rPr>
        <w:t xml:space="preserve"> accused</w:t>
      </w:r>
      <w:r w:rsidRPr="00BB2264">
        <w:rPr>
          <w:rFonts w:cs="Times New Roman"/>
        </w:rPr>
        <w:t xml:space="preserve"> perpetrator is a signatory to the lease and without evicting or otherwise penalizing </w:t>
      </w:r>
      <w:r w:rsidR="00FC296C">
        <w:rPr>
          <w:rFonts w:cs="Times New Roman"/>
        </w:rPr>
        <w:t>the survi</w:t>
      </w:r>
      <w:r w:rsidRPr="00BB2264">
        <w:rPr>
          <w:rFonts w:cs="Times New Roman"/>
        </w:rPr>
        <w:t>vor or other beneficiaries. If an owner will bifurcate a lease, they must do so in accordance with Federal, State, or local law for lease termination.</w:t>
      </w:r>
      <w:r>
        <w:rPr>
          <w:rFonts w:cs="Times New Roman"/>
        </w:rPr>
        <w:t xml:space="preserve"> If </w:t>
      </w:r>
      <w:r w:rsidRPr="00BB2264">
        <w:rPr>
          <w:rFonts w:cs="Times New Roman"/>
        </w:rPr>
        <w:t xml:space="preserve">the </w:t>
      </w:r>
      <w:r w:rsidR="00C63CC6">
        <w:rPr>
          <w:rFonts w:cs="Times New Roman"/>
        </w:rPr>
        <w:t xml:space="preserve">accused </w:t>
      </w:r>
      <w:r w:rsidRPr="00BB2264">
        <w:rPr>
          <w:rFonts w:cs="Times New Roman"/>
        </w:rPr>
        <w:t>perpetrator is the eligible individual and the survivor is a remaining beneficiary</w:t>
      </w:r>
      <w:r>
        <w:rPr>
          <w:rFonts w:cs="Times New Roman"/>
        </w:rPr>
        <w:t>, Project Sponsors must provide a reasonable grace period to the survivor and remaining beneficiaries.</w:t>
      </w:r>
    </w:p>
    <w:p w14:paraId="690CBF61" w14:textId="2A1A81D0" w:rsidR="00F504D6" w:rsidRPr="005276EC" w:rsidRDefault="00F504D6" w:rsidP="003A5712">
      <w:pPr>
        <w:pStyle w:val="NoSpacing"/>
        <w:ind w:left="1890"/>
        <w:rPr>
          <w:rFonts w:cs="Times New Roman"/>
          <w:color w:val="C00000"/>
        </w:rPr>
      </w:pPr>
      <w:r w:rsidRPr="005276EC">
        <w:rPr>
          <w:rFonts w:cs="Times New Roman"/>
          <w:b/>
          <w:color w:val="C00000"/>
        </w:rPr>
        <w:t>NOTE:</w:t>
      </w:r>
      <w:r w:rsidR="00083D25">
        <w:rPr>
          <w:rFonts w:cs="Times New Roman"/>
          <w:color w:val="C00000"/>
        </w:rPr>
        <w:t xml:space="preserve"> See Section 1</w:t>
      </w:r>
      <w:r w:rsidR="00DA1EAC">
        <w:rPr>
          <w:rFonts w:cs="Times New Roman"/>
          <w:color w:val="C00000"/>
        </w:rPr>
        <w:t>8</w:t>
      </w:r>
      <w:r w:rsidRPr="005276EC">
        <w:rPr>
          <w:rFonts w:cs="Times New Roman"/>
          <w:color w:val="C00000"/>
        </w:rPr>
        <w:t>. Grace Periods for Surviving or Remaining Household Members</w:t>
      </w:r>
      <w:r>
        <w:rPr>
          <w:rFonts w:cs="Times New Roman"/>
          <w:color w:val="C00000"/>
        </w:rPr>
        <w:t>.</w:t>
      </w:r>
    </w:p>
    <w:p w14:paraId="2916E6E6" w14:textId="1FD26615" w:rsidR="00F504D6" w:rsidRDefault="00F504D6" w:rsidP="003A5712">
      <w:pPr>
        <w:pStyle w:val="NoSpacing"/>
        <w:numPr>
          <w:ilvl w:val="3"/>
          <w:numId w:val="10"/>
        </w:numPr>
        <w:ind w:left="1890" w:hanging="450"/>
        <w:rPr>
          <w:rFonts w:cs="Times New Roman"/>
        </w:rPr>
      </w:pPr>
      <w:r w:rsidRPr="005276EC">
        <w:rPr>
          <w:rFonts w:cs="Times New Roman"/>
          <w:i/>
        </w:rPr>
        <w:t>Emergency Transfers</w:t>
      </w:r>
      <w:r w:rsidRPr="005276EC">
        <w:rPr>
          <w:rFonts w:cs="Times New Roman"/>
        </w:rPr>
        <w:t>.</w:t>
      </w:r>
      <w:r w:rsidRPr="00A16ADD">
        <w:rPr>
          <w:rFonts w:cs="Times New Roman"/>
        </w:rPr>
        <w:t xml:space="preserve"> Project Sponsors must adopt the </w:t>
      </w:r>
      <w:r w:rsidRPr="005276EC">
        <w:rPr>
          <w:rFonts w:cs="Times New Roman"/>
          <w:b/>
          <w:color w:val="9B83BF"/>
        </w:rPr>
        <w:t>VAWA Emergency Transfer Plan</w:t>
      </w:r>
      <w:r w:rsidRPr="00A16ADD">
        <w:rPr>
          <w:rFonts w:cs="Times New Roman"/>
        </w:rPr>
        <w:t>. The Plan describe</w:t>
      </w:r>
      <w:r>
        <w:rPr>
          <w:rFonts w:cs="Times New Roman"/>
        </w:rPr>
        <w:t>s</w:t>
      </w:r>
      <w:r w:rsidRPr="00A16ADD">
        <w:rPr>
          <w:rFonts w:cs="Times New Roman"/>
        </w:rPr>
        <w:t xml:space="preserve"> the procedure for survivors who meet emergency transfer requirements to move quickly with continued TBRA</w:t>
      </w:r>
      <w:r>
        <w:rPr>
          <w:rFonts w:cs="Times New Roman"/>
        </w:rPr>
        <w:t xml:space="preserve"> or TSH</w:t>
      </w:r>
      <w:r w:rsidRPr="00A16ADD">
        <w:rPr>
          <w:rFonts w:cs="Times New Roman"/>
        </w:rPr>
        <w:t xml:space="preserve"> services. Project Sponsors must make </w:t>
      </w:r>
      <w:r>
        <w:rPr>
          <w:rFonts w:cs="Times New Roman"/>
        </w:rPr>
        <w:t>the</w:t>
      </w:r>
      <w:r w:rsidRPr="00A16ADD">
        <w:rPr>
          <w:rFonts w:cs="Times New Roman"/>
        </w:rPr>
        <w:t xml:space="preserve"> Plan available upon request and, when feasible, make its plan publicly available. To qualify for emergency transfer, the survivor must request a transfer in writing using the </w:t>
      </w:r>
      <w:r w:rsidRPr="005276EC">
        <w:rPr>
          <w:rFonts w:cs="Times New Roman"/>
          <w:b/>
          <w:color w:val="9B83BF"/>
        </w:rPr>
        <w:t>VAWA Emergency Transfer Form</w:t>
      </w:r>
      <w:r w:rsidRPr="00A16ADD">
        <w:rPr>
          <w:rFonts w:cs="Times New Roman"/>
        </w:rPr>
        <w:t>.</w:t>
      </w:r>
      <w:r>
        <w:rPr>
          <w:rFonts w:cs="Times New Roman"/>
        </w:rPr>
        <w:t xml:space="preserve"> </w:t>
      </w:r>
      <w:r w:rsidRPr="00A16ADD">
        <w:rPr>
          <w:rFonts w:cs="Times New Roman"/>
        </w:rPr>
        <w:t xml:space="preserve">The Form must be made available in multiple languages. Project Sponsors must provide reasonable accommodations to this policy for survivors with disabilities. Also, the survivor must reasonably believe </w:t>
      </w:r>
      <w:r w:rsidR="00921060">
        <w:rPr>
          <w:rFonts w:cs="Times New Roman"/>
        </w:rPr>
        <w:t xml:space="preserve">that </w:t>
      </w:r>
      <w:r w:rsidR="00921060" w:rsidRPr="00A16ADD">
        <w:rPr>
          <w:rFonts w:cs="Times New Roman"/>
        </w:rPr>
        <w:t>remain</w:t>
      </w:r>
      <w:r w:rsidR="00921060">
        <w:rPr>
          <w:rFonts w:cs="Times New Roman"/>
        </w:rPr>
        <w:t>ing</w:t>
      </w:r>
      <w:r w:rsidR="00921060" w:rsidRPr="00A16ADD">
        <w:rPr>
          <w:rFonts w:cs="Times New Roman"/>
        </w:rPr>
        <w:t xml:space="preserve"> </w:t>
      </w:r>
      <w:r w:rsidR="000E14C3">
        <w:rPr>
          <w:rFonts w:cs="Times New Roman"/>
        </w:rPr>
        <w:t>in</w:t>
      </w:r>
      <w:r w:rsidR="00921060" w:rsidRPr="00A16ADD">
        <w:rPr>
          <w:rFonts w:cs="Times New Roman"/>
        </w:rPr>
        <w:t xml:space="preserve"> the </w:t>
      </w:r>
      <w:r w:rsidR="000E14C3">
        <w:rPr>
          <w:rFonts w:cs="Times New Roman"/>
        </w:rPr>
        <w:t>unit</w:t>
      </w:r>
      <w:r w:rsidR="00921060" w:rsidRPr="00A16ADD">
        <w:rPr>
          <w:rFonts w:cs="Times New Roman"/>
        </w:rPr>
        <w:t xml:space="preserve"> they currently occupy </w:t>
      </w:r>
      <w:r w:rsidR="00921060">
        <w:rPr>
          <w:rFonts w:cs="Times New Roman"/>
        </w:rPr>
        <w:t>poses</w:t>
      </w:r>
      <w:r w:rsidRPr="00A16ADD">
        <w:rPr>
          <w:rFonts w:cs="Times New Roman"/>
        </w:rPr>
        <w:t xml:space="preserve"> an actual and imminent threat</w:t>
      </w:r>
      <w:r w:rsidR="00921060">
        <w:rPr>
          <w:rFonts w:cs="Times New Roman"/>
        </w:rPr>
        <w:t>.</w:t>
      </w:r>
      <w:r>
        <w:rPr>
          <w:rFonts w:cs="Times New Roman"/>
        </w:rPr>
        <w:t xml:space="preserve"> </w:t>
      </w:r>
      <w:r w:rsidRPr="00A16ADD">
        <w:rPr>
          <w:rFonts w:cs="Times New Roman"/>
        </w:rPr>
        <w:t xml:space="preserve">If they </w:t>
      </w:r>
      <w:r w:rsidR="00E838FB">
        <w:rPr>
          <w:rFonts w:cs="Times New Roman"/>
        </w:rPr>
        <w:t>survived</w:t>
      </w:r>
      <w:r w:rsidRPr="00A16ADD">
        <w:rPr>
          <w:rFonts w:cs="Times New Roman"/>
        </w:rPr>
        <w:t xml:space="preserve"> sexual assault, </w:t>
      </w:r>
      <w:r w:rsidR="00921060">
        <w:rPr>
          <w:rFonts w:cs="Times New Roman"/>
        </w:rPr>
        <w:t xml:space="preserve">the survivor </w:t>
      </w:r>
      <w:r w:rsidR="00921060" w:rsidRPr="00A16ADD">
        <w:rPr>
          <w:rFonts w:cs="Times New Roman"/>
        </w:rPr>
        <w:t xml:space="preserve">must reasonably believe </w:t>
      </w:r>
      <w:r w:rsidR="00921060">
        <w:rPr>
          <w:rFonts w:cs="Times New Roman"/>
        </w:rPr>
        <w:t xml:space="preserve">that </w:t>
      </w:r>
      <w:r w:rsidR="00921060" w:rsidRPr="00A16ADD">
        <w:rPr>
          <w:rFonts w:cs="Times New Roman"/>
        </w:rPr>
        <w:t>remain</w:t>
      </w:r>
      <w:r w:rsidR="00921060">
        <w:rPr>
          <w:rFonts w:cs="Times New Roman"/>
        </w:rPr>
        <w:t>ing</w:t>
      </w:r>
      <w:r w:rsidR="00921060" w:rsidRPr="00A16ADD">
        <w:rPr>
          <w:rFonts w:cs="Times New Roman"/>
        </w:rPr>
        <w:t xml:space="preserve"> </w:t>
      </w:r>
      <w:r w:rsidR="000E14C3">
        <w:rPr>
          <w:rFonts w:cs="Times New Roman"/>
        </w:rPr>
        <w:t>in the</w:t>
      </w:r>
      <w:r w:rsidR="00921060" w:rsidRPr="00A16ADD">
        <w:rPr>
          <w:rFonts w:cs="Times New Roman"/>
        </w:rPr>
        <w:t xml:space="preserve"> unit they currently occupy </w:t>
      </w:r>
      <w:r w:rsidR="00921060">
        <w:rPr>
          <w:rFonts w:cs="Times New Roman"/>
        </w:rPr>
        <w:t>poses</w:t>
      </w:r>
      <w:r w:rsidR="00921060" w:rsidRPr="00A16ADD">
        <w:rPr>
          <w:rFonts w:cs="Times New Roman"/>
        </w:rPr>
        <w:t xml:space="preserve"> an actual and imminent threat</w:t>
      </w:r>
      <w:r w:rsidRPr="00A16ADD">
        <w:rPr>
          <w:rFonts w:cs="Times New Roman"/>
        </w:rPr>
        <w:t>, or the sexual assault occurred on the premises during the 90-calendar-day period preceding the date of the emergency transfer request.</w:t>
      </w:r>
      <w:r>
        <w:rPr>
          <w:rFonts w:cs="Times New Roman"/>
        </w:rPr>
        <w:t xml:space="preserve"> </w:t>
      </w:r>
      <w:r w:rsidRPr="00A16ADD">
        <w:rPr>
          <w:rFonts w:cs="Times New Roman"/>
        </w:rPr>
        <w:t xml:space="preserve">The Plan may require </w:t>
      </w:r>
      <w:r w:rsidR="00FC296C">
        <w:rPr>
          <w:rFonts w:cs="Times New Roman"/>
        </w:rPr>
        <w:t>the survi</w:t>
      </w:r>
      <w:r w:rsidRPr="00A16ADD">
        <w:rPr>
          <w:rFonts w:cs="Times New Roman"/>
        </w:rPr>
        <w:t>vor requesting emergency transfer to submit documentation as specified under Permissible Documentation</w:t>
      </w:r>
      <w:r>
        <w:rPr>
          <w:rFonts w:cs="Times New Roman"/>
        </w:rPr>
        <w:t xml:space="preserve"> (see E. Permissible Documentation and Submission Requirements)</w:t>
      </w:r>
      <w:r w:rsidRPr="00A16ADD">
        <w:rPr>
          <w:rFonts w:cs="Times New Roman"/>
        </w:rPr>
        <w:t>.</w:t>
      </w:r>
      <w:r>
        <w:rPr>
          <w:rFonts w:cs="Times New Roman"/>
        </w:rPr>
        <w:t xml:space="preserve"> </w:t>
      </w:r>
      <w:r w:rsidRPr="00A16ADD">
        <w:rPr>
          <w:rFonts w:cs="Times New Roman"/>
        </w:rPr>
        <w:t xml:space="preserve">Project Sponsors must maintain emergency transfer data, including outcome data for each request, and report this data to HUD annually. Project Sponsors must </w:t>
      </w:r>
      <w:r w:rsidR="00FC3581">
        <w:rPr>
          <w:rFonts w:cs="Times New Roman"/>
        </w:rPr>
        <w:t>maintain</w:t>
      </w:r>
      <w:r w:rsidRPr="00A16ADD">
        <w:rPr>
          <w:rFonts w:cs="Times New Roman"/>
        </w:rPr>
        <w:t xml:space="preserve"> emergency transfer records for a 4-year period.</w:t>
      </w:r>
    </w:p>
    <w:p w14:paraId="340F59BC" w14:textId="77777777" w:rsidR="00077A9A" w:rsidRPr="00077A9A" w:rsidRDefault="00077A9A" w:rsidP="00ED208F">
      <w:pPr>
        <w:pStyle w:val="NoSpacing"/>
        <w:ind w:left="1440"/>
        <w:rPr>
          <w:rFonts w:cs="Times New Roman"/>
        </w:rPr>
      </w:pPr>
    </w:p>
    <w:p w14:paraId="6EA4C64A" w14:textId="77777777" w:rsidR="00F504D6" w:rsidRDefault="00F504D6" w:rsidP="00F504D6">
      <w:pPr>
        <w:pStyle w:val="NoSpacing"/>
        <w:numPr>
          <w:ilvl w:val="2"/>
          <w:numId w:val="10"/>
        </w:numPr>
        <w:rPr>
          <w:rFonts w:cs="Times New Roman"/>
          <w:b/>
        </w:rPr>
      </w:pPr>
      <w:r>
        <w:rPr>
          <w:rFonts w:cs="Times New Roman"/>
          <w:b/>
        </w:rPr>
        <w:t>Prohibited Basis for Denial or Termination of Assistance or Eviction</w:t>
      </w:r>
    </w:p>
    <w:p w14:paraId="425802B0" w14:textId="2E72BA2B" w:rsidR="00F504D6" w:rsidRPr="00A16ADD" w:rsidRDefault="008A04DB" w:rsidP="00F504D6">
      <w:pPr>
        <w:pStyle w:val="NoSpacing"/>
        <w:ind w:left="1440"/>
        <w:rPr>
          <w:rFonts w:cs="Times New Roman"/>
        </w:rPr>
      </w:pPr>
      <w:r>
        <w:rPr>
          <w:rFonts w:cs="Times New Roman"/>
        </w:rPr>
        <w:t>A</w:t>
      </w:r>
      <w:r w:rsidR="00F504D6" w:rsidRPr="005276EC">
        <w:rPr>
          <w:rFonts w:cs="Times New Roman"/>
        </w:rPr>
        <w:t>pplicant</w:t>
      </w:r>
      <w:r>
        <w:rPr>
          <w:rFonts w:cs="Times New Roman"/>
        </w:rPr>
        <w:t>s</w:t>
      </w:r>
      <w:r w:rsidR="00F504D6" w:rsidRPr="005276EC">
        <w:rPr>
          <w:rFonts w:cs="Times New Roman"/>
        </w:rPr>
        <w:t xml:space="preserve"> </w:t>
      </w:r>
      <w:r>
        <w:rPr>
          <w:rFonts w:cs="Times New Roman"/>
        </w:rPr>
        <w:t>and</w:t>
      </w:r>
      <w:r w:rsidR="00F504D6" w:rsidRPr="005276EC">
        <w:rPr>
          <w:rFonts w:cs="Times New Roman"/>
        </w:rPr>
        <w:t xml:space="preserve"> beneficiar</w:t>
      </w:r>
      <w:r>
        <w:rPr>
          <w:rFonts w:cs="Times New Roman"/>
        </w:rPr>
        <w:t>ies</w:t>
      </w:r>
      <w:r w:rsidR="00F504D6" w:rsidRPr="005276EC">
        <w:rPr>
          <w:rFonts w:cs="Times New Roman"/>
        </w:rPr>
        <w:t xml:space="preserve"> of the DSHS HOPWA Program </w:t>
      </w:r>
      <w:r w:rsidR="00E838FB">
        <w:t xml:space="preserve">cannot </w:t>
      </w:r>
      <w:r w:rsidR="00E838FB" w:rsidRPr="00CB31F4">
        <w:t xml:space="preserve">be denied admission to, denied assistance under, terminated from participation in, or evicted from the unit </w:t>
      </w:r>
      <w:r w:rsidR="00E838FB">
        <w:t>solely because they survived</w:t>
      </w:r>
      <w:r w:rsidR="00E838FB" w:rsidRPr="00CB31F4">
        <w:t xml:space="preserve"> </w:t>
      </w:r>
      <w:r w:rsidR="00F504D6" w:rsidRPr="005276EC">
        <w:rPr>
          <w:rFonts w:cs="Times New Roman"/>
        </w:rPr>
        <w:t>domestic violence, dating violence, sexual assault, or stalking, if the applicant or beneficiary otherwise qualifies for admission, assistance, participation, or occupancy.</w:t>
      </w:r>
      <w:r w:rsidR="00F504D6">
        <w:rPr>
          <w:rFonts w:cs="Times New Roman"/>
        </w:rPr>
        <w:t xml:space="preserve"> </w:t>
      </w:r>
      <w:r w:rsidR="00F504D6" w:rsidRPr="00A16ADD">
        <w:rPr>
          <w:rFonts w:cs="Times New Roman"/>
        </w:rPr>
        <w:t xml:space="preserve">A beneficiary of the DSHS HOPWA Program </w:t>
      </w:r>
      <w:r w:rsidR="005B66DB">
        <w:rPr>
          <w:rFonts w:cs="Times New Roman"/>
        </w:rPr>
        <w:t>cannot</w:t>
      </w:r>
      <w:r w:rsidR="00F504D6" w:rsidRPr="00A16ADD">
        <w:rPr>
          <w:rFonts w:cs="Times New Roman"/>
        </w:rPr>
        <w:t xml:space="preserve"> be denied assistance or occupancy rights solely </w:t>
      </w:r>
      <w:r w:rsidR="00163268" w:rsidRPr="00A16ADD">
        <w:rPr>
          <w:rFonts w:cs="Times New Roman"/>
        </w:rPr>
        <w:t>based on</w:t>
      </w:r>
      <w:r w:rsidR="00F504D6" w:rsidRPr="00A16ADD">
        <w:rPr>
          <w:rFonts w:cs="Times New Roman"/>
        </w:rPr>
        <w:t xml:space="preserve"> criminal activity directly relating to domestic violence, dating violence, sexual assault, or stalking if:</w:t>
      </w:r>
    </w:p>
    <w:p w14:paraId="456BF2E1" w14:textId="3C9DCC96" w:rsidR="00F504D6" w:rsidRPr="00A16ADD" w:rsidRDefault="00163268" w:rsidP="003A5712">
      <w:pPr>
        <w:pStyle w:val="NoSpacing"/>
        <w:numPr>
          <w:ilvl w:val="3"/>
          <w:numId w:val="65"/>
        </w:numPr>
        <w:ind w:left="1890" w:hanging="450"/>
        <w:rPr>
          <w:rFonts w:cs="Times New Roman"/>
        </w:rPr>
      </w:pPr>
      <w:r>
        <w:rPr>
          <w:rFonts w:cs="Times New Roman"/>
        </w:rPr>
        <w:t>A</w:t>
      </w:r>
      <w:r w:rsidRPr="00A16ADD">
        <w:rPr>
          <w:rFonts w:cs="Times New Roman"/>
        </w:rPr>
        <w:t xml:space="preserve"> household member, guest, or other person under the control of the household </w:t>
      </w:r>
      <w:r>
        <w:rPr>
          <w:rFonts w:cs="Times New Roman"/>
        </w:rPr>
        <w:t>perpetrates t</w:t>
      </w:r>
      <w:r w:rsidR="00F504D6" w:rsidRPr="00A16ADD">
        <w:rPr>
          <w:rFonts w:cs="Times New Roman"/>
        </w:rPr>
        <w:t>he criminal activity; and</w:t>
      </w:r>
    </w:p>
    <w:p w14:paraId="59516C84" w14:textId="0CBE7429" w:rsidR="00F504D6" w:rsidRDefault="00F504D6" w:rsidP="003A5712">
      <w:pPr>
        <w:pStyle w:val="NoSpacing"/>
        <w:numPr>
          <w:ilvl w:val="3"/>
          <w:numId w:val="65"/>
        </w:numPr>
        <w:ind w:left="1890" w:hanging="450"/>
        <w:rPr>
          <w:rFonts w:cs="Times New Roman"/>
        </w:rPr>
      </w:pPr>
      <w:r w:rsidRPr="00A16ADD">
        <w:rPr>
          <w:rFonts w:cs="Times New Roman"/>
        </w:rPr>
        <w:t xml:space="preserve">A beneficiary </w:t>
      </w:r>
      <w:r w:rsidR="00FC296C">
        <w:rPr>
          <w:rFonts w:cs="Times New Roman"/>
        </w:rPr>
        <w:t>survives actual or threatened</w:t>
      </w:r>
      <w:r w:rsidRPr="00A16ADD">
        <w:rPr>
          <w:rFonts w:cs="Times New Roman"/>
        </w:rPr>
        <w:t xml:space="preserve"> domestic violence, dating violence, sexual assault, or stalking.</w:t>
      </w:r>
    </w:p>
    <w:p w14:paraId="4BF25524" w14:textId="77777777" w:rsidR="00077A9A" w:rsidRPr="005276EC" w:rsidRDefault="00077A9A" w:rsidP="00ED208F">
      <w:pPr>
        <w:pStyle w:val="NoSpacing"/>
        <w:ind w:left="1440"/>
        <w:rPr>
          <w:rFonts w:cs="Times New Roman"/>
        </w:rPr>
      </w:pPr>
    </w:p>
    <w:p w14:paraId="23BCE86F" w14:textId="77777777" w:rsidR="00F504D6" w:rsidRDefault="00F504D6" w:rsidP="00F504D6">
      <w:pPr>
        <w:pStyle w:val="NoSpacing"/>
        <w:numPr>
          <w:ilvl w:val="2"/>
          <w:numId w:val="10"/>
        </w:numPr>
        <w:rPr>
          <w:rFonts w:cs="Times New Roman"/>
          <w:b/>
        </w:rPr>
      </w:pPr>
      <w:r>
        <w:rPr>
          <w:rFonts w:cs="Times New Roman"/>
          <w:b/>
        </w:rPr>
        <w:t>Construction of Lease Terms and Terms of Assistance</w:t>
      </w:r>
    </w:p>
    <w:p w14:paraId="212DB40E" w14:textId="642E1155" w:rsidR="00F504D6" w:rsidRDefault="00F504D6" w:rsidP="00F504D6">
      <w:pPr>
        <w:pStyle w:val="NoSpacing"/>
        <w:ind w:left="1440"/>
        <w:rPr>
          <w:rFonts w:cs="Times New Roman"/>
        </w:rPr>
      </w:pPr>
      <w:r w:rsidRPr="005276EC">
        <w:rPr>
          <w:rFonts w:cs="Times New Roman"/>
        </w:rPr>
        <w:t xml:space="preserve">An incident of actual or threatened domestic violence, dating violence, sexual assault, or stalking </w:t>
      </w:r>
      <w:r w:rsidR="007C4154">
        <w:rPr>
          <w:rFonts w:cs="Times New Roman"/>
        </w:rPr>
        <w:t>cannot</w:t>
      </w:r>
      <w:r>
        <w:rPr>
          <w:rFonts w:cs="Times New Roman"/>
        </w:rPr>
        <w:t xml:space="preserve"> be construed as a</w:t>
      </w:r>
      <w:r w:rsidRPr="005276EC">
        <w:rPr>
          <w:rFonts w:cs="Times New Roman"/>
        </w:rPr>
        <w:t xml:space="preserve"> serious or repeated violation of an executed lease by the survivor or threatened survivor of such incident or</w:t>
      </w:r>
      <w:r>
        <w:rPr>
          <w:rFonts w:cs="Times New Roman"/>
        </w:rPr>
        <w:t xml:space="preserve"> g</w:t>
      </w:r>
      <w:r w:rsidRPr="005276EC">
        <w:rPr>
          <w:rFonts w:cs="Times New Roman"/>
        </w:rPr>
        <w:t>ood cause for terminating the assistance, tenancy, or occupancy rights under the DSHS HOPWA Program of the survivor or threatened survivor of such incident.</w:t>
      </w:r>
    </w:p>
    <w:p w14:paraId="2AB929BC" w14:textId="391C5E04" w:rsidR="00AE6EE7" w:rsidRPr="00ED208F" w:rsidRDefault="00AE6EE7" w:rsidP="00ED208F">
      <w:pPr>
        <w:pStyle w:val="NoSpacing"/>
      </w:pPr>
      <w:r w:rsidRPr="00ED208F">
        <w:br w:type="page"/>
      </w:r>
    </w:p>
    <w:p w14:paraId="71614CBB" w14:textId="77777777" w:rsidR="00F504D6" w:rsidRDefault="00F504D6" w:rsidP="00F504D6">
      <w:pPr>
        <w:pStyle w:val="NoSpacing"/>
        <w:numPr>
          <w:ilvl w:val="2"/>
          <w:numId w:val="10"/>
        </w:numPr>
        <w:rPr>
          <w:rFonts w:cs="Times New Roman"/>
          <w:b/>
        </w:rPr>
      </w:pPr>
      <w:r>
        <w:rPr>
          <w:rFonts w:cs="Times New Roman"/>
          <w:b/>
        </w:rPr>
        <w:lastRenderedPageBreak/>
        <w:t>Limitations of VAWA Protections</w:t>
      </w:r>
    </w:p>
    <w:p w14:paraId="3CC9A55C" w14:textId="53E7C66B" w:rsidR="00F504D6" w:rsidRDefault="00F504D6" w:rsidP="003A5712">
      <w:pPr>
        <w:pStyle w:val="NoSpacing"/>
        <w:numPr>
          <w:ilvl w:val="3"/>
          <w:numId w:val="67"/>
        </w:numPr>
        <w:ind w:left="1890" w:hanging="450"/>
        <w:rPr>
          <w:rFonts w:cs="Times New Roman"/>
        </w:rPr>
      </w:pPr>
      <w:r w:rsidRPr="005276EC">
        <w:rPr>
          <w:rFonts w:cs="Times New Roman"/>
        </w:rPr>
        <w:t xml:space="preserve">VAWA does not limit owners or Project Sponsors, when notified of a court order, </w:t>
      </w:r>
      <w:r w:rsidR="00857847">
        <w:rPr>
          <w:rFonts w:cs="Times New Roman"/>
        </w:rPr>
        <w:t>from</w:t>
      </w:r>
      <w:r w:rsidR="00857847" w:rsidRPr="005276EC">
        <w:rPr>
          <w:rFonts w:cs="Times New Roman"/>
        </w:rPr>
        <w:t xml:space="preserve"> </w:t>
      </w:r>
      <w:r w:rsidRPr="005276EC">
        <w:rPr>
          <w:rFonts w:cs="Times New Roman"/>
        </w:rPr>
        <w:t>comply</w:t>
      </w:r>
      <w:r w:rsidR="00857847">
        <w:rPr>
          <w:rFonts w:cs="Times New Roman"/>
        </w:rPr>
        <w:t>ing</w:t>
      </w:r>
      <w:r w:rsidRPr="005276EC">
        <w:rPr>
          <w:rFonts w:cs="Times New Roman"/>
        </w:rPr>
        <w:t xml:space="preserve"> wit</w:t>
      </w:r>
      <w:r w:rsidRPr="00B73BA5">
        <w:rPr>
          <w:rFonts w:cs="Times New Roman"/>
        </w:rPr>
        <w:t>h a court order with respect to t</w:t>
      </w:r>
      <w:r w:rsidRPr="005276EC">
        <w:rPr>
          <w:rFonts w:cs="Times New Roman"/>
        </w:rPr>
        <w:t xml:space="preserve">he rights of access or control of property, including civil protection orders issued to protect </w:t>
      </w:r>
      <w:r w:rsidR="008C469B">
        <w:rPr>
          <w:rFonts w:cs="Times New Roman"/>
        </w:rPr>
        <w:t>survivors</w:t>
      </w:r>
      <w:r w:rsidRPr="005276EC">
        <w:rPr>
          <w:rFonts w:cs="Times New Roman"/>
        </w:rPr>
        <w:t xml:space="preserve"> of domestic violence, dating violen</w:t>
      </w:r>
      <w:r w:rsidRPr="00B73BA5">
        <w:rPr>
          <w:rFonts w:cs="Times New Roman"/>
        </w:rPr>
        <w:t>ce, sexual assault, or stalking</w:t>
      </w:r>
      <w:r w:rsidRPr="005276EC">
        <w:rPr>
          <w:rFonts w:cs="Times New Roman"/>
        </w:rPr>
        <w:t xml:space="preserve"> or</w:t>
      </w:r>
      <w:r w:rsidRPr="00B73BA5">
        <w:rPr>
          <w:rFonts w:cs="Times New Roman"/>
        </w:rPr>
        <w:t xml:space="preserve"> t</w:t>
      </w:r>
      <w:r w:rsidRPr="005276EC">
        <w:rPr>
          <w:rFonts w:cs="Times New Roman"/>
        </w:rPr>
        <w:t>he distribution or possession of property among beneficiaries.</w:t>
      </w:r>
    </w:p>
    <w:p w14:paraId="1ED984FA" w14:textId="6A461AC4" w:rsidR="00F504D6" w:rsidRPr="00B73BA5" w:rsidRDefault="00F504D6" w:rsidP="003A5712">
      <w:pPr>
        <w:pStyle w:val="NoSpacing"/>
        <w:numPr>
          <w:ilvl w:val="3"/>
          <w:numId w:val="67"/>
        </w:numPr>
        <w:ind w:left="1890" w:hanging="450"/>
        <w:rPr>
          <w:rFonts w:cs="Times New Roman"/>
        </w:rPr>
      </w:pPr>
      <w:r w:rsidRPr="005276EC">
        <w:rPr>
          <w:rFonts w:cs="Times New Roman"/>
        </w:rPr>
        <w:t xml:space="preserve">VAWA does not </w:t>
      </w:r>
      <w:r w:rsidR="00857847">
        <w:rPr>
          <w:rFonts w:cs="Times New Roman"/>
        </w:rPr>
        <w:t>limit</w:t>
      </w:r>
      <w:r w:rsidRPr="005276EC">
        <w:rPr>
          <w:rFonts w:cs="Times New Roman"/>
        </w:rPr>
        <w:t xml:space="preserve"> owners or Project Sponsors </w:t>
      </w:r>
      <w:r w:rsidR="002C6C80">
        <w:rPr>
          <w:rFonts w:cs="Times New Roman"/>
        </w:rPr>
        <w:t>from</w:t>
      </w:r>
      <w:r w:rsidRPr="005276EC">
        <w:rPr>
          <w:rFonts w:cs="Times New Roman"/>
        </w:rPr>
        <w:t xml:space="preserve"> evict</w:t>
      </w:r>
      <w:r w:rsidR="002C6C80">
        <w:rPr>
          <w:rFonts w:cs="Times New Roman"/>
        </w:rPr>
        <w:t>ing</w:t>
      </w:r>
      <w:r w:rsidRPr="005276EC">
        <w:rPr>
          <w:rFonts w:cs="Times New Roman"/>
        </w:rPr>
        <w:t xml:space="preserve"> or terminat</w:t>
      </w:r>
      <w:r w:rsidR="002C6C80">
        <w:rPr>
          <w:rFonts w:cs="Times New Roman"/>
        </w:rPr>
        <w:t>ing</w:t>
      </w:r>
      <w:r w:rsidRPr="005276EC">
        <w:rPr>
          <w:rFonts w:cs="Times New Roman"/>
        </w:rPr>
        <w:t xml:space="preserve"> assistance to a household for any violation </w:t>
      </w:r>
      <w:r w:rsidR="002C6C80">
        <w:rPr>
          <w:rFonts w:cs="Times New Roman"/>
        </w:rPr>
        <w:t>unrelated to</w:t>
      </w:r>
      <w:r w:rsidRPr="005276EC">
        <w:rPr>
          <w:rFonts w:cs="Times New Roman"/>
        </w:rPr>
        <w:t xml:space="preserve"> domestic violence, dating violence, sexual assault, or stalking </w:t>
      </w:r>
      <w:r w:rsidR="002C6C80">
        <w:rPr>
          <w:rFonts w:cs="Times New Roman"/>
        </w:rPr>
        <w:t>attributable to the</w:t>
      </w:r>
      <w:r w:rsidRPr="005276EC">
        <w:rPr>
          <w:rFonts w:cs="Times New Roman"/>
        </w:rPr>
        <w:t xml:space="preserve"> beneficiaries</w:t>
      </w:r>
      <w:r w:rsidR="002C6C80">
        <w:rPr>
          <w:rFonts w:cs="Times New Roman"/>
        </w:rPr>
        <w:t xml:space="preserve"> in question</w:t>
      </w:r>
      <w:r w:rsidRPr="005276EC">
        <w:rPr>
          <w:rFonts w:cs="Times New Roman"/>
        </w:rPr>
        <w:t xml:space="preserve">. However, </w:t>
      </w:r>
      <w:r w:rsidRPr="00B73BA5">
        <w:rPr>
          <w:rFonts w:cs="Times New Roman"/>
        </w:rPr>
        <w:t xml:space="preserve">owners or </w:t>
      </w:r>
      <w:r w:rsidRPr="005276EC">
        <w:rPr>
          <w:rFonts w:cs="Times New Roman"/>
        </w:rPr>
        <w:t xml:space="preserve">Project Sponsors must not subject a beneficiary, who </w:t>
      </w:r>
      <w:r w:rsidR="00E838FB">
        <w:rPr>
          <w:rFonts w:cs="Times New Roman"/>
        </w:rPr>
        <w:t>survived</w:t>
      </w:r>
      <w:r w:rsidRPr="005276EC">
        <w:rPr>
          <w:rFonts w:cs="Times New Roman"/>
        </w:rPr>
        <w:t xml:space="preserve"> domestic violence, dating violence, sexual assault, or stalking, or </w:t>
      </w:r>
      <w:r w:rsidR="007C64EF">
        <w:rPr>
          <w:rFonts w:cs="Times New Roman"/>
        </w:rPr>
        <w:t>affiliates</w:t>
      </w:r>
      <w:r w:rsidRPr="005276EC">
        <w:rPr>
          <w:rFonts w:cs="Times New Roman"/>
        </w:rPr>
        <w:t xml:space="preserve"> with a beneficiary who </w:t>
      </w:r>
      <w:r w:rsidR="00E838FB">
        <w:rPr>
          <w:rFonts w:cs="Times New Roman"/>
        </w:rPr>
        <w:t>survived</w:t>
      </w:r>
      <w:r w:rsidRPr="005276EC">
        <w:rPr>
          <w:rFonts w:cs="Times New Roman"/>
        </w:rPr>
        <w:t xml:space="preserve"> </w:t>
      </w:r>
      <w:r w:rsidR="00491147">
        <w:rPr>
          <w:rFonts w:cs="Times New Roman"/>
        </w:rPr>
        <w:t>the same,</w:t>
      </w:r>
      <w:r w:rsidRPr="005276EC">
        <w:rPr>
          <w:rFonts w:cs="Times New Roman"/>
        </w:rPr>
        <w:t xml:space="preserve"> to a more demanding standard than other beneficiaries in determining whether to evict or terminate assistance.</w:t>
      </w:r>
    </w:p>
    <w:p w14:paraId="19CF3A66" w14:textId="3727A6A1" w:rsidR="00F504D6" w:rsidRPr="00CB31F4" w:rsidRDefault="00F504D6" w:rsidP="003A5712">
      <w:pPr>
        <w:pStyle w:val="NoSpacing"/>
        <w:numPr>
          <w:ilvl w:val="3"/>
          <w:numId w:val="67"/>
        </w:numPr>
        <w:ind w:left="1890" w:hanging="450"/>
      </w:pPr>
      <w:r w:rsidRPr="00CB31F4">
        <w:rPr>
          <w:rFonts w:cs="Times New Roman"/>
        </w:rPr>
        <w:t xml:space="preserve">VAWA does not limit owners or Project Sponsors </w:t>
      </w:r>
      <w:r w:rsidR="00857847">
        <w:rPr>
          <w:rFonts w:cs="Times New Roman"/>
        </w:rPr>
        <w:t>from</w:t>
      </w:r>
      <w:r w:rsidR="00857847" w:rsidRPr="00CB31F4">
        <w:rPr>
          <w:rFonts w:cs="Times New Roman"/>
        </w:rPr>
        <w:t xml:space="preserve"> </w:t>
      </w:r>
      <w:r w:rsidR="00857847">
        <w:rPr>
          <w:rFonts w:cs="Times New Roman"/>
        </w:rPr>
        <w:t xml:space="preserve">evicting or </w:t>
      </w:r>
      <w:r w:rsidRPr="00CB31F4">
        <w:rPr>
          <w:rFonts w:cs="Times New Roman"/>
        </w:rPr>
        <w:t>terminat</w:t>
      </w:r>
      <w:r w:rsidR="00857847">
        <w:rPr>
          <w:rFonts w:cs="Times New Roman"/>
        </w:rPr>
        <w:t xml:space="preserve">ing </w:t>
      </w:r>
      <w:r w:rsidRPr="00CB31F4">
        <w:rPr>
          <w:rFonts w:cs="Times New Roman"/>
        </w:rPr>
        <w:t>assistance to</w:t>
      </w:r>
      <w:r w:rsidR="00857847">
        <w:rPr>
          <w:rFonts w:cs="Times New Roman"/>
        </w:rPr>
        <w:t xml:space="preserve"> </w:t>
      </w:r>
      <w:r w:rsidRPr="00CB31F4">
        <w:rPr>
          <w:rFonts w:cs="Times New Roman"/>
        </w:rPr>
        <w:t xml:space="preserve">a household </w:t>
      </w:r>
      <w:r w:rsidR="008937FD">
        <w:rPr>
          <w:rFonts w:cs="Times New Roman"/>
        </w:rPr>
        <w:t>when</w:t>
      </w:r>
      <w:r w:rsidR="008937FD" w:rsidRPr="00CB31F4">
        <w:rPr>
          <w:rFonts w:cs="Times New Roman"/>
        </w:rPr>
        <w:t xml:space="preserve"> </w:t>
      </w:r>
      <w:r w:rsidR="00175402">
        <w:rPr>
          <w:rFonts w:cs="Times New Roman"/>
        </w:rPr>
        <w:t>they</w:t>
      </w:r>
      <w:r w:rsidRPr="00CB31F4">
        <w:rPr>
          <w:rFonts w:cs="Times New Roman"/>
        </w:rPr>
        <w:t xml:space="preserve"> can demonstrate </w:t>
      </w:r>
      <w:r w:rsidR="008937FD">
        <w:rPr>
          <w:rFonts w:cs="Times New Roman"/>
        </w:rPr>
        <w:t xml:space="preserve">the presence of </w:t>
      </w:r>
      <w:r w:rsidRPr="00CB31F4">
        <w:rPr>
          <w:rFonts w:cs="Times New Roman"/>
        </w:rPr>
        <w:t>an actual and imminent threat to other households or those employed at or providing service</w:t>
      </w:r>
      <w:r w:rsidR="00175402">
        <w:rPr>
          <w:rFonts w:cs="Times New Roman"/>
        </w:rPr>
        <w:t>s</w:t>
      </w:r>
      <w:r w:rsidRPr="00CB31F4">
        <w:rPr>
          <w:rFonts w:cs="Times New Roman"/>
        </w:rPr>
        <w:t xml:space="preserve"> to </w:t>
      </w:r>
      <w:r w:rsidR="00175402">
        <w:rPr>
          <w:rFonts w:cs="Times New Roman"/>
        </w:rPr>
        <w:t xml:space="preserve">the </w:t>
      </w:r>
      <w:r w:rsidRPr="00CB31F4">
        <w:rPr>
          <w:rFonts w:cs="Times New Roman"/>
        </w:rPr>
        <w:t xml:space="preserve">property of the owner or Project Sponsor if </w:t>
      </w:r>
      <w:r w:rsidR="00175402">
        <w:rPr>
          <w:rFonts w:cs="Times New Roman"/>
        </w:rPr>
        <w:t xml:space="preserve">they did not evict or terminate </w:t>
      </w:r>
      <w:r w:rsidR="008937FD">
        <w:rPr>
          <w:rFonts w:cs="Times New Roman"/>
        </w:rPr>
        <w:t xml:space="preserve">assistance to </w:t>
      </w:r>
      <w:r w:rsidR="00175402">
        <w:rPr>
          <w:rFonts w:cs="Times New Roman"/>
        </w:rPr>
        <w:t xml:space="preserve">the </w:t>
      </w:r>
      <w:r w:rsidRPr="00CB31F4">
        <w:rPr>
          <w:rFonts w:cs="Times New Roman"/>
        </w:rPr>
        <w:t xml:space="preserve">beneficiary or household. In this context, </w:t>
      </w:r>
      <w:r w:rsidR="008937FD" w:rsidRPr="00CB31F4">
        <w:rPr>
          <w:rFonts w:cs="Times New Roman"/>
        </w:rPr>
        <w:t>an “actual and imminent threat”</w:t>
      </w:r>
      <w:r w:rsidR="008937FD">
        <w:rPr>
          <w:rFonts w:cs="Times New Roman"/>
        </w:rPr>
        <w:t xml:space="preserve"> includes </w:t>
      </w:r>
      <w:r w:rsidRPr="00CB31F4">
        <w:rPr>
          <w:rFonts w:cs="Times New Roman"/>
        </w:rPr>
        <w:t xml:space="preserve">words, gestures, actions, or other indicators </w:t>
      </w:r>
      <w:r w:rsidR="008937FD">
        <w:rPr>
          <w:rFonts w:cs="Times New Roman"/>
        </w:rPr>
        <w:t>that</w:t>
      </w:r>
      <w:r w:rsidRPr="00CB31F4">
        <w:rPr>
          <w:rFonts w:cs="Times New Roman"/>
        </w:rPr>
        <w:t xml:space="preserve"> meet the definition of “actual and imminent threat” in 24 CFR §5.2003.</w:t>
      </w:r>
    </w:p>
    <w:p w14:paraId="3E000AC9" w14:textId="5E683082" w:rsidR="00F504D6" w:rsidRPr="00193B22" w:rsidRDefault="00EA3831" w:rsidP="003A5712">
      <w:pPr>
        <w:pStyle w:val="NoSpacing"/>
        <w:numPr>
          <w:ilvl w:val="3"/>
          <w:numId w:val="67"/>
        </w:numPr>
        <w:ind w:left="1890" w:hanging="450"/>
      </w:pPr>
      <w:r>
        <w:rPr>
          <w:rFonts w:cs="Times New Roman"/>
        </w:rPr>
        <w:t>O</w:t>
      </w:r>
      <w:r w:rsidR="007F0158" w:rsidRPr="00CB31F4">
        <w:rPr>
          <w:rFonts w:cs="Times New Roman"/>
        </w:rPr>
        <w:t>wners or Project Sponsors should utilize</w:t>
      </w:r>
      <w:r w:rsidR="00F504D6" w:rsidRPr="00CB31F4">
        <w:rPr>
          <w:rFonts w:cs="Times New Roman"/>
        </w:rPr>
        <w:t xml:space="preserve"> eviction or termination of assistance </w:t>
      </w:r>
      <w:r>
        <w:rPr>
          <w:rFonts w:cs="Times New Roman"/>
        </w:rPr>
        <w:t xml:space="preserve">only </w:t>
      </w:r>
      <w:r w:rsidR="00F504D6" w:rsidRPr="00CB31F4">
        <w:rPr>
          <w:rFonts w:cs="Times New Roman"/>
        </w:rPr>
        <w:t xml:space="preserve">when </w:t>
      </w:r>
      <w:r w:rsidRPr="00CB31F4">
        <w:rPr>
          <w:rFonts w:cs="Times New Roman"/>
        </w:rPr>
        <w:t>th</w:t>
      </w:r>
      <w:r>
        <w:rPr>
          <w:rFonts w:cs="Times New Roman"/>
        </w:rPr>
        <w:t xml:space="preserve">ey cannot reduce or eliminate </w:t>
      </w:r>
      <w:r w:rsidRPr="00CB31F4">
        <w:rPr>
          <w:rFonts w:cs="Times New Roman"/>
        </w:rPr>
        <w:t>threat</w:t>
      </w:r>
      <w:r w:rsidR="00802109">
        <w:rPr>
          <w:rFonts w:cs="Times New Roman"/>
        </w:rPr>
        <w:t>s</w:t>
      </w:r>
      <w:r w:rsidRPr="00CB31F4" w:rsidDel="00EA3831">
        <w:rPr>
          <w:rFonts w:cs="Times New Roman"/>
        </w:rPr>
        <w:t xml:space="preserve"> </w:t>
      </w:r>
      <w:r>
        <w:rPr>
          <w:rFonts w:cs="Times New Roman"/>
        </w:rPr>
        <w:t>via</w:t>
      </w:r>
      <w:r w:rsidR="00F504D6" w:rsidRPr="00CB31F4">
        <w:rPr>
          <w:rFonts w:cs="Times New Roman"/>
        </w:rPr>
        <w:t xml:space="preserve"> other actions including</w:t>
      </w:r>
      <w:r w:rsidR="001E54A4">
        <w:rPr>
          <w:rFonts w:cs="Times New Roman"/>
        </w:rPr>
        <w:t xml:space="preserve"> </w:t>
      </w:r>
      <w:r w:rsidR="00F504D6" w:rsidRPr="00CB31F4">
        <w:rPr>
          <w:rFonts w:cs="Times New Roman"/>
        </w:rPr>
        <w:t>but not limited to</w:t>
      </w:r>
      <w:r w:rsidR="001E54A4">
        <w:rPr>
          <w:rFonts w:cs="Times New Roman"/>
        </w:rPr>
        <w:t xml:space="preserve"> </w:t>
      </w:r>
      <w:r w:rsidR="00F504D6" w:rsidRPr="00CB31F4">
        <w:rPr>
          <w:rFonts w:cs="Times New Roman"/>
        </w:rPr>
        <w:t>transferring survivor</w:t>
      </w:r>
      <w:r w:rsidR="00802109">
        <w:rPr>
          <w:rFonts w:cs="Times New Roman"/>
        </w:rPr>
        <w:t>s</w:t>
      </w:r>
      <w:r w:rsidR="00F504D6" w:rsidRPr="00CB31F4">
        <w:rPr>
          <w:rFonts w:cs="Times New Roman"/>
        </w:rPr>
        <w:t xml:space="preserve"> to a different unit, barring the </w:t>
      </w:r>
      <w:r w:rsidR="00C63CC6">
        <w:rPr>
          <w:rFonts w:cs="Times New Roman"/>
        </w:rPr>
        <w:t xml:space="preserve">accused </w:t>
      </w:r>
      <w:r w:rsidR="00F504D6" w:rsidRPr="00CB31F4">
        <w:rPr>
          <w:rFonts w:cs="Times New Roman"/>
        </w:rPr>
        <w:t xml:space="preserve">perpetrator from the property, contacting law enforcement to increase police presence or develop other plans to keep the property safe, or seeking other legal remedies to prevent the </w:t>
      </w:r>
      <w:r w:rsidR="00C63CC6">
        <w:rPr>
          <w:rFonts w:cs="Times New Roman"/>
        </w:rPr>
        <w:t xml:space="preserve">accused </w:t>
      </w:r>
      <w:r w:rsidR="00F504D6" w:rsidRPr="00CB31F4">
        <w:rPr>
          <w:rFonts w:cs="Times New Roman"/>
        </w:rPr>
        <w:t xml:space="preserve">perpetrator from acting on a threat. </w:t>
      </w:r>
      <w:r w:rsidR="001E54A4">
        <w:rPr>
          <w:rFonts w:cs="Times New Roman"/>
        </w:rPr>
        <w:t xml:space="preserve">Owners or Project Sponsors must tailor such restrictions to </w:t>
      </w:r>
      <w:r w:rsidR="001E54A4" w:rsidRPr="00CB31F4">
        <w:rPr>
          <w:rFonts w:cs="Times New Roman"/>
        </w:rPr>
        <w:t>particularized concerns about individual beneficiaries</w:t>
      </w:r>
      <w:r w:rsidR="001E54A4">
        <w:rPr>
          <w:rFonts w:cs="Times New Roman"/>
        </w:rPr>
        <w:t>. R</w:t>
      </w:r>
      <w:r w:rsidR="00F504D6" w:rsidRPr="00CB31F4">
        <w:rPr>
          <w:rFonts w:cs="Times New Roman"/>
        </w:rPr>
        <w:t xml:space="preserve">estrictions predicated on public safety cannot </w:t>
      </w:r>
      <w:r>
        <w:rPr>
          <w:rFonts w:cs="Times New Roman"/>
        </w:rPr>
        <w:t>rely</w:t>
      </w:r>
      <w:r w:rsidR="00F504D6" w:rsidRPr="00CB31F4">
        <w:rPr>
          <w:rFonts w:cs="Times New Roman"/>
        </w:rPr>
        <w:t xml:space="preserve"> on stereotypes</w:t>
      </w:r>
      <w:r w:rsidR="001E54A4">
        <w:rPr>
          <w:rFonts w:cs="Times New Roman"/>
        </w:rPr>
        <w:t>.</w:t>
      </w:r>
    </w:p>
    <w:p w14:paraId="4442A413" w14:textId="77777777" w:rsidR="006B6147" w:rsidRDefault="006B6147" w:rsidP="00DE48B8">
      <w:pPr>
        <w:pStyle w:val="NoSpacing"/>
        <w:ind w:left="1440"/>
      </w:pPr>
    </w:p>
    <w:p w14:paraId="3A551CCB" w14:textId="2886F903" w:rsidR="0021513D" w:rsidRPr="00DE48B8" w:rsidRDefault="0021513D" w:rsidP="00CE11FC">
      <w:pPr>
        <w:pStyle w:val="NoSpacing"/>
        <w:numPr>
          <w:ilvl w:val="2"/>
          <w:numId w:val="163"/>
        </w:numPr>
        <w:rPr>
          <w:b/>
          <w:bCs/>
        </w:rPr>
      </w:pPr>
      <w:r w:rsidRPr="00DE48B8">
        <w:rPr>
          <w:b/>
          <w:bCs/>
        </w:rPr>
        <w:t>Prohibition on Retaliation and Coercion</w:t>
      </w:r>
    </w:p>
    <w:p w14:paraId="744C4200" w14:textId="1DEE8FBC" w:rsidR="006B6147" w:rsidRPr="00AF7F81" w:rsidRDefault="00AF7F81" w:rsidP="00CE11FC">
      <w:pPr>
        <w:pStyle w:val="NoSpacing"/>
        <w:ind w:left="1440"/>
      </w:pPr>
      <w:r>
        <w:t xml:space="preserve">VAWA prohibits owners from discriminating against any person because that person opposed acts or practices made unlawful by VAWA housing provisions, or because that person testified, assisted, or participated in any related matter. </w:t>
      </w:r>
      <w:r w:rsidR="00D15DFC">
        <w:t>VAWA makes it unlawful</w:t>
      </w:r>
      <w:r>
        <w:t xml:space="preserve"> for an owner or </w:t>
      </w:r>
      <w:r w:rsidR="00F71342">
        <w:t xml:space="preserve">property </w:t>
      </w:r>
      <w:r>
        <w:t>representative to coerce, intimidate, threaten, interfere with, or retaliate against any person who exercises or assists or encourages another person to exercise any rights or protections under VAWA housing provisions.</w:t>
      </w:r>
    </w:p>
    <w:p w14:paraId="52905214" w14:textId="77777777" w:rsidR="00AF7F81" w:rsidRPr="00AF7F81" w:rsidRDefault="00AF7F81" w:rsidP="00DE48B8">
      <w:pPr>
        <w:pStyle w:val="NoSpacing"/>
        <w:ind w:left="1440"/>
      </w:pPr>
    </w:p>
    <w:p w14:paraId="47CEA00E" w14:textId="214FBC5D" w:rsidR="00193B22" w:rsidRDefault="0021513D" w:rsidP="00CE11FC">
      <w:pPr>
        <w:pStyle w:val="NoSpacing"/>
        <w:numPr>
          <w:ilvl w:val="2"/>
          <w:numId w:val="163"/>
        </w:numPr>
      </w:pPr>
      <w:r>
        <w:rPr>
          <w:b/>
          <w:bCs/>
        </w:rPr>
        <w:t>Right to Report Crime and Emergencies</w:t>
      </w:r>
    </w:p>
    <w:p w14:paraId="615BA4D0" w14:textId="614B806F" w:rsidR="00B22DDC" w:rsidRDefault="00B22DDC" w:rsidP="00CE11FC">
      <w:pPr>
        <w:pStyle w:val="NoSpacing"/>
        <w:ind w:left="1440"/>
      </w:pPr>
      <w:r>
        <w:t xml:space="preserve">VAWA protects the right to report crime and emergencies from one’s home. </w:t>
      </w:r>
      <w:r w:rsidR="00CE11FC">
        <w:t>Owners</w:t>
      </w:r>
      <w:r>
        <w:t xml:space="preserve">, homeowners, tenants, residents, occupants, and guests of, and applicants for, housing have the right to seek law enforcement or emergency assistance on their own behalf or on behalf of another person in need of assistance. VAWA prohibits penalizing or threatening to penalize persons because they request assistance or report criminal activity of which they </w:t>
      </w:r>
      <w:r w:rsidR="00491147">
        <w:t>have survived</w:t>
      </w:r>
      <w:r>
        <w:t xml:space="preserve"> or </w:t>
      </w:r>
      <w:r w:rsidR="00491147">
        <w:t xml:space="preserve">were </w:t>
      </w:r>
      <w:r>
        <w:t>otherwise not at fault.</w:t>
      </w:r>
    </w:p>
    <w:p w14:paraId="6FE2C943" w14:textId="77777777" w:rsidR="00B22DDC" w:rsidRDefault="00B22DDC" w:rsidP="00CE11FC">
      <w:pPr>
        <w:pStyle w:val="NoSpacing"/>
        <w:ind w:left="1440"/>
      </w:pPr>
    </w:p>
    <w:p w14:paraId="203603BF" w14:textId="6D83965A" w:rsidR="00193B22" w:rsidRPr="00DE48B8" w:rsidRDefault="00193B22" w:rsidP="00CE11FC">
      <w:pPr>
        <w:pStyle w:val="NoSpacing"/>
        <w:numPr>
          <w:ilvl w:val="2"/>
          <w:numId w:val="163"/>
        </w:numPr>
        <w:rPr>
          <w:b/>
          <w:bCs/>
        </w:rPr>
      </w:pPr>
      <w:r w:rsidRPr="00DE48B8">
        <w:rPr>
          <w:b/>
          <w:bCs/>
        </w:rPr>
        <w:t>Enforcement</w:t>
      </w:r>
      <w:r w:rsidR="00AF7F81">
        <w:rPr>
          <w:b/>
          <w:bCs/>
        </w:rPr>
        <w:t xml:space="preserve"> Authority</w:t>
      </w:r>
    </w:p>
    <w:p w14:paraId="7E5DEE9E" w14:textId="01FF5760" w:rsidR="007736C4" w:rsidRDefault="007736C4" w:rsidP="00CE11FC">
      <w:pPr>
        <w:pStyle w:val="NoSpacing"/>
        <w:ind w:left="1440"/>
      </w:pPr>
      <w:r>
        <w:t xml:space="preserve">HUD’s </w:t>
      </w:r>
      <w:r w:rsidRPr="00193B22">
        <w:t>Office of Fair Housing and Equal Opportunity (FHEO)</w:t>
      </w:r>
      <w:r>
        <w:t xml:space="preserve"> </w:t>
      </w:r>
      <w:r w:rsidRPr="00193B22">
        <w:t>implement</w:t>
      </w:r>
      <w:r>
        <w:t>s</w:t>
      </w:r>
      <w:r w:rsidRPr="00193B22">
        <w:t xml:space="preserve"> and enforce</w:t>
      </w:r>
      <w:r>
        <w:t>s</w:t>
      </w:r>
      <w:r w:rsidRPr="00193B22">
        <w:t xml:space="preserve"> VAWA housing </w:t>
      </w:r>
      <w:r>
        <w:t>provisions</w:t>
      </w:r>
      <w:r w:rsidRPr="00193B22">
        <w:t xml:space="preserve"> consistent with, and in a manner that provides, the same rights and remedies as those provided </w:t>
      </w:r>
      <w:r>
        <w:t>by the</w:t>
      </w:r>
      <w:r w:rsidRPr="00193B22">
        <w:t xml:space="preserve"> Fair Housing Act.</w:t>
      </w:r>
      <w:r>
        <w:t xml:space="preserve"> FHEO </w:t>
      </w:r>
      <w:r w:rsidRPr="00193B22">
        <w:t>ensure</w:t>
      </w:r>
      <w:r>
        <w:t>s</w:t>
      </w:r>
      <w:r w:rsidRPr="00193B22">
        <w:t xml:space="preserve"> that program participants comply with</w:t>
      </w:r>
      <w:r w:rsidR="006B6147">
        <w:t>,</w:t>
      </w:r>
      <w:r w:rsidRPr="00193B22">
        <w:t xml:space="preserve"> </w:t>
      </w:r>
      <w:r w:rsidR="006B6147">
        <w:t>and investigates</w:t>
      </w:r>
      <w:r w:rsidR="006B6147" w:rsidRPr="00193B22">
        <w:t xml:space="preserve"> potential violations of</w:t>
      </w:r>
      <w:r w:rsidR="006B6147">
        <w:t>,</w:t>
      </w:r>
      <w:r w:rsidR="006B6147" w:rsidRPr="00193B22">
        <w:t xml:space="preserve"> </w:t>
      </w:r>
      <w:r w:rsidR="006B6147">
        <w:t xml:space="preserve">applicable </w:t>
      </w:r>
      <w:r>
        <w:t>VAWA</w:t>
      </w:r>
      <w:r w:rsidRPr="00193B22">
        <w:t xml:space="preserve"> requirements</w:t>
      </w:r>
      <w:r w:rsidR="0038777C">
        <w:t xml:space="preserve">. </w:t>
      </w:r>
      <w:r w:rsidR="00AF7F81">
        <w:t>Individuals</w:t>
      </w:r>
      <w:r w:rsidRPr="00193B22">
        <w:t xml:space="preserve"> who believe their VAWA rights have been </w:t>
      </w:r>
      <w:r w:rsidR="006B6147">
        <w:t xml:space="preserve">or will be </w:t>
      </w:r>
      <w:r w:rsidRPr="00193B22">
        <w:t xml:space="preserve">violated may file </w:t>
      </w:r>
      <w:r w:rsidR="006B6147">
        <w:t>a VAWA complaint</w:t>
      </w:r>
      <w:r w:rsidRPr="00193B22">
        <w:t xml:space="preserve"> with FHEO</w:t>
      </w:r>
      <w:r w:rsidR="0038777C" w:rsidRPr="0038777C">
        <w:t xml:space="preserve"> </w:t>
      </w:r>
      <w:r w:rsidR="0038777C" w:rsidRPr="00193B22">
        <w:t xml:space="preserve">using HUD’s </w:t>
      </w:r>
      <w:r w:rsidR="006B6147">
        <w:rPr>
          <w:rStyle w:val="Hyperlink"/>
          <w:rFonts w:cs="Times New Roman"/>
          <w:color w:val="auto"/>
          <w:u w:val="none"/>
        </w:rPr>
        <w:t xml:space="preserve">File a Complaint </w:t>
      </w:r>
      <w:hyperlink r:id="rId44" w:history="1">
        <w:r w:rsidR="006B6147" w:rsidRPr="002504DD">
          <w:rPr>
            <w:rStyle w:val="Hyperlink"/>
            <w:rFonts w:cs="Times New Roman"/>
          </w:rPr>
          <w:t>website</w:t>
        </w:r>
      </w:hyperlink>
      <w:r w:rsidR="006B6147">
        <w:rPr>
          <w:rStyle w:val="Hyperlink"/>
          <w:rFonts w:cs="Times New Roman"/>
        </w:rPr>
        <w:t>.</w:t>
      </w:r>
    </w:p>
    <w:p w14:paraId="1C82DB1B" w14:textId="77777777" w:rsidR="00077A9A" w:rsidRPr="000011BB" w:rsidRDefault="00077A9A" w:rsidP="00CE11FC">
      <w:pPr>
        <w:pStyle w:val="NoSpacing"/>
        <w:ind w:left="1440"/>
      </w:pPr>
    </w:p>
    <w:p w14:paraId="22AA8F8C" w14:textId="1C03437D" w:rsidR="00F504D6" w:rsidRPr="000011BB" w:rsidRDefault="00C47331" w:rsidP="00DE48B8">
      <w:pPr>
        <w:pStyle w:val="NoSpacing"/>
        <w:numPr>
          <w:ilvl w:val="1"/>
          <w:numId w:val="163"/>
        </w:numPr>
        <w:rPr>
          <w:b/>
          <w:u w:val="single"/>
        </w:rPr>
      </w:pPr>
      <w:r>
        <w:rPr>
          <w:b/>
          <w:u w:val="single"/>
        </w:rPr>
        <w:t xml:space="preserve">VAWA </w:t>
      </w:r>
      <w:r w:rsidR="00F504D6" w:rsidRPr="000011BB">
        <w:rPr>
          <w:b/>
          <w:u w:val="single"/>
        </w:rPr>
        <w:t>STRMU and STSH Requirements</w:t>
      </w:r>
    </w:p>
    <w:p w14:paraId="04E7842D" w14:textId="694C0F48" w:rsidR="00F71342" w:rsidRDefault="00F504D6" w:rsidP="00DE48B8">
      <w:pPr>
        <w:pStyle w:val="NoSpacing"/>
        <w:ind w:left="720"/>
      </w:pPr>
      <w:r>
        <w:t xml:space="preserve">Per 24 CFR §574.604(a)(2), VAWA does not apply to STRMU or STSH services except that an applicant or beneficiary </w:t>
      </w:r>
      <w:r w:rsidR="00AA7986">
        <w:t>cannot</w:t>
      </w:r>
      <w:r>
        <w:t xml:space="preserve"> be denied STRMU or STSH services on the basis or as a direct result of the fact that the applicant or beneficiary </w:t>
      </w:r>
      <w:r w:rsidR="00E838FB">
        <w:t>survived</w:t>
      </w:r>
      <w:r>
        <w:t xml:space="preserve"> domestic violence, dating violence, sexual assault, or stalking.</w:t>
      </w:r>
      <w:r w:rsidR="00F71342">
        <w:br w:type="page"/>
      </w:r>
    </w:p>
    <w:p w14:paraId="4CB81A1E" w14:textId="7A2D81A6" w:rsidR="00F504D6" w:rsidRDefault="00C47331" w:rsidP="00DE48B8">
      <w:pPr>
        <w:pStyle w:val="NoSpacing"/>
        <w:numPr>
          <w:ilvl w:val="1"/>
          <w:numId w:val="163"/>
        </w:numPr>
        <w:rPr>
          <w:b/>
          <w:u w:val="single"/>
        </w:rPr>
      </w:pPr>
      <w:r w:rsidRPr="00C47331">
        <w:rPr>
          <w:b/>
          <w:bCs/>
          <w:u w:val="single"/>
        </w:rPr>
        <w:lastRenderedPageBreak/>
        <w:t xml:space="preserve">VAWA </w:t>
      </w:r>
      <w:r w:rsidR="00F504D6">
        <w:rPr>
          <w:b/>
          <w:u w:val="single"/>
        </w:rPr>
        <w:t>PHP</w:t>
      </w:r>
      <w:r w:rsidR="00F504D6" w:rsidRPr="000011BB">
        <w:rPr>
          <w:b/>
          <w:u w:val="single"/>
        </w:rPr>
        <w:t xml:space="preserve"> Requirements</w:t>
      </w:r>
    </w:p>
    <w:p w14:paraId="4DCED347" w14:textId="3ED3C227" w:rsidR="00F504D6" w:rsidRDefault="00F504D6" w:rsidP="00F504D6">
      <w:pPr>
        <w:pStyle w:val="NoSpacing"/>
        <w:ind w:left="720"/>
      </w:pPr>
      <w:r w:rsidRPr="000011BB">
        <w:t>Per 24 CFR §5.2009(e)(9), the VAWA Emergency Transfer Plan describes the procedure for survivors who meet emergency transfer requirements to move quickly with continued TBRA</w:t>
      </w:r>
      <w:r>
        <w:t xml:space="preserve"> or TSH</w:t>
      </w:r>
      <w:r w:rsidRPr="000011BB">
        <w:t xml:space="preserve"> services. Per 24 CFR §5.2009(c), Project Sponsors should undertake whatever actions permissible and feasible to assist </w:t>
      </w:r>
      <w:r w:rsidR="008C469B">
        <w:t>survivors</w:t>
      </w:r>
      <w:r w:rsidRPr="000011BB">
        <w:t xml:space="preserve"> of domestic violence, dating violence, sexual assault, or stalking to remain in their unit or transfer to a new unit, and for the Project Sponsor to bear the costs of any transfer, where permissible (</w:t>
      </w:r>
      <w:r w:rsidRPr="00855D37">
        <w:t>see Section 1</w:t>
      </w:r>
      <w:r>
        <w:t>4</w:t>
      </w:r>
      <w:r w:rsidRPr="00855D37">
        <w:t xml:space="preserve">. </w:t>
      </w:r>
      <w:r w:rsidR="00BE0237">
        <w:t>Program Activities</w:t>
      </w:r>
      <w:r w:rsidRPr="00855D37">
        <w:t xml:space="preserve">, </w:t>
      </w:r>
      <w:r>
        <w:t>Permanent Housing Placement (PHP)</w:t>
      </w:r>
      <w:r w:rsidRPr="00855D37">
        <w:t xml:space="preserve"> Services, </w:t>
      </w:r>
      <w:r>
        <w:t>2</w:t>
      </w:r>
      <w:r w:rsidRPr="00855D37">
        <w:t xml:space="preserve">. </w:t>
      </w:r>
      <w:r>
        <w:t>Eligible Costs</w:t>
      </w:r>
      <w:r w:rsidRPr="000011BB">
        <w:t>). For example, a Project Sponsor could pay a reasonable security deposit to move the survivor into other permanent</w:t>
      </w:r>
      <w:r w:rsidR="003333C4">
        <w:t xml:space="preserve"> or transitional</w:t>
      </w:r>
      <w:r w:rsidRPr="000011BB">
        <w:t xml:space="preserve"> housing.</w:t>
      </w:r>
    </w:p>
    <w:p w14:paraId="7A3D23FB" w14:textId="77777777" w:rsidR="00536B4D" w:rsidRDefault="00536B4D" w:rsidP="00F504D6">
      <w:pPr>
        <w:pStyle w:val="NoSpacing"/>
        <w:ind w:left="720"/>
      </w:pPr>
    </w:p>
    <w:p w14:paraId="058EEC64" w14:textId="53799F92" w:rsidR="00D20787" w:rsidRPr="008A2696" w:rsidRDefault="00D20787" w:rsidP="00D20787">
      <w:pPr>
        <w:pStyle w:val="Heading1"/>
      </w:pPr>
      <w:bookmarkStart w:id="11" w:name="_Toc140755464"/>
      <w:r>
        <w:t>Section 10.</w:t>
      </w:r>
      <w:r w:rsidRPr="008A2696">
        <w:t xml:space="preserve"> </w:t>
      </w:r>
      <w:r>
        <w:t>Housing Quality</w:t>
      </w:r>
      <w:r w:rsidRPr="008A2696">
        <w:t xml:space="preserve"> Standards</w:t>
      </w:r>
      <w:bookmarkEnd w:id="11"/>
    </w:p>
    <w:p w14:paraId="6FA9145F" w14:textId="2A1A2995" w:rsidR="00D20787" w:rsidRDefault="00D20787" w:rsidP="00C7556B">
      <w:pPr>
        <w:pStyle w:val="NoSpacing"/>
        <w:rPr>
          <w:rFonts w:cs="Times New Roman"/>
        </w:rPr>
      </w:pPr>
      <w:r>
        <w:rPr>
          <w:rFonts w:cs="Times New Roman"/>
        </w:rPr>
        <w:t>Per 24 CFR §574.310(b), §574.635, §35,</w:t>
      </w:r>
      <w:r w:rsidRPr="00532953">
        <w:rPr>
          <w:rFonts w:cs="Times New Roman"/>
        </w:rPr>
        <w:t xml:space="preserve"> and </w:t>
      </w:r>
      <w:r w:rsidR="00D83897">
        <w:rPr>
          <w:rFonts w:cs="Times New Roman"/>
        </w:rPr>
        <w:t xml:space="preserve">HUD </w:t>
      </w:r>
      <w:r w:rsidRPr="00532953">
        <w:rPr>
          <w:rFonts w:cs="Times New Roman"/>
        </w:rPr>
        <w:t>CPD</w:t>
      </w:r>
      <w:r w:rsidR="000A2594">
        <w:rPr>
          <w:rFonts w:cs="Times New Roman"/>
        </w:rPr>
        <w:t xml:space="preserve"> Notice</w:t>
      </w:r>
      <w:r w:rsidR="008B3624">
        <w:rPr>
          <w:rFonts w:cs="Times New Roman"/>
        </w:rPr>
        <w:t>s</w:t>
      </w:r>
      <w:r w:rsidR="000A2594">
        <w:rPr>
          <w:rFonts w:cs="Times New Roman"/>
        </w:rPr>
        <w:t xml:space="preserve"> </w:t>
      </w:r>
      <w:hyperlink r:id="rId45" w:history="1">
        <w:r w:rsidRPr="008B3624">
          <w:rPr>
            <w:rStyle w:val="Hyperlink"/>
            <w:rFonts w:cs="Times New Roman"/>
          </w:rPr>
          <w:t>94-05</w:t>
        </w:r>
      </w:hyperlink>
      <w:r w:rsidR="008B3624">
        <w:rPr>
          <w:rFonts w:cs="Times New Roman"/>
        </w:rPr>
        <w:t xml:space="preserve"> and </w:t>
      </w:r>
      <w:hyperlink r:id="rId46" w:history="1">
        <w:r w:rsidR="008B3624" w:rsidRPr="008B3624">
          <w:rPr>
            <w:rStyle w:val="Hyperlink"/>
            <w:rFonts w:cs="Times New Roman"/>
          </w:rPr>
          <w:t>22-15</w:t>
        </w:r>
      </w:hyperlink>
      <w:r>
        <w:rPr>
          <w:rFonts w:cs="Times New Roman"/>
        </w:rPr>
        <w:t xml:space="preserve">, assisted </w:t>
      </w:r>
      <w:r w:rsidR="003C67F7">
        <w:rPr>
          <w:rFonts w:cs="Times New Roman"/>
        </w:rPr>
        <w:t>housing</w:t>
      </w:r>
      <w:r>
        <w:rPr>
          <w:rFonts w:cs="Times New Roman"/>
        </w:rPr>
        <w:t xml:space="preserve">, including shared housing arrangements, </w:t>
      </w:r>
      <w:r w:rsidRPr="0024597F">
        <w:rPr>
          <w:rFonts w:cs="Times New Roman"/>
        </w:rPr>
        <w:t xml:space="preserve">must </w:t>
      </w:r>
      <w:r w:rsidR="002827D2">
        <w:rPr>
          <w:rFonts w:cs="Times New Roman"/>
        </w:rPr>
        <w:t>meet safety and sanitation standards and comply with</w:t>
      </w:r>
      <w:r w:rsidRPr="0024597F">
        <w:rPr>
          <w:rFonts w:cs="Times New Roman"/>
        </w:rPr>
        <w:t xml:space="preserve"> applicable state and local housing codes, licensing </w:t>
      </w:r>
      <w:r w:rsidR="00A56C33">
        <w:rPr>
          <w:rFonts w:cs="Times New Roman"/>
        </w:rPr>
        <w:t>provisions</w:t>
      </w:r>
      <w:r w:rsidRPr="0024597F">
        <w:rPr>
          <w:rFonts w:cs="Times New Roman"/>
        </w:rPr>
        <w:t xml:space="preserve">, and </w:t>
      </w:r>
      <w:r w:rsidR="009377B3">
        <w:rPr>
          <w:rFonts w:cs="Times New Roman"/>
        </w:rPr>
        <w:t xml:space="preserve">any other </w:t>
      </w:r>
      <w:r w:rsidR="003C67F7">
        <w:rPr>
          <w:rFonts w:cs="Times New Roman"/>
        </w:rPr>
        <w:t>structur</w:t>
      </w:r>
      <w:r w:rsidR="009377B3">
        <w:rPr>
          <w:rFonts w:cs="Times New Roman"/>
        </w:rPr>
        <w:t>al</w:t>
      </w:r>
      <w:r w:rsidR="003C67F7">
        <w:rPr>
          <w:rFonts w:cs="Times New Roman"/>
        </w:rPr>
        <w:t xml:space="preserve"> </w:t>
      </w:r>
      <w:r w:rsidR="009377B3">
        <w:rPr>
          <w:rFonts w:cs="Times New Roman"/>
        </w:rPr>
        <w:t>or</w:t>
      </w:r>
      <w:r w:rsidR="003C67F7">
        <w:rPr>
          <w:rFonts w:cs="Times New Roman"/>
        </w:rPr>
        <w:t xml:space="preserve"> operation</w:t>
      </w:r>
      <w:r w:rsidR="009377B3">
        <w:rPr>
          <w:rFonts w:cs="Times New Roman"/>
        </w:rPr>
        <w:t>al</w:t>
      </w:r>
      <w:r w:rsidR="003C67F7">
        <w:rPr>
          <w:rFonts w:cs="Times New Roman"/>
        </w:rPr>
        <w:t xml:space="preserve"> requirements.</w:t>
      </w:r>
      <w:r w:rsidRPr="0024597F">
        <w:rPr>
          <w:rFonts w:cs="Times New Roman"/>
        </w:rPr>
        <w:t xml:space="preserve"> Assisted </w:t>
      </w:r>
      <w:r w:rsidR="003C67F7">
        <w:rPr>
          <w:rFonts w:cs="Times New Roman"/>
        </w:rPr>
        <w:t>housing</w:t>
      </w:r>
      <w:r w:rsidR="003C67F7" w:rsidRPr="0024597F">
        <w:rPr>
          <w:rFonts w:cs="Times New Roman"/>
        </w:rPr>
        <w:t xml:space="preserve"> </w:t>
      </w:r>
      <w:r w:rsidRPr="0024597F">
        <w:rPr>
          <w:rFonts w:cs="Times New Roman"/>
        </w:rPr>
        <w:t xml:space="preserve">must also meet all Habitability Standards, </w:t>
      </w:r>
      <w:r w:rsidR="00B03ADD">
        <w:rPr>
          <w:rFonts w:cs="Times New Roman"/>
        </w:rPr>
        <w:t>Lead Safe Housing Rules</w:t>
      </w:r>
      <w:r w:rsidRPr="0024597F">
        <w:rPr>
          <w:rFonts w:cs="Times New Roman"/>
        </w:rPr>
        <w:t>, Fire Safety Requirements</w:t>
      </w:r>
      <w:r w:rsidR="00271238">
        <w:rPr>
          <w:rFonts w:cs="Times New Roman"/>
        </w:rPr>
        <w:t xml:space="preserve">, and Carbon Monoxide </w:t>
      </w:r>
      <w:r w:rsidR="00C61D75">
        <w:rPr>
          <w:rFonts w:cs="Times New Roman"/>
        </w:rPr>
        <w:t xml:space="preserve">Safety </w:t>
      </w:r>
      <w:r w:rsidR="00271238">
        <w:rPr>
          <w:rFonts w:cs="Times New Roman"/>
        </w:rPr>
        <w:t>Requirements</w:t>
      </w:r>
      <w:r w:rsidRPr="0024597F">
        <w:rPr>
          <w:rFonts w:cs="Times New Roman"/>
        </w:rPr>
        <w:t xml:space="preserve">. </w:t>
      </w:r>
      <w:r w:rsidR="003C67F7">
        <w:rPr>
          <w:rFonts w:cs="Times New Roman"/>
        </w:rPr>
        <w:t xml:space="preserve">Housing assisted by TBRA or </w:t>
      </w:r>
      <w:r w:rsidR="00C82E7F">
        <w:rPr>
          <w:rFonts w:cs="Times New Roman"/>
        </w:rPr>
        <w:t>FBHA</w:t>
      </w:r>
      <w:r w:rsidR="00C82E7F" w:rsidRPr="0024597F">
        <w:rPr>
          <w:rFonts w:cs="Times New Roman"/>
        </w:rPr>
        <w:t xml:space="preserve"> </w:t>
      </w:r>
      <w:r w:rsidR="00135BAE">
        <w:rPr>
          <w:rFonts w:cs="Times New Roman"/>
        </w:rPr>
        <w:t>requir</w:t>
      </w:r>
      <w:r w:rsidR="003C67F7">
        <w:rPr>
          <w:rFonts w:cs="Times New Roman"/>
        </w:rPr>
        <w:t>e</w:t>
      </w:r>
      <w:r w:rsidRPr="0024597F">
        <w:rPr>
          <w:rFonts w:cs="Times New Roman"/>
        </w:rPr>
        <w:t xml:space="preserve"> inspec</w:t>
      </w:r>
      <w:r w:rsidR="00135BAE">
        <w:rPr>
          <w:rFonts w:cs="Times New Roman"/>
        </w:rPr>
        <w:t>tions</w:t>
      </w:r>
      <w:r w:rsidRPr="0024597F">
        <w:rPr>
          <w:rFonts w:cs="Times New Roman"/>
        </w:rPr>
        <w:t xml:space="preserve">. </w:t>
      </w:r>
      <w:r w:rsidR="003C67F7">
        <w:rPr>
          <w:rFonts w:cs="Times New Roman"/>
        </w:rPr>
        <w:t xml:space="preserve">Housing assisted by </w:t>
      </w:r>
      <w:r w:rsidRPr="0024597F">
        <w:rPr>
          <w:rFonts w:cs="Times New Roman"/>
        </w:rPr>
        <w:t xml:space="preserve">STRMU </w:t>
      </w:r>
      <w:r w:rsidR="003C67F7">
        <w:rPr>
          <w:rFonts w:cs="Times New Roman"/>
        </w:rPr>
        <w:t>or</w:t>
      </w:r>
      <w:r w:rsidR="003C67F7" w:rsidRPr="0024597F">
        <w:rPr>
          <w:rFonts w:cs="Times New Roman"/>
        </w:rPr>
        <w:t xml:space="preserve"> </w:t>
      </w:r>
      <w:r w:rsidRPr="0024597F">
        <w:rPr>
          <w:rFonts w:cs="Times New Roman"/>
        </w:rPr>
        <w:t xml:space="preserve">PHP do not require inspections, but households must certify their </w:t>
      </w:r>
      <w:r w:rsidR="003C67F7">
        <w:rPr>
          <w:rFonts w:cs="Times New Roman"/>
        </w:rPr>
        <w:t>housing</w:t>
      </w:r>
      <w:r w:rsidR="003C67F7" w:rsidRPr="0024597F">
        <w:rPr>
          <w:rFonts w:cs="Times New Roman"/>
        </w:rPr>
        <w:t xml:space="preserve"> </w:t>
      </w:r>
      <w:r w:rsidRPr="0024597F">
        <w:rPr>
          <w:rFonts w:cs="Times New Roman"/>
        </w:rPr>
        <w:t>meet</w:t>
      </w:r>
      <w:r w:rsidR="003C67F7">
        <w:rPr>
          <w:rFonts w:cs="Times New Roman"/>
        </w:rPr>
        <w:t>s</w:t>
      </w:r>
      <w:r w:rsidRPr="0024597F">
        <w:rPr>
          <w:rFonts w:cs="Times New Roman"/>
        </w:rPr>
        <w:t xml:space="preserve"> all standards and requirements.</w:t>
      </w:r>
      <w:r w:rsidRPr="008026D4">
        <w:rPr>
          <w:rFonts w:cs="Times New Roman"/>
        </w:rPr>
        <w:t xml:space="preserve"> </w:t>
      </w:r>
      <w:r w:rsidRPr="00C254C1">
        <w:rPr>
          <w:rFonts w:cs="Times New Roman"/>
        </w:rPr>
        <w:t xml:space="preserve">If a household </w:t>
      </w:r>
      <w:r w:rsidR="00135BAE">
        <w:rPr>
          <w:rFonts w:cs="Times New Roman"/>
        </w:rPr>
        <w:t>resides</w:t>
      </w:r>
      <w:r w:rsidRPr="00C254C1">
        <w:rPr>
          <w:rFonts w:cs="Times New Roman"/>
        </w:rPr>
        <w:t xml:space="preserve"> in substandard housing, the housing plan should address </w:t>
      </w:r>
      <w:r w:rsidR="003C67F7">
        <w:rPr>
          <w:rFonts w:cs="Times New Roman"/>
        </w:rPr>
        <w:t>housing</w:t>
      </w:r>
      <w:r w:rsidRPr="00C254C1">
        <w:rPr>
          <w:rFonts w:cs="Times New Roman"/>
        </w:rPr>
        <w:t xml:space="preserve"> deficiencies or include a goal of moving the household </w:t>
      </w:r>
      <w:r w:rsidR="003C67F7">
        <w:rPr>
          <w:rFonts w:cs="Times New Roman"/>
        </w:rPr>
        <w:t xml:space="preserve">into housing </w:t>
      </w:r>
      <w:r w:rsidRPr="00C254C1">
        <w:rPr>
          <w:rFonts w:cs="Times New Roman"/>
        </w:rPr>
        <w:t xml:space="preserve">that meets all </w:t>
      </w:r>
      <w:r>
        <w:rPr>
          <w:rFonts w:cs="Times New Roman"/>
        </w:rPr>
        <w:t>Housing Quality</w:t>
      </w:r>
      <w:r w:rsidRPr="00C254C1">
        <w:rPr>
          <w:rFonts w:cs="Times New Roman"/>
        </w:rPr>
        <w:t xml:space="preserve"> Standards</w:t>
      </w:r>
      <w:r w:rsidR="00251BF2">
        <w:rPr>
          <w:rFonts w:cs="Times New Roman"/>
        </w:rPr>
        <w:t xml:space="preserve"> (HQS)</w:t>
      </w:r>
      <w:r w:rsidRPr="00C254C1">
        <w:rPr>
          <w:rFonts w:cs="Times New Roman"/>
        </w:rPr>
        <w:t>.</w:t>
      </w:r>
      <w:r w:rsidR="00DA49EC">
        <w:rPr>
          <w:rFonts w:cs="Times New Roman"/>
        </w:rPr>
        <w:t xml:space="preserve"> </w:t>
      </w:r>
      <w:r w:rsidRPr="008026D4">
        <w:rPr>
          <w:rFonts w:cs="Times New Roman"/>
        </w:rPr>
        <w:t xml:space="preserve">Project Sponsors complete </w:t>
      </w:r>
      <w:r w:rsidRPr="003F5DA4">
        <w:rPr>
          <w:rFonts w:cs="Times New Roman"/>
          <w:b/>
          <w:color w:val="5B9BD5" w:themeColor="accent1"/>
        </w:rPr>
        <w:t xml:space="preserve">Form G: </w:t>
      </w:r>
      <w:r>
        <w:rPr>
          <w:rFonts w:cs="Times New Roman"/>
          <w:b/>
          <w:color w:val="5B9BD5" w:themeColor="accent1"/>
        </w:rPr>
        <w:t>Housing Quality</w:t>
      </w:r>
      <w:r w:rsidRPr="003F5DA4">
        <w:rPr>
          <w:rFonts w:cs="Times New Roman"/>
          <w:b/>
          <w:color w:val="5B9BD5" w:themeColor="accent1"/>
        </w:rPr>
        <w:t xml:space="preserve"> Standards Certification</w:t>
      </w:r>
      <w:r w:rsidRPr="008026D4">
        <w:rPr>
          <w:rFonts w:cs="Times New Roman"/>
        </w:rPr>
        <w:t xml:space="preserve"> before </w:t>
      </w:r>
      <w:r>
        <w:rPr>
          <w:rFonts w:cs="Times New Roman"/>
        </w:rPr>
        <w:t xml:space="preserve">assisting </w:t>
      </w:r>
      <w:r w:rsidR="003C67F7">
        <w:rPr>
          <w:rFonts w:cs="Times New Roman"/>
        </w:rPr>
        <w:t>housing</w:t>
      </w:r>
      <w:r w:rsidRPr="008026D4">
        <w:rPr>
          <w:rFonts w:cs="Times New Roman"/>
        </w:rPr>
        <w:t xml:space="preserve"> and annual </w:t>
      </w:r>
      <w:r w:rsidR="00BF6BB2">
        <w:rPr>
          <w:rFonts w:cs="Times New Roman"/>
        </w:rPr>
        <w:t xml:space="preserve">eligibility </w:t>
      </w:r>
      <w:r w:rsidRPr="008026D4">
        <w:rPr>
          <w:rFonts w:cs="Times New Roman"/>
        </w:rPr>
        <w:t xml:space="preserve">recertifications. Also, </w:t>
      </w:r>
      <w:r w:rsidR="00135BAE">
        <w:rPr>
          <w:rFonts w:cs="Times New Roman"/>
        </w:rPr>
        <w:t xml:space="preserve">they complete </w:t>
      </w:r>
      <w:r w:rsidR="006318BB">
        <w:rPr>
          <w:rFonts w:cs="Times New Roman"/>
        </w:rPr>
        <w:t>Form G</w:t>
      </w:r>
      <w:r w:rsidRPr="008026D4">
        <w:rPr>
          <w:rFonts w:cs="Times New Roman"/>
        </w:rPr>
        <w:t xml:space="preserve"> if </w:t>
      </w:r>
      <w:r w:rsidR="004B5285">
        <w:rPr>
          <w:rFonts w:cs="Times New Roman"/>
        </w:rPr>
        <w:t>household residency has changed</w:t>
      </w:r>
      <w:r w:rsidRPr="008026D4">
        <w:rPr>
          <w:rFonts w:cs="Times New Roman"/>
        </w:rPr>
        <w:t xml:space="preserve">. </w:t>
      </w:r>
      <w:r w:rsidR="00135BAE">
        <w:rPr>
          <w:rFonts w:cs="Times New Roman"/>
        </w:rPr>
        <w:t>H</w:t>
      </w:r>
      <w:r w:rsidR="00135BAE" w:rsidRPr="008026D4">
        <w:rPr>
          <w:rFonts w:cs="Times New Roman"/>
        </w:rPr>
        <w:t>ousing case manager</w:t>
      </w:r>
      <w:r w:rsidR="00135BAE">
        <w:rPr>
          <w:rFonts w:cs="Times New Roman"/>
        </w:rPr>
        <w:t>s can perform</w:t>
      </w:r>
      <w:r w:rsidR="00135BAE" w:rsidRPr="008026D4">
        <w:rPr>
          <w:rFonts w:cs="Times New Roman"/>
        </w:rPr>
        <w:t xml:space="preserve"> </w:t>
      </w:r>
      <w:r w:rsidR="00135BAE">
        <w:rPr>
          <w:rFonts w:cs="Times New Roman"/>
        </w:rPr>
        <w:t>i</w:t>
      </w:r>
      <w:r w:rsidRPr="008026D4">
        <w:rPr>
          <w:rFonts w:cs="Times New Roman"/>
        </w:rPr>
        <w:t>nspections without specialized training</w:t>
      </w:r>
      <w:r w:rsidR="00135BAE">
        <w:rPr>
          <w:rFonts w:cs="Times New Roman"/>
        </w:rPr>
        <w:t xml:space="preserve"> and </w:t>
      </w:r>
      <w:r w:rsidR="000D4224">
        <w:rPr>
          <w:rFonts w:cs="Times New Roman"/>
        </w:rPr>
        <w:t>should interpret the standards and requirements using their best judgement</w:t>
      </w:r>
      <w:r w:rsidRPr="008026D4">
        <w:rPr>
          <w:rFonts w:cs="Times New Roman"/>
        </w:rPr>
        <w:t>.</w:t>
      </w:r>
    </w:p>
    <w:p w14:paraId="555ADB49" w14:textId="77777777" w:rsidR="00DA49EC" w:rsidRDefault="00DA49EC" w:rsidP="00C7556B">
      <w:pPr>
        <w:pStyle w:val="NoSpacing"/>
        <w:rPr>
          <w:rFonts w:cs="Times New Roman"/>
        </w:rPr>
      </w:pPr>
    </w:p>
    <w:p w14:paraId="447F7CAB" w14:textId="70B2D4FD" w:rsidR="00D20787" w:rsidRPr="00550693" w:rsidRDefault="00D20787" w:rsidP="00ED208F">
      <w:pPr>
        <w:pStyle w:val="NoSpacing"/>
        <w:numPr>
          <w:ilvl w:val="1"/>
          <w:numId w:val="35"/>
        </w:numPr>
        <w:rPr>
          <w:rFonts w:cs="Times New Roman"/>
          <w:b/>
          <w:u w:val="single"/>
        </w:rPr>
      </w:pPr>
      <w:r w:rsidRPr="00550693">
        <w:rPr>
          <w:rFonts w:cs="Times New Roman"/>
          <w:b/>
          <w:u w:val="single"/>
        </w:rPr>
        <w:t>Habitability Standards</w:t>
      </w:r>
    </w:p>
    <w:p w14:paraId="69DE8535" w14:textId="6772D0F6" w:rsidR="00D20787" w:rsidRPr="008026D4" w:rsidRDefault="00D20787" w:rsidP="00ED208F">
      <w:pPr>
        <w:pStyle w:val="NoSpacing"/>
        <w:ind w:left="720"/>
        <w:rPr>
          <w:rFonts w:cs="Times New Roman"/>
        </w:rPr>
      </w:pPr>
      <w:r w:rsidRPr="008026D4">
        <w:rPr>
          <w:rFonts w:cs="Times New Roman"/>
        </w:rPr>
        <w:t xml:space="preserve">The standards, as </w:t>
      </w:r>
      <w:r w:rsidR="002568C9">
        <w:rPr>
          <w:rFonts w:cs="Times New Roman"/>
        </w:rPr>
        <w:t>defined</w:t>
      </w:r>
      <w:r w:rsidR="002568C9" w:rsidRPr="008026D4">
        <w:rPr>
          <w:rFonts w:cs="Times New Roman"/>
        </w:rPr>
        <w:t xml:space="preserve"> </w:t>
      </w:r>
      <w:r w:rsidRPr="008026D4">
        <w:rPr>
          <w:rFonts w:cs="Times New Roman"/>
        </w:rPr>
        <w:t>in 24 CFR §574.310(b), include:</w:t>
      </w:r>
    </w:p>
    <w:p w14:paraId="18A94156" w14:textId="77777777" w:rsidR="00D20787" w:rsidRPr="008026D4" w:rsidRDefault="00D20787" w:rsidP="00ED208F">
      <w:pPr>
        <w:pStyle w:val="NoSpacing"/>
        <w:numPr>
          <w:ilvl w:val="2"/>
          <w:numId w:val="35"/>
        </w:numPr>
        <w:rPr>
          <w:rFonts w:cs="Times New Roman"/>
        </w:rPr>
      </w:pPr>
      <w:r>
        <w:rPr>
          <w:rFonts w:cs="Times New Roman"/>
          <w:i/>
        </w:rPr>
        <w:t>Structure and materials.</w:t>
      </w:r>
      <w:r w:rsidRPr="008026D4">
        <w:rPr>
          <w:rFonts w:cs="Times New Roman"/>
        </w:rPr>
        <w:t xml:space="preserve"> The structures must be structurally sound so as not to pose any threat to the health and safety of the occupants and </w:t>
      </w:r>
      <w:proofErr w:type="gramStart"/>
      <w:r w:rsidRPr="008026D4">
        <w:rPr>
          <w:rFonts w:cs="Times New Roman"/>
        </w:rPr>
        <w:t>so as to</w:t>
      </w:r>
      <w:proofErr w:type="gramEnd"/>
      <w:r w:rsidRPr="008026D4">
        <w:rPr>
          <w:rFonts w:cs="Times New Roman"/>
        </w:rPr>
        <w:t xml:space="preserve"> protect the residents from hazards.</w:t>
      </w:r>
    </w:p>
    <w:p w14:paraId="303C361E" w14:textId="17A1E340" w:rsidR="00D20787" w:rsidRPr="008026D4" w:rsidRDefault="00D20787" w:rsidP="00ED208F">
      <w:pPr>
        <w:pStyle w:val="NoSpacing"/>
        <w:numPr>
          <w:ilvl w:val="2"/>
          <w:numId w:val="35"/>
        </w:numPr>
        <w:rPr>
          <w:rFonts w:cs="Times New Roman"/>
        </w:rPr>
      </w:pPr>
      <w:r w:rsidRPr="008026D4">
        <w:rPr>
          <w:rFonts w:cs="Times New Roman"/>
          <w:i/>
        </w:rPr>
        <w:t>Access</w:t>
      </w:r>
      <w:r>
        <w:rPr>
          <w:rFonts w:cs="Times New Roman"/>
        </w:rPr>
        <w:t>.</w:t>
      </w:r>
      <w:r w:rsidRPr="008026D4">
        <w:rPr>
          <w:rFonts w:cs="Times New Roman"/>
        </w:rPr>
        <w:t xml:space="preserve"> The housing must be accessible and capable of being utilized without unauthorized use of other private properties. Structures must provide alternate means of </w:t>
      </w:r>
      <w:r w:rsidRPr="0024597F">
        <w:rPr>
          <w:rFonts w:cs="Times New Roman"/>
        </w:rPr>
        <w:t xml:space="preserve">egress </w:t>
      </w:r>
      <w:r w:rsidRPr="008026D4">
        <w:rPr>
          <w:rFonts w:cs="Times New Roman"/>
        </w:rPr>
        <w:t>in case of fire.</w:t>
      </w:r>
    </w:p>
    <w:p w14:paraId="10F4E761" w14:textId="77777777" w:rsidR="00D20787" w:rsidRPr="008026D4" w:rsidRDefault="00D20787" w:rsidP="00ED208F">
      <w:pPr>
        <w:pStyle w:val="NoSpacing"/>
        <w:numPr>
          <w:ilvl w:val="2"/>
          <w:numId w:val="35"/>
        </w:numPr>
        <w:rPr>
          <w:rFonts w:cs="Times New Roman"/>
        </w:rPr>
      </w:pPr>
      <w:r w:rsidRPr="008026D4">
        <w:rPr>
          <w:rFonts w:cs="Times New Roman"/>
          <w:i/>
        </w:rPr>
        <w:t>Space and security</w:t>
      </w:r>
      <w:r>
        <w:rPr>
          <w:rFonts w:cs="Times New Roman"/>
        </w:rPr>
        <w:t>.</w:t>
      </w:r>
      <w:r w:rsidRPr="008026D4">
        <w:rPr>
          <w:rFonts w:cs="Times New Roman"/>
        </w:rPr>
        <w:t xml:space="preserve"> Each resident must be afforded adequate space and security for themselves and their belongings. An acceptable place to sleep must be provided for each resident.</w:t>
      </w:r>
    </w:p>
    <w:p w14:paraId="1E5D3CD9" w14:textId="77777777" w:rsidR="00D20787" w:rsidRPr="008026D4" w:rsidRDefault="00D20787" w:rsidP="00ED208F">
      <w:pPr>
        <w:pStyle w:val="NoSpacing"/>
        <w:numPr>
          <w:ilvl w:val="2"/>
          <w:numId w:val="35"/>
        </w:numPr>
        <w:rPr>
          <w:rFonts w:cs="Times New Roman"/>
        </w:rPr>
      </w:pPr>
      <w:r w:rsidRPr="008026D4">
        <w:rPr>
          <w:rFonts w:cs="Times New Roman"/>
          <w:i/>
        </w:rPr>
        <w:t>Interior air quality</w:t>
      </w:r>
      <w:r>
        <w:rPr>
          <w:rFonts w:cs="Times New Roman"/>
        </w:rPr>
        <w:t>.</w:t>
      </w:r>
      <w:r w:rsidRPr="008026D4">
        <w:rPr>
          <w:rFonts w:cs="Times New Roman"/>
        </w:rPr>
        <w:t xml:space="preserve"> Every room or space must be provided with natural or mechanical ventilation. Structures must be free of pollutants in the air at levels that threaten the health of residents.</w:t>
      </w:r>
    </w:p>
    <w:p w14:paraId="79F404AE" w14:textId="77777777" w:rsidR="00D20787" w:rsidRPr="008026D4" w:rsidRDefault="00D20787" w:rsidP="00ED208F">
      <w:pPr>
        <w:pStyle w:val="NoSpacing"/>
        <w:numPr>
          <w:ilvl w:val="2"/>
          <w:numId w:val="35"/>
        </w:numPr>
        <w:rPr>
          <w:rFonts w:cs="Times New Roman"/>
        </w:rPr>
      </w:pPr>
      <w:r w:rsidRPr="008026D4">
        <w:rPr>
          <w:rFonts w:cs="Times New Roman"/>
          <w:i/>
        </w:rPr>
        <w:t>Water supply</w:t>
      </w:r>
      <w:r>
        <w:rPr>
          <w:rFonts w:cs="Times New Roman"/>
        </w:rPr>
        <w:t>.</w:t>
      </w:r>
      <w:r w:rsidRPr="008026D4">
        <w:rPr>
          <w:rFonts w:cs="Times New Roman"/>
        </w:rPr>
        <w:t xml:space="preserve"> The water supply must be free from contamination at levels that threaten the health of individuals.</w:t>
      </w:r>
    </w:p>
    <w:p w14:paraId="21647BBA" w14:textId="77777777" w:rsidR="00D20787" w:rsidRPr="008026D4" w:rsidRDefault="00D20787" w:rsidP="00ED208F">
      <w:pPr>
        <w:pStyle w:val="NoSpacing"/>
        <w:numPr>
          <w:ilvl w:val="2"/>
          <w:numId w:val="35"/>
        </w:numPr>
        <w:rPr>
          <w:rFonts w:cs="Times New Roman"/>
        </w:rPr>
      </w:pPr>
      <w:r w:rsidRPr="008026D4">
        <w:rPr>
          <w:rFonts w:cs="Times New Roman"/>
          <w:i/>
        </w:rPr>
        <w:t>Thermal environment</w:t>
      </w:r>
      <w:r>
        <w:rPr>
          <w:rFonts w:cs="Times New Roman"/>
        </w:rPr>
        <w:t>.</w:t>
      </w:r>
      <w:r w:rsidRPr="008026D4">
        <w:rPr>
          <w:rFonts w:cs="Times New Roman"/>
        </w:rPr>
        <w:t xml:space="preserve"> The housing must have adequate heating and/or cooling facilities in proper operating condition.</w:t>
      </w:r>
    </w:p>
    <w:p w14:paraId="26EB536E" w14:textId="77777777" w:rsidR="00D20787" w:rsidRPr="008026D4" w:rsidRDefault="00D20787" w:rsidP="00ED208F">
      <w:pPr>
        <w:pStyle w:val="NoSpacing"/>
        <w:numPr>
          <w:ilvl w:val="2"/>
          <w:numId w:val="35"/>
        </w:numPr>
        <w:rPr>
          <w:rFonts w:cs="Times New Roman"/>
        </w:rPr>
      </w:pPr>
      <w:r w:rsidRPr="008026D4">
        <w:rPr>
          <w:rFonts w:cs="Times New Roman"/>
          <w:i/>
        </w:rPr>
        <w:t>Illumination and electricity</w:t>
      </w:r>
      <w:r>
        <w:rPr>
          <w:rFonts w:cs="Times New Roman"/>
          <w:i/>
        </w:rPr>
        <w:t>.</w:t>
      </w:r>
      <w:r w:rsidRPr="008026D4">
        <w:rPr>
          <w:rFonts w:cs="Times New Roman"/>
        </w:rPr>
        <w:t xml:space="preserve"> The housing must have adequate natural or artificial illumination to permit normal indoor activities and to support the health and safety of residents. Sufficient electrical sources must be provided to permit use of essential electrical appliances while assuring safety from fire.</w:t>
      </w:r>
    </w:p>
    <w:p w14:paraId="2CEC7A07" w14:textId="77777777" w:rsidR="00D20787" w:rsidRPr="008026D4" w:rsidRDefault="00D20787" w:rsidP="00ED208F">
      <w:pPr>
        <w:pStyle w:val="NoSpacing"/>
        <w:numPr>
          <w:ilvl w:val="2"/>
          <w:numId w:val="35"/>
        </w:numPr>
        <w:rPr>
          <w:rFonts w:cs="Times New Roman"/>
        </w:rPr>
      </w:pPr>
      <w:r w:rsidRPr="008026D4">
        <w:rPr>
          <w:rFonts w:cs="Times New Roman"/>
          <w:i/>
        </w:rPr>
        <w:t>Food preparation and refuse disposal</w:t>
      </w:r>
      <w:r>
        <w:rPr>
          <w:rFonts w:cs="Times New Roman"/>
          <w:i/>
        </w:rPr>
        <w:t>.</w:t>
      </w:r>
      <w:r w:rsidRPr="008026D4">
        <w:rPr>
          <w:rFonts w:cs="Times New Roman"/>
        </w:rPr>
        <w:t xml:space="preserve"> All food preparation areas must contain suitable space and equipment to store, prepare, and serve food in a sanitary manner.</w:t>
      </w:r>
    </w:p>
    <w:p w14:paraId="07123AEF" w14:textId="77777777" w:rsidR="00D20787" w:rsidRDefault="00D20787" w:rsidP="00ED208F">
      <w:pPr>
        <w:pStyle w:val="NoSpacing"/>
        <w:numPr>
          <w:ilvl w:val="2"/>
          <w:numId w:val="35"/>
        </w:numPr>
        <w:rPr>
          <w:rFonts w:cs="Times New Roman"/>
        </w:rPr>
      </w:pPr>
      <w:r w:rsidRPr="008026D4">
        <w:rPr>
          <w:rFonts w:cs="Times New Roman"/>
          <w:i/>
        </w:rPr>
        <w:t>Sanitary condition</w:t>
      </w:r>
      <w:r>
        <w:rPr>
          <w:rFonts w:cs="Times New Roman"/>
        </w:rPr>
        <w:t>.</w:t>
      </w:r>
      <w:r w:rsidRPr="008026D4">
        <w:rPr>
          <w:rFonts w:cs="Times New Roman"/>
        </w:rPr>
        <w:t xml:space="preserve"> The housing and any equipment must be maintained in sanitary condition.</w:t>
      </w:r>
    </w:p>
    <w:p w14:paraId="5DCEE24A" w14:textId="77777777" w:rsidR="00BE4BAB" w:rsidRDefault="00BE4BAB" w:rsidP="00ED208F">
      <w:pPr>
        <w:pStyle w:val="NoSpacing"/>
        <w:ind w:left="1440"/>
        <w:rPr>
          <w:rFonts w:cs="Times New Roman"/>
        </w:rPr>
      </w:pPr>
    </w:p>
    <w:p w14:paraId="616B94E0" w14:textId="0D5C2764" w:rsidR="00D20787" w:rsidRPr="00550693" w:rsidRDefault="00D20787" w:rsidP="00ED208F">
      <w:pPr>
        <w:pStyle w:val="NoSpacing"/>
        <w:numPr>
          <w:ilvl w:val="1"/>
          <w:numId w:val="35"/>
        </w:numPr>
        <w:rPr>
          <w:rFonts w:cs="Times New Roman"/>
          <w:b/>
          <w:u w:val="single"/>
        </w:rPr>
      </w:pPr>
      <w:r w:rsidRPr="00550693">
        <w:rPr>
          <w:rFonts w:cs="Times New Roman"/>
          <w:b/>
          <w:u w:val="single"/>
        </w:rPr>
        <w:t>Lead</w:t>
      </w:r>
      <w:r w:rsidR="00B03ADD">
        <w:rPr>
          <w:rFonts w:cs="Times New Roman"/>
          <w:b/>
          <w:u w:val="single"/>
        </w:rPr>
        <w:t xml:space="preserve"> Safe Housing Rules</w:t>
      </w:r>
      <w:r w:rsidR="00B03ADD" w:rsidRPr="00550693" w:rsidDel="00B03ADD">
        <w:rPr>
          <w:rFonts w:cs="Times New Roman"/>
          <w:b/>
          <w:u w:val="single"/>
        </w:rPr>
        <w:t xml:space="preserve"> </w:t>
      </w:r>
    </w:p>
    <w:p w14:paraId="773B3C19" w14:textId="0C51FCAF" w:rsidR="00D20787" w:rsidRPr="00731ABA" w:rsidRDefault="00D20787" w:rsidP="00D130E6">
      <w:pPr>
        <w:pStyle w:val="NoSpacing"/>
        <w:ind w:left="720"/>
        <w:rPr>
          <w:rFonts w:cs="Times New Roman"/>
        </w:rPr>
      </w:pPr>
      <w:r w:rsidRPr="00731ABA">
        <w:rPr>
          <w:rFonts w:cs="Times New Roman"/>
        </w:rPr>
        <w:t xml:space="preserve">The regulations for </w:t>
      </w:r>
      <w:r w:rsidR="00BA66D9">
        <w:rPr>
          <w:rFonts w:cs="Times New Roman"/>
        </w:rPr>
        <w:t>l</w:t>
      </w:r>
      <w:r w:rsidRPr="00731ABA">
        <w:rPr>
          <w:rFonts w:cs="Times New Roman"/>
        </w:rPr>
        <w:t>ead-</w:t>
      </w:r>
      <w:r w:rsidR="00BA66D9">
        <w:rPr>
          <w:rFonts w:cs="Times New Roman"/>
        </w:rPr>
        <w:t>b</w:t>
      </w:r>
      <w:r w:rsidRPr="00731ABA">
        <w:rPr>
          <w:rFonts w:cs="Times New Roman"/>
        </w:rPr>
        <w:t xml:space="preserve">ased </w:t>
      </w:r>
      <w:r w:rsidR="00BA66D9">
        <w:rPr>
          <w:rFonts w:cs="Times New Roman"/>
        </w:rPr>
        <w:t>p</w:t>
      </w:r>
      <w:r w:rsidRPr="00731ABA">
        <w:rPr>
          <w:rFonts w:cs="Times New Roman"/>
        </w:rPr>
        <w:t>aint</w:t>
      </w:r>
      <w:r w:rsidR="00866AAD" w:rsidRPr="00731ABA">
        <w:rPr>
          <w:rFonts w:cs="Times New Roman"/>
        </w:rPr>
        <w:t xml:space="preserve"> </w:t>
      </w:r>
      <w:r w:rsidR="00E84233" w:rsidRPr="00731ABA">
        <w:rPr>
          <w:rFonts w:cs="Times New Roman"/>
        </w:rPr>
        <w:t xml:space="preserve">in </w:t>
      </w:r>
      <w:r w:rsidRPr="00731ABA">
        <w:rPr>
          <w:rFonts w:cs="Times New Roman"/>
        </w:rPr>
        <w:t xml:space="preserve">24 CFR §35, require certain responses to potential lead-based </w:t>
      </w:r>
      <w:r w:rsidR="00BA66D9">
        <w:rPr>
          <w:rFonts w:cs="Times New Roman"/>
        </w:rPr>
        <w:t xml:space="preserve">paint </w:t>
      </w:r>
      <w:r w:rsidRPr="00731ABA">
        <w:rPr>
          <w:rFonts w:cs="Times New Roman"/>
        </w:rPr>
        <w:t xml:space="preserve">hazards. </w:t>
      </w:r>
      <w:r w:rsidR="00731ABA" w:rsidRPr="00DA098E">
        <w:rPr>
          <w:rFonts w:cs="Times New Roman"/>
          <w:color w:val="262626" w:themeColor="text1" w:themeTint="D9"/>
        </w:rPr>
        <w:t xml:space="preserve">Unless otherwise </w:t>
      </w:r>
      <w:hyperlink r:id="rId47" w:anchor="se24.1.35_1115" w:tooltip="See 24 CFR §35.115 for exemptions." w:history="1">
        <w:r w:rsidR="00731ABA" w:rsidRPr="00DA098E">
          <w:rPr>
            <w:rStyle w:val="Hyperlink"/>
            <w:rFonts w:cs="Times New Roman"/>
          </w:rPr>
          <w:t>exempt</w:t>
        </w:r>
      </w:hyperlink>
      <w:r w:rsidR="00731ABA" w:rsidRPr="00DA098E">
        <w:rPr>
          <w:rFonts w:cs="Times New Roman"/>
          <w:color w:val="262626" w:themeColor="text1" w:themeTint="D9"/>
        </w:rPr>
        <w:t xml:space="preserve">, if the structure was built prior to 1978, a child under the age of six is </w:t>
      </w:r>
      <w:hyperlink r:id="rId48" w:anchor="se24.1.35_1110" w:tooltip="See 24 CFR §35.110 for the definition of expected to reside." w:history="1">
        <w:r w:rsidR="00731ABA" w:rsidRPr="00DA098E">
          <w:rPr>
            <w:rStyle w:val="Hyperlink"/>
            <w:rFonts w:cs="Times New Roman"/>
          </w:rPr>
          <w:t>expected to reside</w:t>
        </w:r>
      </w:hyperlink>
      <w:r w:rsidR="00731ABA" w:rsidRPr="00DA098E">
        <w:rPr>
          <w:rFonts w:cs="Times New Roman"/>
          <w:color w:val="262626" w:themeColor="text1" w:themeTint="D9"/>
        </w:rPr>
        <w:t xml:space="preserve"> in the unit, and the property has a </w:t>
      </w:r>
      <w:hyperlink r:id="rId49" w:anchor="se24.1.35_1110" w:tooltip="See 24 CFR §35.110 for the definition of deteriorated paint." w:history="1">
        <w:r w:rsidR="00731ABA" w:rsidRPr="00DA098E">
          <w:rPr>
            <w:rStyle w:val="Hyperlink"/>
            <w:rFonts w:cs="Times New Roman"/>
          </w:rPr>
          <w:t>deteriorated paint</w:t>
        </w:r>
      </w:hyperlink>
      <w:r w:rsidR="00731ABA" w:rsidRPr="00DA098E">
        <w:rPr>
          <w:rFonts w:cs="Times New Roman"/>
          <w:color w:val="262626" w:themeColor="text1" w:themeTint="D9"/>
        </w:rPr>
        <w:t xml:space="preserve"> surface inside or outside the structure, the property cannot be approved until the surface is </w:t>
      </w:r>
      <w:hyperlink r:id="rId50" w:anchor="sp24.1.35.b" w:tooltip="See 24 CFR Subpart B for applicability of lead hazard reduction requirements." w:history="1">
        <w:r w:rsidR="00731ABA" w:rsidRPr="00DA098E">
          <w:rPr>
            <w:rStyle w:val="Hyperlink"/>
            <w:rFonts w:cs="Times New Roman"/>
          </w:rPr>
          <w:t>appropriately</w:t>
        </w:r>
      </w:hyperlink>
      <w:r w:rsidR="00731ABA" w:rsidRPr="00DA098E">
        <w:rPr>
          <w:rFonts w:cs="Times New Roman"/>
          <w:color w:val="262626" w:themeColor="text1" w:themeTint="D9"/>
        </w:rPr>
        <w:t xml:space="preserve"> </w:t>
      </w:r>
      <w:hyperlink r:id="rId51" w:anchor="se24.1.35_11330" w:tooltip="See 24 CFR §35.1330 for a list of interim controls." w:history="1">
        <w:r w:rsidR="00731ABA" w:rsidRPr="00DA098E">
          <w:rPr>
            <w:rStyle w:val="Hyperlink"/>
            <w:rFonts w:cs="Times New Roman"/>
          </w:rPr>
          <w:t>controlled</w:t>
        </w:r>
      </w:hyperlink>
      <w:r w:rsidR="00731ABA" w:rsidRPr="00DA098E">
        <w:rPr>
          <w:rFonts w:cs="Times New Roman"/>
          <w:color w:val="262626" w:themeColor="text1" w:themeTint="D9"/>
        </w:rPr>
        <w:t xml:space="preserve"> and </w:t>
      </w:r>
      <w:hyperlink r:id="rId52" w:anchor="se24.1.35_11340" w:tooltip="See 24 CFR §35.1340 for clearance requirements." w:history="1">
        <w:r w:rsidR="00731ABA" w:rsidRPr="00DA098E">
          <w:rPr>
            <w:rStyle w:val="Hyperlink"/>
            <w:rFonts w:cs="Times New Roman"/>
          </w:rPr>
          <w:t>cleared</w:t>
        </w:r>
      </w:hyperlink>
      <w:r w:rsidR="00731ABA" w:rsidRPr="00DA098E">
        <w:rPr>
          <w:rFonts w:cs="Times New Roman"/>
          <w:color w:val="262626" w:themeColor="text1" w:themeTint="D9"/>
        </w:rPr>
        <w:t xml:space="preserve">. If a child under the age of six has an </w:t>
      </w:r>
      <w:hyperlink r:id="rId53" w:anchor="se24.1.35_1110" w:tooltip="See 24 CFR §35.110 for the definition of Elevated Blood Lead Level." w:history="1">
        <w:r w:rsidR="00731ABA" w:rsidRPr="00DA098E">
          <w:rPr>
            <w:rStyle w:val="Hyperlink"/>
            <w:rFonts w:cs="Times New Roman"/>
          </w:rPr>
          <w:t>elevated blood lead level</w:t>
        </w:r>
      </w:hyperlink>
      <w:r w:rsidR="00731ABA" w:rsidRPr="00DA098E">
        <w:rPr>
          <w:rFonts w:cs="Times New Roman"/>
          <w:color w:val="262626" w:themeColor="text1" w:themeTint="D9"/>
        </w:rPr>
        <w:t>, see Appendix B</w:t>
      </w:r>
      <w:r w:rsidR="00BA66D9">
        <w:rPr>
          <w:rFonts w:cs="Times New Roman"/>
          <w:color w:val="262626" w:themeColor="text1" w:themeTint="D9"/>
        </w:rPr>
        <w:t xml:space="preserve">: Lead Safe Housing Rules </w:t>
      </w:r>
      <w:r w:rsidR="00731ABA" w:rsidRPr="00DA098E">
        <w:rPr>
          <w:rFonts w:cs="Times New Roman"/>
          <w:color w:val="262626" w:themeColor="text1" w:themeTint="D9"/>
        </w:rPr>
        <w:t>for additional instructions</w:t>
      </w:r>
      <w:r w:rsidRPr="00731ABA">
        <w:rPr>
          <w:rFonts w:cs="Times New Roman"/>
        </w:rPr>
        <w:t>. Project Sponsors use the following criteria to determine if a property can be approved or is deficient:</w:t>
      </w:r>
    </w:p>
    <w:p w14:paraId="367D8C69" w14:textId="68A87DB7" w:rsidR="00D20787" w:rsidRPr="008026D4" w:rsidRDefault="00731ABA" w:rsidP="00ED208F">
      <w:pPr>
        <w:pStyle w:val="NoSpacing"/>
        <w:numPr>
          <w:ilvl w:val="2"/>
          <w:numId w:val="35"/>
        </w:numPr>
        <w:rPr>
          <w:rFonts w:cs="Times New Roman"/>
        </w:rPr>
      </w:pPr>
      <w:r>
        <w:rPr>
          <w:rFonts w:cs="Times New Roman"/>
        </w:rPr>
        <w:t>What y</w:t>
      </w:r>
      <w:r w:rsidR="00D20787">
        <w:rPr>
          <w:rFonts w:cs="Times New Roman"/>
        </w:rPr>
        <w:t>ear</w:t>
      </w:r>
      <w:r w:rsidR="00D20787" w:rsidRPr="008026D4">
        <w:rPr>
          <w:rFonts w:cs="Times New Roman"/>
        </w:rPr>
        <w:t xml:space="preserve"> </w:t>
      </w:r>
      <w:r>
        <w:rPr>
          <w:rFonts w:cs="Times New Roman"/>
        </w:rPr>
        <w:t xml:space="preserve">was </w:t>
      </w:r>
      <w:r w:rsidR="00D20787" w:rsidRPr="008026D4">
        <w:rPr>
          <w:rFonts w:cs="Times New Roman"/>
        </w:rPr>
        <w:t xml:space="preserve">the </w:t>
      </w:r>
      <w:r>
        <w:rPr>
          <w:rFonts w:cs="Times New Roman"/>
        </w:rPr>
        <w:t>housing</w:t>
      </w:r>
      <w:r w:rsidRPr="008026D4">
        <w:rPr>
          <w:rFonts w:cs="Times New Roman"/>
        </w:rPr>
        <w:t xml:space="preserve"> </w:t>
      </w:r>
      <w:r w:rsidR="00D20787" w:rsidRPr="008026D4">
        <w:rPr>
          <w:rFonts w:cs="Times New Roman"/>
        </w:rPr>
        <w:t xml:space="preserve">built or </w:t>
      </w:r>
      <w:r>
        <w:rPr>
          <w:rFonts w:cs="Times New Roman"/>
        </w:rPr>
        <w:t xml:space="preserve">most recently </w:t>
      </w:r>
      <w:r w:rsidR="00D20787" w:rsidRPr="008026D4">
        <w:rPr>
          <w:rFonts w:cs="Times New Roman"/>
        </w:rPr>
        <w:t>rehabilitated</w:t>
      </w:r>
      <w:r>
        <w:rPr>
          <w:rFonts w:cs="Times New Roman"/>
        </w:rPr>
        <w:t>?</w:t>
      </w:r>
    </w:p>
    <w:p w14:paraId="155A2A11" w14:textId="215F261C" w:rsidR="00731ABA" w:rsidRPr="00731ABA" w:rsidRDefault="00731ABA" w:rsidP="00731ABA">
      <w:pPr>
        <w:pStyle w:val="NoSpacing"/>
        <w:numPr>
          <w:ilvl w:val="2"/>
          <w:numId w:val="35"/>
        </w:numPr>
        <w:rPr>
          <w:rFonts w:cs="Times New Roman"/>
        </w:rPr>
      </w:pPr>
      <w:r w:rsidRPr="00731ABA">
        <w:rPr>
          <w:rFonts w:cs="Times New Roman"/>
        </w:rPr>
        <w:t xml:space="preserve">Will a child under the age of six or </w:t>
      </w:r>
      <w:r w:rsidR="00CD6AAA">
        <w:rPr>
          <w:rFonts w:cs="Times New Roman"/>
        </w:rPr>
        <w:t>pregnant person</w:t>
      </w:r>
      <w:r w:rsidRPr="00731ABA">
        <w:rPr>
          <w:rFonts w:cs="Times New Roman"/>
        </w:rPr>
        <w:t xml:space="preserve"> reside in the housing?</w:t>
      </w:r>
    </w:p>
    <w:p w14:paraId="3F0C7ECE" w14:textId="77777777" w:rsidR="00731ABA" w:rsidRPr="00731ABA" w:rsidRDefault="00731ABA" w:rsidP="00731ABA">
      <w:pPr>
        <w:pStyle w:val="NoSpacing"/>
        <w:numPr>
          <w:ilvl w:val="2"/>
          <w:numId w:val="35"/>
        </w:numPr>
        <w:rPr>
          <w:rFonts w:cs="Times New Roman"/>
        </w:rPr>
      </w:pPr>
      <w:r w:rsidRPr="00731ABA">
        <w:rPr>
          <w:rFonts w:cs="Times New Roman"/>
        </w:rPr>
        <w:t>Is the household the resident owner of the housing?</w:t>
      </w:r>
    </w:p>
    <w:p w14:paraId="5D697A41" w14:textId="77777777" w:rsidR="00731ABA" w:rsidRPr="00731ABA" w:rsidRDefault="00731ABA" w:rsidP="00731ABA">
      <w:pPr>
        <w:pStyle w:val="NoSpacing"/>
        <w:numPr>
          <w:ilvl w:val="2"/>
          <w:numId w:val="35"/>
        </w:numPr>
        <w:rPr>
          <w:rFonts w:cs="Times New Roman"/>
        </w:rPr>
      </w:pPr>
      <w:r w:rsidRPr="00731ABA">
        <w:rPr>
          <w:rFonts w:cs="Times New Roman"/>
        </w:rPr>
        <w:lastRenderedPageBreak/>
        <w:t>Will the household lease or sublease the housing from an owner?</w:t>
      </w:r>
    </w:p>
    <w:p w14:paraId="77B9B2C1" w14:textId="55F2C10F" w:rsidR="00731ABA" w:rsidRPr="008026D4" w:rsidRDefault="00731ABA" w:rsidP="00731ABA">
      <w:pPr>
        <w:pStyle w:val="NoSpacing"/>
        <w:numPr>
          <w:ilvl w:val="2"/>
          <w:numId w:val="35"/>
        </w:numPr>
        <w:rPr>
          <w:rFonts w:cs="Times New Roman"/>
        </w:rPr>
      </w:pPr>
      <w:r w:rsidRPr="00731ABA">
        <w:rPr>
          <w:rFonts w:cs="Times New Roman"/>
        </w:rPr>
        <w:t xml:space="preserve">Is the housing assistance expected to continue for more than 100 </w:t>
      </w:r>
      <w:r w:rsidR="00BD1C97">
        <w:rPr>
          <w:rFonts w:cs="Times New Roman"/>
        </w:rPr>
        <w:t>cumulative</w:t>
      </w:r>
      <w:r w:rsidR="00BD1C97" w:rsidRPr="00731ABA">
        <w:rPr>
          <w:rFonts w:cs="Times New Roman"/>
        </w:rPr>
        <w:t xml:space="preserve"> </w:t>
      </w:r>
      <w:r w:rsidRPr="00731ABA">
        <w:rPr>
          <w:rFonts w:cs="Times New Roman"/>
        </w:rPr>
        <w:t>days?</w:t>
      </w:r>
    </w:p>
    <w:p w14:paraId="06A8F010" w14:textId="77777777" w:rsidR="00DA49EC" w:rsidRDefault="00DA49EC" w:rsidP="00ED208F">
      <w:pPr>
        <w:pStyle w:val="NoSpacing"/>
        <w:ind w:left="720"/>
        <w:rPr>
          <w:rFonts w:cs="Times New Roman"/>
        </w:rPr>
      </w:pPr>
    </w:p>
    <w:p w14:paraId="42A282D9" w14:textId="4B2DA254" w:rsidR="00D20787" w:rsidRDefault="00D20787" w:rsidP="00ED208F">
      <w:pPr>
        <w:pStyle w:val="NoSpacing"/>
        <w:ind w:left="720"/>
        <w:rPr>
          <w:rFonts w:cs="Times New Roman"/>
        </w:rPr>
      </w:pPr>
      <w:r w:rsidRPr="008026D4">
        <w:rPr>
          <w:rFonts w:cs="Times New Roman"/>
        </w:rPr>
        <w:t xml:space="preserve">If the </w:t>
      </w:r>
      <w:r w:rsidR="004A2EA8">
        <w:rPr>
          <w:rFonts w:cs="Times New Roman"/>
        </w:rPr>
        <w:t>housing</w:t>
      </w:r>
      <w:r w:rsidR="004A2EA8" w:rsidRPr="008026D4">
        <w:rPr>
          <w:rFonts w:cs="Times New Roman"/>
        </w:rPr>
        <w:t xml:space="preserve"> </w:t>
      </w:r>
      <w:r w:rsidRPr="008026D4">
        <w:rPr>
          <w:rFonts w:cs="Times New Roman"/>
        </w:rPr>
        <w:t xml:space="preserve">was built </w:t>
      </w:r>
      <w:r>
        <w:rPr>
          <w:rFonts w:cs="Times New Roman"/>
        </w:rPr>
        <w:t xml:space="preserve">or </w:t>
      </w:r>
      <w:r w:rsidR="004A2EA8">
        <w:rPr>
          <w:rFonts w:cs="Times New Roman"/>
        </w:rPr>
        <w:t xml:space="preserve">most recently </w:t>
      </w:r>
      <w:r>
        <w:rPr>
          <w:rFonts w:cs="Times New Roman"/>
        </w:rPr>
        <w:t xml:space="preserve">rehabilitated </w:t>
      </w:r>
      <w:r w:rsidRPr="008026D4">
        <w:rPr>
          <w:rFonts w:cs="Times New Roman"/>
        </w:rPr>
        <w:t xml:space="preserve">before 1978, </w:t>
      </w:r>
      <w:r w:rsidR="004A2EA8" w:rsidRPr="004A2EA8">
        <w:rPr>
          <w:rFonts w:cs="Times New Roman"/>
        </w:rPr>
        <w:t xml:space="preserve">the household </w:t>
      </w:r>
      <w:r w:rsidR="004A2EA8">
        <w:rPr>
          <w:rFonts w:cs="Times New Roman"/>
        </w:rPr>
        <w:t xml:space="preserve">is </w:t>
      </w:r>
      <w:r w:rsidR="004A2EA8" w:rsidRPr="004A2EA8">
        <w:rPr>
          <w:rFonts w:cs="Times New Roman"/>
        </w:rPr>
        <w:t>the resident owner of the housing</w:t>
      </w:r>
      <w:r w:rsidR="004A2EA8">
        <w:rPr>
          <w:rFonts w:cs="Times New Roman"/>
        </w:rPr>
        <w:t>, and</w:t>
      </w:r>
      <w:r w:rsidR="004A2EA8" w:rsidRPr="004A2EA8">
        <w:t xml:space="preserve"> </w:t>
      </w:r>
      <w:r w:rsidR="004A2EA8" w:rsidRPr="004A2EA8">
        <w:rPr>
          <w:rFonts w:cs="Times New Roman"/>
        </w:rPr>
        <w:t xml:space="preserve">the housing assistance </w:t>
      </w:r>
      <w:r w:rsidR="004A2EA8">
        <w:rPr>
          <w:rFonts w:cs="Times New Roman"/>
        </w:rPr>
        <w:t xml:space="preserve">is </w:t>
      </w:r>
      <w:r w:rsidR="004A2EA8" w:rsidRPr="004A2EA8">
        <w:rPr>
          <w:rFonts w:cs="Times New Roman"/>
        </w:rPr>
        <w:t xml:space="preserve">expected to continue for more than 100 </w:t>
      </w:r>
      <w:r w:rsidR="00BD1C97">
        <w:rPr>
          <w:rFonts w:cs="Times New Roman"/>
        </w:rPr>
        <w:t>cumulative</w:t>
      </w:r>
      <w:r w:rsidR="00BD1C97" w:rsidRPr="004A2EA8">
        <w:rPr>
          <w:rFonts w:cs="Times New Roman"/>
        </w:rPr>
        <w:t xml:space="preserve"> </w:t>
      </w:r>
      <w:r w:rsidR="004A2EA8" w:rsidRPr="004A2EA8">
        <w:rPr>
          <w:rFonts w:cs="Times New Roman"/>
        </w:rPr>
        <w:t>days</w:t>
      </w:r>
      <w:r w:rsidR="004A2EA8">
        <w:rPr>
          <w:rFonts w:cs="Times New Roman"/>
        </w:rPr>
        <w:t xml:space="preserve">, then the </w:t>
      </w:r>
      <w:r w:rsidR="004A2EA8" w:rsidRPr="008026D4">
        <w:rPr>
          <w:rFonts w:cs="Times New Roman"/>
        </w:rPr>
        <w:t xml:space="preserve">Project Sponsor must provide a </w:t>
      </w:r>
      <w:hyperlink r:id="rId54" w:history="1">
        <w:r w:rsidR="004A2EA8" w:rsidRPr="008026D4">
          <w:rPr>
            <w:rStyle w:val="Hyperlink"/>
            <w:rFonts w:cs="Times New Roman"/>
          </w:rPr>
          <w:t>“Protect Your Family from Lead in Your Home”</w:t>
        </w:r>
      </w:hyperlink>
      <w:r w:rsidR="004A2EA8" w:rsidRPr="008026D4">
        <w:rPr>
          <w:rFonts w:cs="Times New Roman"/>
        </w:rPr>
        <w:t xml:space="preserve"> pamphlet</w:t>
      </w:r>
      <w:r w:rsidR="004A2EA8">
        <w:rPr>
          <w:rFonts w:cs="Times New Roman"/>
        </w:rPr>
        <w:t xml:space="preserve"> to the household. I</w:t>
      </w:r>
      <w:r w:rsidR="004A2EA8" w:rsidRPr="004A2EA8">
        <w:rPr>
          <w:rFonts w:cs="Times New Roman"/>
        </w:rPr>
        <w:t>f the housing was built or most recently rehabilitated before 1978</w:t>
      </w:r>
      <w:r w:rsidR="004A2EA8">
        <w:rPr>
          <w:rFonts w:cs="Times New Roman"/>
        </w:rPr>
        <w:t xml:space="preserve">, </w:t>
      </w:r>
      <w:r w:rsidR="004A2EA8" w:rsidRPr="004A2EA8">
        <w:rPr>
          <w:rFonts w:cs="Times New Roman"/>
        </w:rPr>
        <w:t>the household</w:t>
      </w:r>
      <w:r w:rsidR="004A2EA8">
        <w:rPr>
          <w:rFonts w:cs="Times New Roman"/>
        </w:rPr>
        <w:t xml:space="preserve"> will</w:t>
      </w:r>
      <w:r w:rsidR="004A2EA8" w:rsidRPr="004A2EA8">
        <w:rPr>
          <w:rFonts w:cs="Times New Roman"/>
        </w:rPr>
        <w:t xml:space="preserve"> lease or sublease the housing from an owner</w:t>
      </w:r>
      <w:r w:rsidR="004A2EA8">
        <w:rPr>
          <w:rFonts w:cs="Times New Roman"/>
        </w:rPr>
        <w:t xml:space="preserve">, and </w:t>
      </w:r>
      <w:r w:rsidR="004A2EA8" w:rsidRPr="004A2EA8">
        <w:rPr>
          <w:rFonts w:cs="Times New Roman"/>
        </w:rPr>
        <w:t xml:space="preserve">the housing assistance is expected to continue for more than 100 </w:t>
      </w:r>
      <w:r w:rsidR="00BD1C97">
        <w:rPr>
          <w:rFonts w:cs="Times New Roman"/>
        </w:rPr>
        <w:t>cumulative</w:t>
      </w:r>
      <w:r w:rsidR="00BD1C97" w:rsidRPr="004A2EA8">
        <w:rPr>
          <w:rFonts w:cs="Times New Roman"/>
        </w:rPr>
        <w:t xml:space="preserve"> </w:t>
      </w:r>
      <w:r w:rsidR="004A2EA8" w:rsidRPr="004A2EA8">
        <w:rPr>
          <w:rFonts w:cs="Times New Roman"/>
        </w:rPr>
        <w:t xml:space="preserve">days, </w:t>
      </w:r>
      <w:r w:rsidR="004A2EA8" w:rsidRPr="00DA098E">
        <w:rPr>
          <w:rFonts w:cs="Times New Roman"/>
        </w:rPr>
        <w:t xml:space="preserve">then </w:t>
      </w:r>
      <w:r w:rsidR="004A2EA8">
        <w:rPr>
          <w:rFonts w:cs="Times New Roman"/>
        </w:rPr>
        <w:t xml:space="preserve">the </w:t>
      </w:r>
      <w:r w:rsidR="004A2EA8" w:rsidRPr="00DA098E">
        <w:rPr>
          <w:rFonts w:cs="Times New Roman"/>
        </w:rPr>
        <w:t>lessor and lessee must complete and attach the “Disclosure of Information on Lead-Based Paint and/or Lead-Based Paint Hazards” (</w:t>
      </w:r>
      <w:hyperlink r:id="rId55" w:history="1">
        <w:r w:rsidR="004A2EA8" w:rsidRPr="00DA098E">
          <w:rPr>
            <w:rStyle w:val="Hyperlink"/>
            <w:rFonts w:cs="Times New Roman"/>
          </w:rPr>
          <w:t>English</w:t>
        </w:r>
      </w:hyperlink>
      <w:r w:rsidR="004A2EA8" w:rsidRPr="00DA098E">
        <w:rPr>
          <w:rFonts w:cs="Times New Roman"/>
        </w:rPr>
        <w:t xml:space="preserve"> | </w:t>
      </w:r>
      <w:hyperlink r:id="rId56" w:history="1">
        <w:r w:rsidR="004A2EA8" w:rsidRPr="00DA098E">
          <w:rPr>
            <w:rStyle w:val="Hyperlink"/>
            <w:rFonts w:cs="Times New Roman"/>
          </w:rPr>
          <w:t>Spanish</w:t>
        </w:r>
      </w:hyperlink>
      <w:r w:rsidR="004A2EA8" w:rsidRPr="00DA098E">
        <w:rPr>
          <w:rFonts w:cs="Times New Roman"/>
        </w:rPr>
        <w:t>). Note, if the lease agreement already includes a comparable disclosure, then obtain and attach a copy of said disclosure</w:t>
      </w:r>
      <w:r w:rsidR="004A2EA8">
        <w:rPr>
          <w:rFonts w:cs="Times New Roman"/>
        </w:rPr>
        <w:t xml:space="preserve">. </w:t>
      </w:r>
      <w:r w:rsidR="004A2EA8" w:rsidRPr="004A2EA8">
        <w:rPr>
          <w:rFonts w:cs="Times New Roman"/>
        </w:rPr>
        <w:t>If the housing was built or most recently rehabilitated before 1978</w:t>
      </w:r>
      <w:r w:rsidR="008A2DC1">
        <w:rPr>
          <w:rFonts w:cs="Times New Roman"/>
        </w:rPr>
        <w:t xml:space="preserve">, </w:t>
      </w:r>
      <w:r w:rsidR="004A2EA8" w:rsidRPr="004A2EA8">
        <w:rPr>
          <w:rFonts w:cs="Times New Roman"/>
        </w:rPr>
        <w:t xml:space="preserve">a child under the age of six </w:t>
      </w:r>
      <w:r w:rsidR="00D83897">
        <w:rPr>
          <w:rFonts w:cs="Times New Roman"/>
        </w:rPr>
        <w:t xml:space="preserve">or </w:t>
      </w:r>
      <w:r w:rsidR="00CD6AAA">
        <w:rPr>
          <w:rFonts w:cs="Times New Roman"/>
        </w:rPr>
        <w:t>pregnant person</w:t>
      </w:r>
      <w:r w:rsidR="00933F51">
        <w:rPr>
          <w:rFonts w:cs="Times New Roman"/>
        </w:rPr>
        <w:t xml:space="preserve"> will</w:t>
      </w:r>
      <w:r w:rsidR="004A2EA8" w:rsidRPr="004A2EA8">
        <w:rPr>
          <w:rFonts w:cs="Times New Roman"/>
        </w:rPr>
        <w:t xml:space="preserve"> reside in the housing</w:t>
      </w:r>
      <w:r w:rsidR="004A2EA8">
        <w:rPr>
          <w:rFonts w:cs="Times New Roman"/>
        </w:rPr>
        <w:t xml:space="preserve">, </w:t>
      </w:r>
      <w:r w:rsidR="008A2DC1">
        <w:rPr>
          <w:rFonts w:cs="Times New Roman"/>
        </w:rPr>
        <w:t xml:space="preserve">and </w:t>
      </w:r>
      <w:r w:rsidR="008A2DC1" w:rsidRPr="008A2DC1">
        <w:rPr>
          <w:rFonts w:cs="Times New Roman"/>
        </w:rPr>
        <w:t xml:space="preserve">the housing assistance is expected to continue for more than 100 </w:t>
      </w:r>
      <w:r w:rsidR="00BD1C97">
        <w:rPr>
          <w:rFonts w:cs="Times New Roman"/>
        </w:rPr>
        <w:t>cumulative</w:t>
      </w:r>
      <w:r w:rsidR="008A2DC1" w:rsidRPr="008A2DC1">
        <w:rPr>
          <w:rFonts w:cs="Times New Roman"/>
        </w:rPr>
        <w:t xml:space="preserve"> days</w:t>
      </w:r>
      <w:r w:rsidR="008A2DC1">
        <w:rPr>
          <w:rFonts w:cs="Times New Roman"/>
        </w:rPr>
        <w:t xml:space="preserve">, </w:t>
      </w:r>
      <w:r w:rsidR="004A2EA8">
        <w:rPr>
          <w:rFonts w:cs="Times New Roman"/>
        </w:rPr>
        <w:t xml:space="preserve">then the Project </w:t>
      </w:r>
      <w:r w:rsidR="004A2EA8" w:rsidRPr="004A2EA8">
        <w:rPr>
          <w:rFonts w:cs="Times New Roman"/>
        </w:rPr>
        <w:t xml:space="preserve">Sponsor must </w:t>
      </w:r>
      <w:hyperlink r:id="rId57" w:anchor="se24.1.35_1110" w:tooltip="See 24 CFR §35.110 for the definition of visual assessment." w:history="1">
        <w:r w:rsidR="004A2EA8" w:rsidRPr="005B04AA">
          <w:rPr>
            <w:rStyle w:val="Hyperlink"/>
            <w:rFonts w:cs="Times New Roman"/>
          </w:rPr>
          <w:t>visually assess</w:t>
        </w:r>
      </w:hyperlink>
      <w:r w:rsidR="004A2EA8" w:rsidRPr="004A2EA8">
        <w:rPr>
          <w:rFonts w:cs="Times New Roman"/>
        </w:rPr>
        <w:t xml:space="preserve"> the housing </w:t>
      </w:r>
      <w:r w:rsidR="008A2DC1">
        <w:rPr>
          <w:rFonts w:cs="Times New Roman"/>
        </w:rPr>
        <w:t xml:space="preserve">and </w:t>
      </w:r>
      <w:r w:rsidR="008A2DC1" w:rsidRPr="008A2DC1">
        <w:rPr>
          <w:rFonts w:cs="Times New Roman"/>
        </w:rPr>
        <w:t xml:space="preserve">review </w:t>
      </w:r>
      <w:r w:rsidR="008A2DC1">
        <w:rPr>
          <w:rFonts w:cs="Times New Roman"/>
        </w:rPr>
        <w:t xml:space="preserve">the </w:t>
      </w:r>
      <w:r w:rsidR="008A2DC1" w:rsidRPr="008A2DC1">
        <w:rPr>
          <w:rFonts w:cs="Times New Roman"/>
        </w:rPr>
        <w:t xml:space="preserve">applicable lead </w:t>
      </w:r>
      <w:hyperlink r:id="rId58" w:anchor="se24.1.35_1100" w:tooltip="See 24 CFR §35.100(c) for a table of applicable lead hazard reduction requirements." w:history="1">
        <w:r w:rsidR="008A2DC1" w:rsidRPr="00DA098E">
          <w:rPr>
            <w:rStyle w:val="Hyperlink"/>
            <w:rFonts w:cs="Times New Roman"/>
          </w:rPr>
          <w:t>hazard reduction requirements</w:t>
        </w:r>
      </w:hyperlink>
      <w:r w:rsidR="004A2EA8" w:rsidRPr="00DA098E">
        <w:rPr>
          <w:rFonts w:cs="Times New Roman"/>
        </w:rPr>
        <w:t>.</w:t>
      </w:r>
      <w:r w:rsidR="004A2EA8">
        <w:rPr>
          <w:rFonts w:cs="Times New Roman"/>
        </w:rPr>
        <w:t xml:space="preserve"> </w:t>
      </w:r>
      <w:r w:rsidRPr="008026D4">
        <w:rPr>
          <w:rFonts w:cs="Times New Roman"/>
        </w:rPr>
        <w:t>Housing case managers that perform visual assessments must complete the HUD Lead-Based Pa</w:t>
      </w:r>
      <w:r>
        <w:rPr>
          <w:rFonts w:cs="Times New Roman"/>
        </w:rPr>
        <w:t>int Visual Assessment Training (</w:t>
      </w:r>
      <w:r w:rsidRPr="001F348B">
        <w:rPr>
          <w:rFonts w:cs="Times New Roman"/>
        </w:rPr>
        <w:t xml:space="preserve">see </w:t>
      </w:r>
      <w:r w:rsidR="00083D25">
        <w:rPr>
          <w:rFonts w:cs="Times New Roman"/>
        </w:rPr>
        <w:t>Section 2</w:t>
      </w:r>
      <w:r w:rsidR="00DA1EAC">
        <w:rPr>
          <w:rFonts w:cs="Times New Roman"/>
        </w:rPr>
        <w:t>1</w:t>
      </w:r>
      <w:r w:rsidRPr="00843147">
        <w:rPr>
          <w:rFonts w:cs="Times New Roman"/>
        </w:rPr>
        <w:t>. Program Technical Assistance and Trainings</w:t>
      </w:r>
      <w:r>
        <w:t>,</w:t>
      </w:r>
      <w:r w:rsidRPr="001F348B">
        <w:rPr>
          <w:rFonts w:cs="Times New Roman"/>
        </w:rPr>
        <w:t xml:space="preserve"> </w:t>
      </w:r>
      <w:r>
        <w:rPr>
          <w:rFonts w:cs="Times New Roman"/>
        </w:rPr>
        <w:t xml:space="preserve">1. </w:t>
      </w:r>
      <w:r w:rsidRPr="001F348B">
        <w:rPr>
          <w:rFonts w:cs="Times New Roman"/>
        </w:rPr>
        <w:t>AA and Project Sponsor Required Trainings</w:t>
      </w:r>
      <w:r>
        <w:rPr>
          <w:rFonts w:cs="Times New Roman"/>
        </w:rPr>
        <w:t>).</w:t>
      </w:r>
    </w:p>
    <w:p w14:paraId="085A9AA2" w14:textId="5320FCBE" w:rsidR="00685ECD" w:rsidRDefault="00D807BB">
      <w:pPr>
        <w:pStyle w:val="NoSpacing"/>
        <w:ind w:left="720"/>
        <w:rPr>
          <w:rFonts w:cs="Times New Roman"/>
          <w:color w:val="C00000"/>
        </w:rPr>
      </w:pPr>
      <w:r w:rsidRPr="00066B7E">
        <w:rPr>
          <w:rFonts w:cs="Times New Roman"/>
          <w:b/>
          <w:color w:val="C00000"/>
        </w:rPr>
        <w:t>NOTE:</w:t>
      </w:r>
      <w:r w:rsidRPr="00066B7E">
        <w:rPr>
          <w:rFonts w:cs="Times New Roman"/>
          <w:color w:val="C00000"/>
        </w:rPr>
        <w:t xml:space="preserve"> </w:t>
      </w:r>
      <w:r w:rsidRPr="00D807BB">
        <w:rPr>
          <w:rFonts w:cs="Times New Roman"/>
          <w:color w:val="C00000"/>
        </w:rPr>
        <w:t>Project Sponsor</w:t>
      </w:r>
      <w:r w:rsidR="0021601E">
        <w:rPr>
          <w:rFonts w:cs="Times New Roman"/>
          <w:color w:val="C00000"/>
        </w:rPr>
        <w:t xml:space="preserve">s can </w:t>
      </w:r>
      <w:r w:rsidR="005C58C3">
        <w:rPr>
          <w:rFonts w:cs="Times New Roman"/>
          <w:color w:val="C00000"/>
        </w:rPr>
        <w:t>perform a property search on</w:t>
      </w:r>
      <w:r w:rsidR="005C58C3" w:rsidRPr="00D807BB">
        <w:rPr>
          <w:rFonts w:cs="Times New Roman"/>
          <w:color w:val="C00000"/>
        </w:rPr>
        <w:t xml:space="preserve"> </w:t>
      </w:r>
      <w:r w:rsidR="005C58C3">
        <w:rPr>
          <w:rFonts w:cs="Times New Roman"/>
          <w:color w:val="C00000"/>
        </w:rPr>
        <w:t xml:space="preserve">the local county </w:t>
      </w:r>
      <w:r w:rsidR="005C58C3" w:rsidRPr="00D807BB">
        <w:rPr>
          <w:rFonts w:cs="Times New Roman"/>
          <w:color w:val="C00000"/>
        </w:rPr>
        <w:t>appraisal district website</w:t>
      </w:r>
      <w:r w:rsidR="005C58C3">
        <w:rPr>
          <w:rFonts w:cs="Times New Roman"/>
          <w:color w:val="C00000"/>
        </w:rPr>
        <w:t xml:space="preserve"> to </w:t>
      </w:r>
      <w:r w:rsidR="0021601E">
        <w:rPr>
          <w:rFonts w:cs="Times New Roman"/>
          <w:color w:val="C00000"/>
        </w:rPr>
        <w:t>determine the</w:t>
      </w:r>
      <w:r w:rsidR="0021601E" w:rsidRPr="00D807BB">
        <w:rPr>
          <w:rFonts w:cs="Times New Roman"/>
          <w:color w:val="C00000"/>
        </w:rPr>
        <w:t xml:space="preserve"> </w:t>
      </w:r>
      <w:r w:rsidR="0021601E">
        <w:rPr>
          <w:rFonts w:cs="Times New Roman"/>
          <w:color w:val="C00000"/>
        </w:rPr>
        <w:t>year the</w:t>
      </w:r>
      <w:r w:rsidR="0021601E" w:rsidRPr="00972263">
        <w:rPr>
          <w:rFonts w:cs="Times New Roman"/>
          <w:color w:val="C00000"/>
        </w:rPr>
        <w:t xml:space="preserve"> housing</w:t>
      </w:r>
      <w:r w:rsidR="0021601E">
        <w:rPr>
          <w:rFonts w:cs="Times New Roman"/>
          <w:color w:val="C00000"/>
        </w:rPr>
        <w:t xml:space="preserve"> was</w:t>
      </w:r>
      <w:r w:rsidR="0021601E" w:rsidRPr="00972263">
        <w:rPr>
          <w:rFonts w:cs="Times New Roman"/>
          <w:color w:val="C00000"/>
        </w:rPr>
        <w:t xml:space="preserve"> built or most recently rehabilitated</w:t>
      </w:r>
      <w:r w:rsidR="004A2EA8">
        <w:rPr>
          <w:rFonts w:cs="Times New Roman"/>
          <w:color w:val="C00000"/>
        </w:rPr>
        <w:t>.</w:t>
      </w:r>
      <w:r w:rsidR="00BD1C97" w:rsidRPr="00BD1C97">
        <w:t xml:space="preserve"> </w:t>
      </w:r>
      <w:r w:rsidR="00BD1C97" w:rsidRPr="00BD1C97">
        <w:rPr>
          <w:rFonts w:cs="Times New Roman"/>
          <w:color w:val="C00000"/>
        </w:rPr>
        <w:t xml:space="preserve">The 100-day </w:t>
      </w:r>
      <w:r w:rsidR="000A08A7" w:rsidRPr="00BD1C97">
        <w:rPr>
          <w:rFonts w:cs="Times New Roman"/>
          <w:color w:val="C00000"/>
        </w:rPr>
        <w:t>period</w:t>
      </w:r>
      <w:r w:rsidR="00BD1C97" w:rsidRPr="00BD1C97">
        <w:rPr>
          <w:rFonts w:cs="Times New Roman"/>
          <w:color w:val="C00000"/>
        </w:rPr>
        <w:t xml:space="preserve"> </w:t>
      </w:r>
      <w:r w:rsidR="00C57683">
        <w:rPr>
          <w:rFonts w:cs="Times New Roman"/>
          <w:color w:val="C00000"/>
        </w:rPr>
        <w:t xml:space="preserve">is cumulative and </w:t>
      </w:r>
      <w:r w:rsidR="00BD1C97" w:rsidRPr="00BD1C97">
        <w:rPr>
          <w:rFonts w:cs="Times New Roman"/>
          <w:color w:val="C00000"/>
        </w:rPr>
        <w:t>applies to the dwelling unit, not the assisted household.</w:t>
      </w:r>
    </w:p>
    <w:p w14:paraId="327B864E" w14:textId="77777777" w:rsidR="0058084A" w:rsidRPr="002A61C8" w:rsidRDefault="0058084A" w:rsidP="002A61C8">
      <w:pPr>
        <w:pStyle w:val="NoSpacing"/>
        <w:ind w:left="720"/>
      </w:pPr>
    </w:p>
    <w:p w14:paraId="78EFFF1A" w14:textId="46C3FB51" w:rsidR="00BD1C97" w:rsidRPr="00066B7E" w:rsidRDefault="00BD1C97" w:rsidP="004F1682">
      <w:pPr>
        <w:pStyle w:val="NoSpacing"/>
        <w:ind w:left="720"/>
        <w:rPr>
          <w:sz w:val="2"/>
        </w:rPr>
      </w:pPr>
    </w:p>
    <w:p w14:paraId="6F82A33C" w14:textId="77777777" w:rsidR="00D20787" w:rsidRPr="00550693" w:rsidRDefault="00D20787" w:rsidP="00ED208F">
      <w:pPr>
        <w:pStyle w:val="NoSpacing"/>
        <w:numPr>
          <w:ilvl w:val="1"/>
          <w:numId w:val="35"/>
        </w:numPr>
        <w:rPr>
          <w:rFonts w:cs="Times New Roman"/>
          <w:b/>
          <w:u w:val="single"/>
        </w:rPr>
      </w:pPr>
      <w:r w:rsidRPr="00550693">
        <w:rPr>
          <w:rFonts w:cs="Times New Roman"/>
          <w:b/>
          <w:u w:val="single"/>
        </w:rPr>
        <w:t>Fire Safety Requirements</w:t>
      </w:r>
    </w:p>
    <w:p w14:paraId="01BD1DED" w14:textId="1A102EE2" w:rsidR="00D20787" w:rsidRDefault="00472AD8" w:rsidP="00ED208F">
      <w:pPr>
        <w:pStyle w:val="NoSpacing"/>
        <w:ind w:left="720"/>
        <w:rPr>
          <w:rFonts w:cs="Times New Roman"/>
        </w:rPr>
      </w:pPr>
      <w:r>
        <w:rPr>
          <w:rFonts w:cs="Times New Roman"/>
        </w:rPr>
        <w:t>T</w:t>
      </w:r>
      <w:r w:rsidR="00D20787" w:rsidRPr="008026D4">
        <w:rPr>
          <w:rFonts w:cs="Times New Roman"/>
        </w:rPr>
        <w:t xml:space="preserve">he </w:t>
      </w:r>
      <w:hyperlink r:id="rId59" w:history="1">
        <w:r w:rsidR="00D20787" w:rsidRPr="006A7D64">
          <w:rPr>
            <w:rStyle w:val="Hyperlink"/>
            <w:rFonts w:cs="Times New Roman"/>
          </w:rPr>
          <w:t>Fire Administration Authorization Act of 1992</w:t>
        </w:r>
      </w:hyperlink>
      <w:r w:rsidR="00D20787" w:rsidRPr="008026D4">
        <w:rPr>
          <w:rFonts w:cs="Times New Roman"/>
        </w:rPr>
        <w:t xml:space="preserve"> require</w:t>
      </w:r>
      <w:r>
        <w:rPr>
          <w:rFonts w:cs="Times New Roman"/>
        </w:rPr>
        <w:t>s</w:t>
      </w:r>
      <w:r w:rsidR="00D20787" w:rsidRPr="008026D4">
        <w:rPr>
          <w:rFonts w:cs="Times New Roman"/>
        </w:rPr>
        <w:t xml:space="preserve"> smoke detector installation. Smoke detectors must be installed in accordance with </w:t>
      </w:r>
      <w:hyperlink r:id="rId60" w:history="1">
        <w:r w:rsidR="00D20787" w:rsidRPr="00ED2B6C">
          <w:rPr>
            <w:rStyle w:val="Hyperlink"/>
            <w:rFonts w:cs="Times New Roman"/>
          </w:rPr>
          <w:t>National Fire Protection Association Standard 7</w:t>
        </w:r>
        <w:r w:rsidR="00DA3093" w:rsidRPr="00ED2B6C">
          <w:rPr>
            <w:rStyle w:val="Hyperlink"/>
            <w:rFonts w:cs="Times New Roman"/>
          </w:rPr>
          <w:t>2</w:t>
        </w:r>
      </w:hyperlink>
      <w:r w:rsidR="00D20787" w:rsidRPr="008026D4">
        <w:rPr>
          <w:rFonts w:cs="Times New Roman"/>
        </w:rPr>
        <w:t xml:space="preserve">, or more stringent local policies as applicable. </w:t>
      </w:r>
      <w:r w:rsidR="00395661" w:rsidRPr="00395661">
        <w:rPr>
          <w:rFonts w:cs="Times New Roman"/>
        </w:rPr>
        <w:t xml:space="preserve">The housing must contain a </w:t>
      </w:r>
      <w:r w:rsidR="00395661" w:rsidRPr="008026D4">
        <w:rPr>
          <w:rFonts w:cs="Times New Roman"/>
        </w:rPr>
        <w:t>single</w:t>
      </w:r>
      <w:r w:rsidR="00395661">
        <w:rPr>
          <w:rFonts w:cs="Times New Roman"/>
        </w:rPr>
        <w:t>-</w:t>
      </w:r>
      <w:r w:rsidR="00395661" w:rsidRPr="008026D4">
        <w:rPr>
          <w:rFonts w:cs="Times New Roman"/>
        </w:rPr>
        <w:t xml:space="preserve"> or multi</w:t>
      </w:r>
      <w:r w:rsidR="00395661">
        <w:rPr>
          <w:rFonts w:cs="Times New Roman"/>
        </w:rPr>
        <w:t>-</w:t>
      </w:r>
      <w:r w:rsidR="00395661" w:rsidRPr="008026D4">
        <w:rPr>
          <w:rFonts w:cs="Times New Roman"/>
        </w:rPr>
        <w:t>station</w:t>
      </w:r>
      <w:r w:rsidR="00395661" w:rsidRPr="00395661">
        <w:rPr>
          <w:rFonts w:cs="Times New Roman"/>
        </w:rPr>
        <w:t xml:space="preserve"> smoke detector; both inside and outside of sleeping areas; and on each </w:t>
      </w:r>
      <w:bookmarkStart w:id="12" w:name="_Hlk122089996"/>
      <w:r w:rsidR="00395661">
        <w:rPr>
          <w:rFonts w:cs="Times New Roman"/>
        </w:rPr>
        <w:t xml:space="preserve">occupiable level </w:t>
      </w:r>
      <w:r w:rsidR="00DD7474">
        <w:rPr>
          <w:rFonts w:cs="Times New Roman"/>
        </w:rPr>
        <w:t xml:space="preserve">(including </w:t>
      </w:r>
      <w:r w:rsidR="009C621C">
        <w:rPr>
          <w:rFonts w:cs="Times New Roman"/>
        </w:rPr>
        <w:t>basements but</w:t>
      </w:r>
      <w:r w:rsidR="00DD7474">
        <w:rPr>
          <w:rFonts w:cs="Times New Roman"/>
        </w:rPr>
        <w:t xml:space="preserve"> excluding attics and crawl spaces)</w:t>
      </w:r>
      <w:r w:rsidR="00395661">
        <w:rPr>
          <w:rFonts w:cs="Times New Roman"/>
        </w:rPr>
        <w:t>.</w:t>
      </w:r>
      <w:bookmarkEnd w:id="12"/>
      <w:r w:rsidR="00395661">
        <w:rPr>
          <w:rFonts w:cs="Times New Roman"/>
        </w:rPr>
        <w:t xml:space="preserve"> Detectors must be interconnected and audible, with accommodations for persons with sensory impairments. Detectors must be</w:t>
      </w:r>
      <w:r w:rsidR="00D20787" w:rsidRPr="008026D4">
        <w:rPr>
          <w:rFonts w:cs="Times New Roman"/>
        </w:rPr>
        <w:t xml:space="preserve"> battery</w:t>
      </w:r>
      <w:r w:rsidR="00DD7474">
        <w:rPr>
          <w:rFonts w:cs="Times New Roman"/>
        </w:rPr>
        <w:t>-</w:t>
      </w:r>
      <w:r w:rsidR="00D20787" w:rsidRPr="008026D4">
        <w:rPr>
          <w:rFonts w:cs="Times New Roman"/>
        </w:rPr>
        <w:t>operated or hardwired</w:t>
      </w:r>
      <w:r w:rsidR="00395661">
        <w:rPr>
          <w:rFonts w:cs="Times New Roman"/>
        </w:rPr>
        <w:t xml:space="preserve"> with battery backup.</w:t>
      </w:r>
      <w:r w:rsidR="00D20787" w:rsidRPr="008026D4">
        <w:rPr>
          <w:rFonts w:cs="Times New Roman"/>
        </w:rPr>
        <w:t xml:space="preserve"> </w:t>
      </w:r>
      <w:r w:rsidR="000F567E">
        <w:rPr>
          <w:rFonts w:cs="Times New Roman"/>
        </w:rPr>
        <w:t>O</w:t>
      </w:r>
      <w:r w:rsidR="000F567E" w:rsidRPr="000F567E">
        <w:rPr>
          <w:rFonts w:cs="Times New Roman"/>
        </w:rPr>
        <w:t xml:space="preserve">wners </w:t>
      </w:r>
      <w:r w:rsidR="00FC3581">
        <w:rPr>
          <w:rFonts w:cs="Times New Roman"/>
        </w:rPr>
        <w:t>must</w:t>
      </w:r>
      <w:r w:rsidR="000F567E" w:rsidRPr="000F567E">
        <w:rPr>
          <w:rFonts w:cs="Times New Roman"/>
        </w:rPr>
        <w:t xml:space="preserve"> provi</w:t>
      </w:r>
      <w:r w:rsidR="000F567E">
        <w:rPr>
          <w:rFonts w:cs="Times New Roman"/>
        </w:rPr>
        <w:t>d</w:t>
      </w:r>
      <w:r w:rsidR="00FC3581">
        <w:rPr>
          <w:rFonts w:cs="Times New Roman"/>
        </w:rPr>
        <w:t>e</w:t>
      </w:r>
      <w:r w:rsidR="000F567E">
        <w:rPr>
          <w:rFonts w:cs="Times New Roman"/>
        </w:rPr>
        <w:t xml:space="preserve"> and maintain detectors for renters.</w:t>
      </w:r>
      <w:r w:rsidR="000F567E" w:rsidRPr="000F567E">
        <w:rPr>
          <w:rFonts w:cs="Times New Roman"/>
        </w:rPr>
        <w:t xml:space="preserve"> Project Sponsors may use local fire programs or hardware store donatio</w:t>
      </w:r>
      <w:r w:rsidR="000F567E">
        <w:rPr>
          <w:rFonts w:cs="Times New Roman"/>
        </w:rPr>
        <w:t>ns to provide detectors for</w:t>
      </w:r>
      <w:r w:rsidR="000F567E" w:rsidRPr="000F567E">
        <w:rPr>
          <w:rFonts w:cs="Times New Roman"/>
        </w:rPr>
        <w:t xml:space="preserve"> mortgagers</w:t>
      </w:r>
      <w:r w:rsidR="000F567E">
        <w:rPr>
          <w:rFonts w:cs="Times New Roman"/>
        </w:rPr>
        <w:t>.</w:t>
      </w:r>
    </w:p>
    <w:p w14:paraId="26A8F037" w14:textId="77777777" w:rsidR="00271238" w:rsidRDefault="00271238" w:rsidP="00DE48B8">
      <w:pPr>
        <w:pStyle w:val="NoSpacing"/>
        <w:ind w:left="720"/>
        <w:rPr>
          <w:rFonts w:cs="Times New Roman"/>
          <w:b/>
          <w:u w:val="single"/>
        </w:rPr>
      </w:pPr>
    </w:p>
    <w:p w14:paraId="320519F8" w14:textId="3FA7E27F" w:rsidR="00271238" w:rsidRPr="00550693" w:rsidRDefault="00271238" w:rsidP="00271238">
      <w:pPr>
        <w:pStyle w:val="NoSpacing"/>
        <w:numPr>
          <w:ilvl w:val="1"/>
          <w:numId w:val="35"/>
        </w:numPr>
        <w:rPr>
          <w:rFonts w:cs="Times New Roman"/>
          <w:b/>
          <w:u w:val="single"/>
        </w:rPr>
      </w:pPr>
      <w:r>
        <w:rPr>
          <w:rFonts w:cs="Times New Roman"/>
          <w:b/>
          <w:u w:val="single"/>
        </w:rPr>
        <w:t>Carbon Monoxide Safety</w:t>
      </w:r>
      <w:r w:rsidRPr="00550693">
        <w:rPr>
          <w:rFonts w:cs="Times New Roman"/>
          <w:b/>
          <w:u w:val="single"/>
        </w:rPr>
        <w:t xml:space="preserve"> Requirements</w:t>
      </w:r>
    </w:p>
    <w:p w14:paraId="59AD5ADF" w14:textId="2276C553" w:rsidR="000A2594" w:rsidRDefault="00271238" w:rsidP="00271238">
      <w:pPr>
        <w:pStyle w:val="NoSpacing"/>
        <w:ind w:left="720"/>
        <w:rPr>
          <w:rFonts w:cs="Times New Roman"/>
        </w:rPr>
      </w:pPr>
      <w:r>
        <w:rPr>
          <w:rFonts w:cs="Times New Roman"/>
        </w:rPr>
        <w:t xml:space="preserve">The </w:t>
      </w:r>
      <w:hyperlink r:id="rId61" w:history="1">
        <w:r w:rsidRPr="00271238">
          <w:rPr>
            <w:rStyle w:val="Hyperlink"/>
            <w:rFonts w:cs="Times New Roman"/>
          </w:rPr>
          <w:t xml:space="preserve">Carbon Monoxide Alarms Leading Every Resident </w:t>
        </w:r>
        <w:r>
          <w:rPr>
            <w:rStyle w:val="Hyperlink"/>
            <w:rFonts w:cs="Times New Roman"/>
          </w:rPr>
          <w:t>t</w:t>
        </w:r>
        <w:r w:rsidRPr="00271238">
          <w:rPr>
            <w:rStyle w:val="Hyperlink"/>
            <w:rFonts w:cs="Times New Roman"/>
          </w:rPr>
          <w:t>o Safety Act of 2019</w:t>
        </w:r>
      </w:hyperlink>
      <w:r w:rsidR="00DD7474">
        <w:rPr>
          <w:rFonts w:cs="Times New Roman"/>
        </w:rPr>
        <w:t xml:space="preserve"> </w:t>
      </w:r>
      <w:r>
        <w:rPr>
          <w:rFonts w:cs="Times New Roman"/>
        </w:rPr>
        <w:t>require</w:t>
      </w:r>
      <w:r w:rsidR="00DD7474">
        <w:rPr>
          <w:rFonts w:cs="Times New Roman"/>
        </w:rPr>
        <w:t>s</w:t>
      </w:r>
      <w:r>
        <w:rPr>
          <w:rFonts w:cs="Times New Roman"/>
        </w:rPr>
        <w:t xml:space="preserve"> carbon monoxide detector installation in certain circumstances. </w:t>
      </w:r>
      <w:r w:rsidR="008B3624">
        <w:rPr>
          <w:rFonts w:cs="Times New Roman"/>
        </w:rPr>
        <w:t>Carbon monoxide</w:t>
      </w:r>
      <w:r w:rsidR="008B3624" w:rsidRPr="008B3624">
        <w:rPr>
          <w:rFonts w:cs="Times New Roman"/>
        </w:rPr>
        <w:t xml:space="preserve"> detectors must be installed in accordance with </w:t>
      </w:r>
      <w:r w:rsidRPr="00271238">
        <w:rPr>
          <w:rFonts w:cs="Times New Roman"/>
        </w:rPr>
        <w:t xml:space="preserve">chapters </w:t>
      </w:r>
      <w:hyperlink r:id="rId62" w:anchor="IFC2018P6_Ch09_Sec915" w:history="1">
        <w:r w:rsidRPr="00271238">
          <w:rPr>
            <w:rStyle w:val="Hyperlink"/>
            <w:rFonts w:cs="Times New Roman"/>
          </w:rPr>
          <w:t>9</w:t>
        </w:r>
      </w:hyperlink>
      <w:r w:rsidRPr="00271238">
        <w:rPr>
          <w:rFonts w:cs="Times New Roman"/>
        </w:rPr>
        <w:t xml:space="preserve"> and </w:t>
      </w:r>
      <w:hyperlink r:id="rId63" w:anchor="IFC2018P6_Ch11_Sec1105" w:history="1">
        <w:r w:rsidRPr="00271238">
          <w:rPr>
            <w:rStyle w:val="Hyperlink"/>
            <w:rFonts w:cs="Times New Roman"/>
          </w:rPr>
          <w:t>11</w:t>
        </w:r>
      </w:hyperlink>
      <w:r w:rsidRPr="00271238">
        <w:rPr>
          <w:rFonts w:cs="Times New Roman"/>
        </w:rPr>
        <w:t xml:space="preserve"> of the 2018 publication of the International Fire Code, </w:t>
      </w:r>
      <w:r w:rsidR="008B3624" w:rsidRPr="008B3624">
        <w:rPr>
          <w:rFonts w:cs="Times New Roman"/>
        </w:rPr>
        <w:t>or more stringent local policies as applicable</w:t>
      </w:r>
      <w:r w:rsidR="00DD7474">
        <w:rPr>
          <w:rFonts w:cs="Times New Roman"/>
        </w:rPr>
        <w:t>.</w:t>
      </w:r>
      <w:r w:rsidR="008B3624">
        <w:rPr>
          <w:rFonts w:cs="Times New Roman"/>
        </w:rPr>
        <w:t xml:space="preserve"> </w:t>
      </w:r>
      <w:r w:rsidR="008B3624" w:rsidRPr="008B3624">
        <w:rPr>
          <w:rFonts w:cs="Times New Roman"/>
        </w:rPr>
        <w:t xml:space="preserve">If equipped with </w:t>
      </w:r>
      <w:r w:rsidR="006D456E">
        <w:rPr>
          <w:rFonts w:cs="Times New Roman"/>
        </w:rPr>
        <w:t>combustion</w:t>
      </w:r>
      <w:r w:rsidR="008B3624" w:rsidRPr="008B3624">
        <w:rPr>
          <w:rFonts w:cs="Times New Roman"/>
        </w:rPr>
        <w:t xml:space="preserve"> appliances or an attached garage, the housing must contain a single- or multi-station carbon monoxide detector</w:t>
      </w:r>
      <w:r w:rsidR="00FA442F">
        <w:rPr>
          <w:rFonts w:cs="Times New Roman"/>
        </w:rPr>
        <w:t xml:space="preserve">; </w:t>
      </w:r>
      <w:r w:rsidR="008B3624" w:rsidRPr="008B3624">
        <w:rPr>
          <w:rFonts w:cs="Times New Roman"/>
        </w:rPr>
        <w:t>outside each sleeping area; in</w:t>
      </w:r>
      <w:r w:rsidR="006D456E">
        <w:rPr>
          <w:rFonts w:cs="Times New Roman"/>
        </w:rPr>
        <w:t>side</w:t>
      </w:r>
      <w:r w:rsidR="008B3624" w:rsidRPr="008B3624">
        <w:rPr>
          <w:rFonts w:cs="Times New Roman"/>
        </w:rPr>
        <w:t xml:space="preserve"> sleeping areas with </w:t>
      </w:r>
      <w:r w:rsidR="006D456E">
        <w:rPr>
          <w:rFonts w:cs="Times New Roman"/>
        </w:rPr>
        <w:t>combustion</w:t>
      </w:r>
      <w:r w:rsidR="008B3624" w:rsidRPr="008B3624">
        <w:rPr>
          <w:rFonts w:cs="Times New Roman"/>
        </w:rPr>
        <w:t xml:space="preserve"> appliances; and on each occupiable level (including </w:t>
      </w:r>
      <w:r w:rsidR="009C621C" w:rsidRPr="008B3624">
        <w:rPr>
          <w:rFonts w:cs="Times New Roman"/>
        </w:rPr>
        <w:t>basements but</w:t>
      </w:r>
      <w:r w:rsidR="008B3624" w:rsidRPr="008B3624">
        <w:rPr>
          <w:rFonts w:cs="Times New Roman"/>
        </w:rPr>
        <w:t xml:space="preserve"> excluding attics and crawl spaces).</w:t>
      </w:r>
      <w:r w:rsidR="008B3624">
        <w:rPr>
          <w:rFonts w:cs="Times New Roman"/>
        </w:rPr>
        <w:t xml:space="preserve"> </w:t>
      </w:r>
      <w:r w:rsidR="006D456E">
        <w:rPr>
          <w:rFonts w:cs="Times New Roman"/>
        </w:rPr>
        <w:t>Combustion appliances</w:t>
      </w:r>
      <w:r w:rsidR="00A6013D">
        <w:rPr>
          <w:rFonts w:cs="Times New Roman"/>
        </w:rPr>
        <w:t xml:space="preserve"> </w:t>
      </w:r>
      <w:r w:rsidR="006D456E">
        <w:rPr>
          <w:rFonts w:cs="Times New Roman"/>
        </w:rPr>
        <w:t>burn fuel for heating, cooking, or decorating</w:t>
      </w:r>
      <w:r w:rsidR="008B3624" w:rsidRPr="008B3624">
        <w:rPr>
          <w:rFonts w:cs="Times New Roman"/>
        </w:rPr>
        <w:t xml:space="preserve"> (e.g., </w:t>
      </w:r>
      <w:r w:rsidR="00FA442F">
        <w:rPr>
          <w:rFonts w:cs="Times New Roman"/>
        </w:rPr>
        <w:t>furnace</w:t>
      </w:r>
      <w:r w:rsidR="006D456E">
        <w:rPr>
          <w:rFonts w:cs="Times New Roman"/>
        </w:rPr>
        <w:t xml:space="preserve">, </w:t>
      </w:r>
      <w:r w:rsidR="00FA442F">
        <w:rPr>
          <w:rFonts w:cs="Times New Roman"/>
        </w:rPr>
        <w:t>range</w:t>
      </w:r>
      <w:r w:rsidR="008B3624" w:rsidRPr="008B3624">
        <w:rPr>
          <w:rFonts w:cs="Times New Roman"/>
        </w:rPr>
        <w:t>, fireplace, etc.).</w:t>
      </w:r>
      <w:r w:rsidR="008B3624">
        <w:rPr>
          <w:rFonts w:cs="Times New Roman"/>
        </w:rPr>
        <w:t xml:space="preserve"> </w:t>
      </w:r>
      <w:r w:rsidR="008B3624" w:rsidRPr="008B3624">
        <w:rPr>
          <w:rFonts w:cs="Times New Roman"/>
        </w:rPr>
        <w:t xml:space="preserve">Detectors must be interconnected and audible, with accommodations for persons with sensory impairments. Detectors must be battery-operated or hardwired with battery backup. Owners </w:t>
      </w:r>
      <w:r w:rsidR="00FC3581">
        <w:rPr>
          <w:rFonts w:cs="Times New Roman"/>
        </w:rPr>
        <w:t>must</w:t>
      </w:r>
      <w:r w:rsidR="008B3624" w:rsidRPr="008B3624">
        <w:rPr>
          <w:rFonts w:cs="Times New Roman"/>
        </w:rPr>
        <w:t xml:space="preserve"> provid</w:t>
      </w:r>
      <w:r w:rsidR="00FC3581">
        <w:rPr>
          <w:rFonts w:cs="Times New Roman"/>
        </w:rPr>
        <w:t>e</w:t>
      </w:r>
      <w:r w:rsidR="008B3624" w:rsidRPr="008B3624">
        <w:rPr>
          <w:rFonts w:cs="Times New Roman"/>
        </w:rPr>
        <w:t xml:space="preserve"> and maintain detectors for renters. Project Sponsors may use local fire programs or hardware store donations to provide detectors for mortgagers.</w:t>
      </w:r>
    </w:p>
    <w:p w14:paraId="42B8A2A2" w14:textId="77777777" w:rsidR="00271238" w:rsidRDefault="00271238" w:rsidP="00DE48B8">
      <w:pPr>
        <w:pStyle w:val="NoSpacing"/>
        <w:ind w:left="720"/>
        <w:rPr>
          <w:rFonts w:cs="Times New Roman"/>
          <w:b/>
          <w:u w:val="single"/>
        </w:rPr>
      </w:pPr>
    </w:p>
    <w:p w14:paraId="0DBB4A22" w14:textId="326AB543" w:rsidR="000A2594" w:rsidRPr="00550693" w:rsidRDefault="000A2594" w:rsidP="000A2594">
      <w:pPr>
        <w:pStyle w:val="NoSpacing"/>
        <w:numPr>
          <w:ilvl w:val="1"/>
          <w:numId w:val="35"/>
        </w:numPr>
        <w:rPr>
          <w:rFonts w:cs="Times New Roman"/>
          <w:b/>
          <w:u w:val="single"/>
        </w:rPr>
      </w:pPr>
      <w:r>
        <w:rPr>
          <w:rFonts w:cs="Times New Roman"/>
          <w:b/>
          <w:u w:val="single"/>
        </w:rPr>
        <w:t>Remote and On-Site Inspections</w:t>
      </w:r>
    </w:p>
    <w:p w14:paraId="63510E99" w14:textId="7AFDC3B7" w:rsidR="00495AE2" w:rsidRDefault="000A2594" w:rsidP="00493510">
      <w:pPr>
        <w:pStyle w:val="NoSpacing"/>
        <w:ind w:left="720"/>
        <w:rPr>
          <w:rFonts w:cs="Times New Roman"/>
        </w:rPr>
      </w:pPr>
      <w:r>
        <w:rPr>
          <w:rFonts w:cs="Times New Roman"/>
        </w:rPr>
        <w:t xml:space="preserve">If a Project Sponsor must </w:t>
      </w:r>
      <w:r w:rsidR="003C003E">
        <w:rPr>
          <w:rFonts w:cs="Times New Roman"/>
        </w:rPr>
        <w:t xml:space="preserve">physically </w:t>
      </w:r>
      <w:r>
        <w:rPr>
          <w:rFonts w:cs="Times New Roman"/>
        </w:rPr>
        <w:t xml:space="preserve">inspect a proposed unit for compliance with HQS, </w:t>
      </w:r>
      <w:r w:rsidR="0096670C">
        <w:rPr>
          <w:rFonts w:cs="Times New Roman"/>
        </w:rPr>
        <w:t xml:space="preserve">then </w:t>
      </w:r>
      <w:r w:rsidR="00A72824">
        <w:rPr>
          <w:rFonts w:cs="Times New Roman"/>
        </w:rPr>
        <w:t xml:space="preserve">they may conduct the </w:t>
      </w:r>
      <w:r w:rsidR="00A1301C">
        <w:rPr>
          <w:rFonts w:cs="Times New Roman"/>
        </w:rPr>
        <w:t xml:space="preserve">initial </w:t>
      </w:r>
      <w:r w:rsidR="00A72824">
        <w:rPr>
          <w:rFonts w:cs="Times New Roman"/>
        </w:rPr>
        <w:t>inspection</w:t>
      </w:r>
      <w:r>
        <w:rPr>
          <w:rFonts w:cs="Times New Roman"/>
        </w:rPr>
        <w:t xml:space="preserve"> </w:t>
      </w:r>
      <w:r w:rsidR="00A1301C">
        <w:rPr>
          <w:rFonts w:cs="Times New Roman"/>
        </w:rPr>
        <w:t xml:space="preserve">or annual re-inspection </w:t>
      </w:r>
      <w:r>
        <w:rPr>
          <w:rFonts w:cs="Times New Roman"/>
        </w:rPr>
        <w:t xml:space="preserve">either on-site or remotely. Per </w:t>
      </w:r>
      <w:hyperlink r:id="rId64" w:history="1">
        <w:r w:rsidR="00345A11">
          <w:rPr>
            <w:rStyle w:val="Hyperlink"/>
            <w:rFonts w:cs="Times New Roman"/>
          </w:rPr>
          <w:t>HUD CPD Notice 22-09</w:t>
        </w:r>
      </w:hyperlink>
      <w:r>
        <w:rPr>
          <w:rFonts w:cs="Times New Roman"/>
        </w:rPr>
        <w:t xml:space="preserve">, </w:t>
      </w:r>
      <w:r w:rsidR="003C003E">
        <w:rPr>
          <w:rFonts w:cs="Times New Roman"/>
        </w:rPr>
        <w:t>Project Sponsors</w:t>
      </w:r>
      <w:r w:rsidRPr="000A2594">
        <w:rPr>
          <w:rFonts w:cs="Times New Roman"/>
        </w:rPr>
        <w:t xml:space="preserve"> may satisfy applicable physical inspection requirements through the use of a proxy who conducts a physical inspection on behalf of the </w:t>
      </w:r>
      <w:r w:rsidR="003C003E">
        <w:rPr>
          <w:rFonts w:cs="Times New Roman"/>
        </w:rPr>
        <w:t>Project Sponsor</w:t>
      </w:r>
      <w:r w:rsidRPr="000A2594">
        <w:rPr>
          <w:rFonts w:cs="Times New Roman"/>
        </w:rPr>
        <w:t xml:space="preserve"> with the assistance of technology. </w:t>
      </w:r>
      <w:r w:rsidR="003C003E">
        <w:rPr>
          <w:rFonts w:cs="Times New Roman"/>
        </w:rPr>
        <w:t>T</w:t>
      </w:r>
      <w:r w:rsidRPr="000A2594">
        <w:rPr>
          <w:rFonts w:cs="Times New Roman"/>
        </w:rPr>
        <w:t xml:space="preserve">he proxy can be </w:t>
      </w:r>
      <w:r w:rsidR="003C003E">
        <w:rPr>
          <w:rFonts w:cs="Times New Roman"/>
        </w:rPr>
        <w:t>an owner</w:t>
      </w:r>
      <w:r w:rsidRPr="000A2594">
        <w:rPr>
          <w:rFonts w:cs="Times New Roman"/>
        </w:rPr>
        <w:t xml:space="preserve">, property representative, </w:t>
      </w:r>
      <w:r w:rsidR="0096670C">
        <w:rPr>
          <w:rFonts w:cs="Times New Roman"/>
        </w:rPr>
        <w:t xml:space="preserve">participant </w:t>
      </w:r>
      <w:r w:rsidR="003C003E">
        <w:rPr>
          <w:rFonts w:cs="Times New Roman"/>
        </w:rPr>
        <w:t>household</w:t>
      </w:r>
      <w:r w:rsidR="0096670C">
        <w:rPr>
          <w:rFonts w:cs="Times New Roman"/>
        </w:rPr>
        <w:t xml:space="preserve"> member</w:t>
      </w:r>
      <w:r w:rsidRPr="000A2594">
        <w:rPr>
          <w:rFonts w:cs="Times New Roman"/>
        </w:rPr>
        <w:t>, or any adult associated with the eventual tenancy of the unit</w:t>
      </w:r>
      <w:r w:rsidR="0096670C">
        <w:rPr>
          <w:rFonts w:cs="Times New Roman"/>
        </w:rPr>
        <w:t>.</w:t>
      </w:r>
      <w:r w:rsidR="003C003E">
        <w:rPr>
          <w:rFonts w:cs="Times New Roman"/>
        </w:rPr>
        <w:t xml:space="preserve"> </w:t>
      </w:r>
      <w:r w:rsidR="0096670C">
        <w:rPr>
          <w:rFonts w:cs="Times New Roman"/>
        </w:rPr>
        <w:t xml:space="preserve">Physical inspections via proxy </w:t>
      </w:r>
      <w:r w:rsidRPr="000A2594">
        <w:rPr>
          <w:rFonts w:cs="Times New Roman"/>
        </w:rPr>
        <w:t>using video streaming technology</w:t>
      </w:r>
      <w:r w:rsidR="007C38BF">
        <w:rPr>
          <w:rFonts w:cs="Times New Roman"/>
        </w:rPr>
        <w:t xml:space="preserve"> </w:t>
      </w:r>
      <w:r w:rsidRPr="000A2594">
        <w:rPr>
          <w:rFonts w:cs="Times New Roman"/>
        </w:rPr>
        <w:t xml:space="preserve">pursuant to a written agreement </w:t>
      </w:r>
      <w:r w:rsidR="003C003E">
        <w:rPr>
          <w:rFonts w:cs="Times New Roman"/>
        </w:rPr>
        <w:t>maintained in the participant household’s record</w:t>
      </w:r>
      <w:r w:rsidR="007C38BF">
        <w:rPr>
          <w:rFonts w:cs="Times New Roman"/>
        </w:rPr>
        <w:t xml:space="preserve"> </w:t>
      </w:r>
      <w:r w:rsidR="0096670C">
        <w:rPr>
          <w:rFonts w:cs="Times New Roman"/>
        </w:rPr>
        <w:t>will</w:t>
      </w:r>
      <w:r w:rsidRPr="000A2594">
        <w:rPr>
          <w:rFonts w:cs="Times New Roman"/>
        </w:rPr>
        <w:t xml:space="preserve"> satisfy </w:t>
      </w:r>
      <w:r w:rsidR="007C38BF">
        <w:rPr>
          <w:rFonts w:cs="Times New Roman"/>
        </w:rPr>
        <w:t xml:space="preserve">the </w:t>
      </w:r>
      <w:r w:rsidR="0096670C">
        <w:rPr>
          <w:rFonts w:cs="Times New Roman"/>
        </w:rPr>
        <w:t xml:space="preserve">HQS </w:t>
      </w:r>
      <w:r w:rsidRPr="000A2594">
        <w:rPr>
          <w:rFonts w:cs="Times New Roman"/>
        </w:rPr>
        <w:t>physical inspection requirement</w:t>
      </w:r>
      <w:r w:rsidR="003C003E">
        <w:rPr>
          <w:rFonts w:cs="Times New Roman"/>
        </w:rPr>
        <w:t xml:space="preserve">. Project Sponsors </w:t>
      </w:r>
      <w:r w:rsidR="003C003E" w:rsidRPr="003C003E">
        <w:rPr>
          <w:rFonts w:cs="Times New Roman"/>
        </w:rPr>
        <w:t>that incorporate technology in their processes should also ensure the proxy has the equipment necessary to complete the HQS inspection</w:t>
      </w:r>
      <w:r w:rsidR="007C38BF">
        <w:rPr>
          <w:rFonts w:cs="Times New Roman"/>
        </w:rPr>
        <w:t>. For example, the proxy may need</w:t>
      </w:r>
      <w:r w:rsidR="00493510">
        <w:rPr>
          <w:rFonts w:cs="Times New Roman"/>
        </w:rPr>
        <w:t xml:space="preserve"> </w:t>
      </w:r>
      <w:r w:rsidR="00685ECD">
        <w:rPr>
          <w:rFonts w:cs="Times New Roman"/>
        </w:rPr>
        <w:t>the following:</w:t>
      </w:r>
    </w:p>
    <w:p w14:paraId="744A4840" w14:textId="77777777" w:rsidR="00495AE2" w:rsidRDefault="00495AE2">
      <w:pPr>
        <w:rPr>
          <w:rFonts w:cs="Times New Roman"/>
        </w:rPr>
      </w:pPr>
      <w:r>
        <w:rPr>
          <w:rFonts w:cs="Times New Roman"/>
        </w:rPr>
        <w:br w:type="page"/>
      </w:r>
    </w:p>
    <w:p w14:paraId="65CD83E7" w14:textId="68576EB2" w:rsidR="00493510" w:rsidRDefault="00493510" w:rsidP="00493510">
      <w:pPr>
        <w:pStyle w:val="NoSpacing"/>
        <w:numPr>
          <w:ilvl w:val="2"/>
          <w:numId w:val="35"/>
        </w:numPr>
        <w:rPr>
          <w:rFonts w:cs="Times New Roman"/>
        </w:rPr>
      </w:pPr>
      <w:r w:rsidRPr="00493510">
        <w:rPr>
          <w:rFonts w:cs="Times New Roman"/>
        </w:rPr>
        <w:lastRenderedPageBreak/>
        <w:t>Tape measure</w:t>
      </w:r>
      <w:r>
        <w:rPr>
          <w:rFonts w:cs="Times New Roman"/>
        </w:rPr>
        <w:t>;</w:t>
      </w:r>
    </w:p>
    <w:p w14:paraId="7D3E8770" w14:textId="4977D17A" w:rsidR="00493510" w:rsidRDefault="00493510" w:rsidP="00493510">
      <w:pPr>
        <w:pStyle w:val="NoSpacing"/>
        <w:numPr>
          <w:ilvl w:val="2"/>
          <w:numId w:val="35"/>
        </w:numPr>
        <w:rPr>
          <w:rFonts w:cs="Times New Roman"/>
        </w:rPr>
      </w:pPr>
      <w:r w:rsidRPr="00493510">
        <w:rPr>
          <w:rFonts w:cs="Times New Roman"/>
        </w:rPr>
        <w:t>Lighting device, i.e., a flashlight;</w:t>
      </w:r>
    </w:p>
    <w:p w14:paraId="14AC0426" w14:textId="3C109920" w:rsidR="00493510" w:rsidRDefault="00493510" w:rsidP="00493510">
      <w:pPr>
        <w:pStyle w:val="NoSpacing"/>
        <w:numPr>
          <w:ilvl w:val="2"/>
          <w:numId w:val="35"/>
        </w:numPr>
        <w:rPr>
          <w:rFonts w:cs="Times New Roman"/>
        </w:rPr>
      </w:pPr>
      <w:r w:rsidRPr="00493510">
        <w:rPr>
          <w:rFonts w:cs="Times New Roman"/>
        </w:rPr>
        <w:t>Circuit analyzer to test the low-voltage operation of electrical lines;</w:t>
      </w:r>
    </w:p>
    <w:p w14:paraId="63CF39F0" w14:textId="4321DF60" w:rsidR="00493510" w:rsidRDefault="00493510" w:rsidP="00493510">
      <w:pPr>
        <w:pStyle w:val="NoSpacing"/>
        <w:numPr>
          <w:ilvl w:val="2"/>
          <w:numId w:val="35"/>
        </w:numPr>
        <w:rPr>
          <w:rFonts w:cs="Times New Roman"/>
        </w:rPr>
      </w:pPr>
      <w:r w:rsidRPr="00493510">
        <w:rPr>
          <w:rFonts w:cs="Times New Roman"/>
        </w:rPr>
        <w:t>Means to test smoke and carbon monoxide detectors</w:t>
      </w:r>
      <w:r>
        <w:rPr>
          <w:rFonts w:cs="Times New Roman"/>
        </w:rPr>
        <w:t>;</w:t>
      </w:r>
    </w:p>
    <w:p w14:paraId="05834E41" w14:textId="2CFD7727" w:rsidR="00493510" w:rsidRDefault="00493510" w:rsidP="00493510">
      <w:pPr>
        <w:pStyle w:val="NoSpacing"/>
        <w:numPr>
          <w:ilvl w:val="2"/>
          <w:numId w:val="35"/>
        </w:numPr>
        <w:rPr>
          <w:rFonts w:cs="Times New Roman"/>
        </w:rPr>
      </w:pPr>
      <w:r w:rsidRPr="00493510">
        <w:rPr>
          <w:rFonts w:cs="Times New Roman"/>
        </w:rPr>
        <w:t>Temperature device for displaying the internal unit temperature</w:t>
      </w:r>
      <w:r>
        <w:rPr>
          <w:rFonts w:cs="Times New Roman"/>
        </w:rPr>
        <w:t>;</w:t>
      </w:r>
    </w:p>
    <w:p w14:paraId="12D0E54B" w14:textId="0B98C047" w:rsidR="00493510" w:rsidRPr="008026D4" w:rsidRDefault="00493510" w:rsidP="00493510">
      <w:pPr>
        <w:pStyle w:val="NoSpacing"/>
        <w:numPr>
          <w:ilvl w:val="2"/>
          <w:numId w:val="35"/>
        </w:numPr>
        <w:rPr>
          <w:rFonts w:cs="Times New Roman"/>
        </w:rPr>
      </w:pPr>
      <w:r w:rsidRPr="00493510">
        <w:rPr>
          <w:rFonts w:cs="Times New Roman"/>
        </w:rPr>
        <w:t>Smartphone or tablet that is fully charged and with a reliable internet connection</w:t>
      </w:r>
      <w:r>
        <w:rPr>
          <w:rFonts w:cs="Times New Roman"/>
        </w:rPr>
        <w:t>.</w:t>
      </w:r>
    </w:p>
    <w:p w14:paraId="6E91AE02" w14:textId="77777777" w:rsidR="00493510" w:rsidRDefault="00493510" w:rsidP="00493510">
      <w:pPr>
        <w:pStyle w:val="NoSpacing"/>
        <w:ind w:left="720"/>
        <w:rPr>
          <w:rFonts w:cs="Times New Roman"/>
        </w:rPr>
      </w:pPr>
    </w:p>
    <w:p w14:paraId="559B9FD0" w14:textId="13E08E74" w:rsidR="00E505EE" w:rsidRDefault="00E505EE" w:rsidP="00CE11FC">
      <w:pPr>
        <w:pStyle w:val="NoSpacing"/>
        <w:ind w:left="720"/>
      </w:pPr>
      <w:r w:rsidRPr="00E505EE">
        <w:t xml:space="preserve">Regardless of the use of technology to facilitate the HQS inspection, the </w:t>
      </w:r>
      <w:r>
        <w:t>Project Sponsor remains</w:t>
      </w:r>
      <w:r w:rsidRPr="00E505EE">
        <w:t xml:space="preserve"> responsible for </w:t>
      </w:r>
      <w:r w:rsidR="00A1301C">
        <w:t>conducting</w:t>
      </w:r>
      <w:r w:rsidRPr="00E505EE">
        <w:t xml:space="preserve"> the inspection</w:t>
      </w:r>
      <w:r w:rsidR="00A1301C">
        <w:t xml:space="preserve"> </w:t>
      </w:r>
      <w:r w:rsidRPr="00E505EE">
        <w:t xml:space="preserve">and </w:t>
      </w:r>
      <w:r w:rsidR="00A1301C">
        <w:t>determining</w:t>
      </w:r>
      <w:r w:rsidRPr="00E505EE">
        <w:t xml:space="preserve"> whether a condition </w:t>
      </w:r>
      <w:r w:rsidR="00A1301C">
        <w:t>violates</w:t>
      </w:r>
      <w:r w:rsidRPr="00E505EE">
        <w:t xml:space="preserve"> HQS. </w:t>
      </w:r>
      <w:r w:rsidR="00A00900">
        <w:t xml:space="preserve">In certain situations, the application of technology may provide </w:t>
      </w:r>
      <w:r w:rsidRPr="00E505EE">
        <w:t xml:space="preserve">insufficient information or evidence </w:t>
      </w:r>
      <w:r w:rsidR="00A00900">
        <w:t>for the</w:t>
      </w:r>
      <w:r w:rsidRPr="00E505EE">
        <w:t xml:space="preserve"> </w:t>
      </w:r>
      <w:r>
        <w:t>Project Sponsor</w:t>
      </w:r>
      <w:r w:rsidRPr="00E505EE">
        <w:t xml:space="preserve"> </w:t>
      </w:r>
      <w:r w:rsidR="00A00900">
        <w:t xml:space="preserve">to </w:t>
      </w:r>
      <w:r w:rsidRPr="00E505EE">
        <w:t xml:space="preserve">make an appropriate determination. </w:t>
      </w:r>
      <w:r>
        <w:t>Project Sponsors</w:t>
      </w:r>
      <w:r w:rsidRPr="00E505EE">
        <w:t xml:space="preserve"> that incorporate technology into their processes must have policies and procedures in place </w:t>
      </w:r>
      <w:r w:rsidR="00A00900">
        <w:t>to address such</w:t>
      </w:r>
      <w:r w:rsidRPr="00E505EE">
        <w:t xml:space="preserve"> limitations.</w:t>
      </w:r>
    </w:p>
    <w:p w14:paraId="00273B4C" w14:textId="28C5AB78" w:rsidR="0058084A" w:rsidRPr="001E3CC5" w:rsidRDefault="0058084A" w:rsidP="00DE48B8">
      <w:pPr>
        <w:pStyle w:val="NoSpacing"/>
      </w:pPr>
    </w:p>
    <w:p w14:paraId="77A642EC" w14:textId="476F1ADD" w:rsidR="00D20787" w:rsidRPr="008A2696" w:rsidRDefault="00D20787" w:rsidP="00D20787">
      <w:pPr>
        <w:pStyle w:val="Heading1"/>
      </w:pPr>
      <w:bookmarkStart w:id="13" w:name="_Toc140755465"/>
      <w:r w:rsidRPr="008A2696">
        <w:t>Section 1</w:t>
      </w:r>
      <w:r>
        <w:t>1</w:t>
      </w:r>
      <w:r w:rsidRPr="008A2696">
        <w:t>. Linkage with Other Affordable Housing Programs</w:t>
      </w:r>
      <w:bookmarkEnd w:id="13"/>
    </w:p>
    <w:p w14:paraId="40625C6F" w14:textId="3D3B2BBE" w:rsidR="00D20787" w:rsidRPr="00786AC9" w:rsidRDefault="00D20787" w:rsidP="00D20787">
      <w:pPr>
        <w:pStyle w:val="NoSpacing"/>
        <w:numPr>
          <w:ilvl w:val="1"/>
          <w:numId w:val="16"/>
        </w:numPr>
        <w:rPr>
          <w:rFonts w:cs="Times New Roman"/>
          <w:b/>
          <w:u w:val="single"/>
        </w:rPr>
      </w:pPr>
      <w:r w:rsidRPr="00786AC9">
        <w:rPr>
          <w:rFonts w:cs="Times New Roman"/>
          <w:b/>
          <w:u w:val="single"/>
        </w:rPr>
        <w:t xml:space="preserve">Collaboration with the </w:t>
      </w:r>
      <w:r w:rsidR="0021207B">
        <w:rPr>
          <w:rFonts w:cs="Times New Roman"/>
          <w:b/>
          <w:u w:val="single"/>
        </w:rPr>
        <w:t xml:space="preserve">Housing Choice Voucher </w:t>
      </w:r>
      <w:r w:rsidRPr="00786AC9">
        <w:rPr>
          <w:rFonts w:cs="Times New Roman"/>
          <w:b/>
          <w:u w:val="single"/>
        </w:rPr>
        <w:t>Program</w:t>
      </w:r>
      <w:r w:rsidR="004D5CDF">
        <w:rPr>
          <w:rFonts w:cs="Times New Roman"/>
          <w:b/>
          <w:u w:val="single"/>
        </w:rPr>
        <w:t xml:space="preserve"> (HCVP) </w:t>
      </w:r>
      <w:r w:rsidRPr="00786AC9">
        <w:rPr>
          <w:rFonts w:cs="Times New Roman"/>
          <w:b/>
          <w:u w:val="single"/>
        </w:rPr>
        <w:t>and Other Affordable Housing Programs</w:t>
      </w:r>
    </w:p>
    <w:p w14:paraId="1880DC2D" w14:textId="38FDA999" w:rsidR="00D20787" w:rsidRDefault="00D20787" w:rsidP="00D20787">
      <w:pPr>
        <w:pStyle w:val="NoSpacing"/>
        <w:ind w:left="720"/>
        <w:rPr>
          <w:rFonts w:cs="Times New Roman"/>
        </w:rPr>
      </w:pPr>
      <w:r w:rsidRPr="008026D4">
        <w:rPr>
          <w:rFonts w:cs="Times New Roman"/>
        </w:rPr>
        <w:t>Project Sponsors must establish linkages and collaborative relationships with local</w:t>
      </w:r>
      <w:r w:rsidR="004D5CDF" w:rsidRPr="004D5CDF">
        <w:t xml:space="preserve"> </w:t>
      </w:r>
      <w:r w:rsidR="004D5CDF" w:rsidRPr="004D5CDF">
        <w:rPr>
          <w:rFonts w:cs="Times New Roman"/>
        </w:rPr>
        <w:t>Housing Choice Voucher Program</w:t>
      </w:r>
      <w:r w:rsidR="004D5CDF">
        <w:rPr>
          <w:rFonts w:cs="Times New Roman"/>
        </w:rPr>
        <w:t>s</w:t>
      </w:r>
      <w:r w:rsidR="004D5CDF" w:rsidRPr="004D5CDF">
        <w:rPr>
          <w:rFonts w:cs="Times New Roman"/>
        </w:rPr>
        <w:t xml:space="preserve"> </w:t>
      </w:r>
      <w:r w:rsidR="004D5CDF">
        <w:rPr>
          <w:rFonts w:cs="Times New Roman"/>
        </w:rPr>
        <w:t>(</w:t>
      </w:r>
      <w:proofErr w:type="spellStart"/>
      <w:r w:rsidR="00C2594C">
        <w:rPr>
          <w:rFonts w:cs="Times New Roman"/>
        </w:rPr>
        <w:t>HCVPs</w:t>
      </w:r>
      <w:proofErr w:type="spellEnd"/>
      <w:r w:rsidR="004D5CDF">
        <w:rPr>
          <w:rFonts w:cs="Times New Roman"/>
        </w:rPr>
        <w:t>)</w:t>
      </w:r>
      <w:r w:rsidRPr="008026D4">
        <w:rPr>
          <w:rFonts w:cs="Times New Roman"/>
        </w:rPr>
        <w:t xml:space="preserve"> and other affordable housing program</w:t>
      </w:r>
      <w:r w:rsidR="00B40F26">
        <w:rPr>
          <w:rFonts w:cs="Times New Roman"/>
        </w:rPr>
        <w:t>s. These</w:t>
      </w:r>
      <w:r w:rsidRPr="008026D4">
        <w:rPr>
          <w:rFonts w:cs="Times New Roman"/>
        </w:rPr>
        <w:t xml:space="preserve"> programs </w:t>
      </w:r>
      <w:r w:rsidR="00ED008C">
        <w:rPr>
          <w:rFonts w:cs="Times New Roman"/>
        </w:rPr>
        <w:t>can play a crucial role in meeting</w:t>
      </w:r>
      <w:r w:rsidRPr="008026D4">
        <w:rPr>
          <w:rFonts w:cs="Times New Roman"/>
        </w:rPr>
        <w:t xml:space="preserve"> the </w:t>
      </w:r>
      <w:r>
        <w:rPr>
          <w:rFonts w:cs="Times New Roman"/>
        </w:rPr>
        <w:t xml:space="preserve">long-term </w:t>
      </w:r>
      <w:r w:rsidRPr="008026D4">
        <w:rPr>
          <w:rFonts w:cs="Times New Roman"/>
        </w:rPr>
        <w:t>housing needs</w:t>
      </w:r>
      <w:r>
        <w:rPr>
          <w:rFonts w:cs="Times New Roman"/>
        </w:rPr>
        <w:t xml:space="preserve"> of HOPWA-assisted households. </w:t>
      </w:r>
      <w:r w:rsidRPr="008026D4">
        <w:rPr>
          <w:rFonts w:cs="Times New Roman"/>
        </w:rPr>
        <w:t xml:space="preserve">Project Sponsors must document how </w:t>
      </w:r>
      <w:r w:rsidR="00F71342">
        <w:rPr>
          <w:rFonts w:cs="Times New Roman"/>
        </w:rPr>
        <w:t xml:space="preserve">they accomplish </w:t>
      </w:r>
      <w:r w:rsidRPr="008026D4">
        <w:rPr>
          <w:rFonts w:cs="Times New Roman"/>
        </w:rPr>
        <w:t>the</w:t>
      </w:r>
      <w:r w:rsidR="00F71342">
        <w:rPr>
          <w:rFonts w:cs="Times New Roman"/>
        </w:rPr>
        <w:t>se</w:t>
      </w:r>
      <w:r w:rsidRPr="008026D4">
        <w:rPr>
          <w:rFonts w:cs="Times New Roman"/>
        </w:rPr>
        <w:t xml:space="preserve"> linkages and collaborative relationships (e.g., written cooperative agreements, protocols</w:t>
      </w:r>
      <w:r>
        <w:rPr>
          <w:rFonts w:cs="Times New Roman"/>
        </w:rPr>
        <w:t>, correspondence</w:t>
      </w:r>
      <w:r w:rsidRPr="008026D4">
        <w:rPr>
          <w:rFonts w:cs="Times New Roman"/>
        </w:rPr>
        <w:t>, etc.).</w:t>
      </w:r>
      <w:r>
        <w:rPr>
          <w:rFonts w:cs="Times New Roman"/>
        </w:rPr>
        <w:t xml:space="preserve"> </w:t>
      </w:r>
      <w:r w:rsidRPr="007D2EAA">
        <w:rPr>
          <w:rFonts w:cs="Times New Roman"/>
        </w:rPr>
        <w:t>Other long-term housing assistance programs include</w:t>
      </w:r>
      <w:r>
        <w:rPr>
          <w:rFonts w:cs="Times New Roman"/>
        </w:rPr>
        <w:t>, but are not limited to</w:t>
      </w:r>
      <w:r w:rsidRPr="007D2EAA">
        <w:rPr>
          <w:rFonts w:cs="Times New Roman"/>
        </w:rPr>
        <w:t>:</w:t>
      </w:r>
    </w:p>
    <w:p w14:paraId="228B79A0" w14:textId="77777777" w:rsidR="00D20787" w:rsidRPr="0090365C" w:rsidRDefault="00A66919" w:rsidP="00D20787">
      <w:pPr>
        <w:pStyle w:val="NoSpacing"/>
        <w:numPr>
          <w:ilvl w:val="2"/>
          <w:numId w:val="5"/>
        </w:numPr>
        <w:rPr>
          <w:rFonts w:cs="Times New Roman"/>
        </w:rPr>
      </w:pPr>
      <w:hyperlink r:id="rId65" w:history="1">
        <w:r w:rsidR="00D20787" w:rsidRPr="0090365C">
          <w:rPr>
            <w:rStyle w:val="Hyperlink"/>
            <w:rFonts w:cs="Times New Roman"/>
          </w:rPr>
          <w:t>HOPWA Project-Based Housing or Tenant-Based Rental Assistance</w:t>
        </w:r>
      </w:hyperlink>
    </w:p>
    <w:p w14:paraId="5BC5A958" w14:textId="6768EC78" w:rsidR="00D20787" w:rsidRPr="0090365C" w:rsidRDefault="00A66919" w:rsidP="00D20787">
      <w:pPr>
        <w:pStyle w:val="NoSpacing"/>
        <w:numPr>
          <w:ilvl w:val="2"/>
          <w:numId w:val="5"/>
        </w:numPr>
        <w:rPr>
          <w:rFonts w:cs="Times New Roman"/>
        </w:rPr>
      </w:pPr>
      <w:hyperlink r:id="rId66" w:history="1">
        <w:r w:rsidR="005A7294">
          <w:rPr>
            <w:rStyle w:val="Hyperlink"/>
            <w:rFonts w:cs="Times New Roman"/>
          </w:rPr>
          <w:t>Housing Choice Voucher Program</w:t>
        </w:r>
      </w:hyperlink>
    </w:p>
    <w:p w14:paraId="48FE73FA" w14:textId="77777777" w:rsidR="00D20787" w:rsidRPr="0090365C" w:rsidRDefault="00A66919" w:rsidP="00D20787">
      <w:pPr>
        <w:pStyle w:val="NoSpacing"/>
        <w:numPr>
          <w:ilvl w:val="2"/>
          <w:numId w:val="5"/>
        </w:numPr>
        <w:rPr>
          <w:rFonts w:cs="Times New Roman"/>
        </w:rPr>
      </w:pPr>
      <w:hyperlink r:id="rId67" w:history="1">
        <w:r w:rsidR="00D20787" w:rsidRPr="0090365C">
          <w:rPr>
            <w:rStyle w:val="Hyperlink"/>
            <w:rFonts w:cs="Times New Roman"/>
          </w:rPr>
          <w:t>Veterans Affairs Supportive Housing</w:t>
        </w:r>
      </w:hyperlink>
    </w:p>
    <w:p w14:paraId="64B423F2" w14:textId="77777777" w:rsidR="00D20787" w:rsidRPr="0090365C" w:rsidRDefault="00A66919" w:rsidP="00D20787">
      <w:pPr>
        <w:pStyle w:val="NoSpacing"/>
        <w:numPr>
          <w:ilvl w:val="2"/>
          <w:numId w:val="5"/>
        </w:numPr>
        <w:rPr>
          <w:rFonts w:cs="Times New Roman"/>
        </w:rPr>
      </w:pPr>
      <w:hyperlink r:id="rId68" w:history="1">
        <w:r w:rsidR="00D20787" w:rsidRPr="0090365C">
          <w:rPr>
            <w:rStyle w:val="Hyperlink"/>
            <w:rFonts w:cs="Times New Roman"/>
          </w:rPr>
          <w:t>Continuum of Care</w:t>
        </w:r>
      </w:hyperlink>
    </w:p>
    <w:p w14:paraId="6DD3EADB" w14:textId="77777777" w:rsidR="00D20787" w:rsidRPr="0090365C" w:rsidRDefault="00A66919" w:rsidP="00D20787">
      <w:pPr>
        <w:pStyle w:val="NoSpacing"/>
        <w:numPr>
          <w:ilvl w:val="2"/>
          <w:numId w:val="5"/>
        </w:numPr>
        <w:rPr>
          <w:rFonts w:cs="Times New Roman"/>
        </w:rPr>
      </w:pPr>
      <w:hyperlink r:id="rId69" w:history="1">
        <w:r w:rsidR="00D20787" w:rsidRPr="0090365C">
          <w:rPr>
            <w:rStyle w:val="Hyperlink"/>
            <w:rFonts w:cs="Times New Roman"/>
          </w:rPr>
          <w:t>Public Housing</w:t>
        </w:r>
      </w:hyperlink>
    </w:p>
    <w:p w14:paraId="75E5BBA2" w14:textId="77777777" w:rsidR="00D20787" w:rsidRPr="0090365C" w:rsidRDefault="00A66919" w:rsidP="00D20787">
      <w:pPr>
        <w:pStyle w:val="NoSpacing"/>
        <w:numPr>
          <w:ilvl w:val="2"/>
          <w:numId w:val="5"/>
        </w:numPr>
        <w:rPr>
          <w:rFonts w:cs="Times New Roman"/>
        </w:rPr>
      </w:pPr>
      <w:hyperlink r:id="rId70" w:history="1">
        <w:r w:rsidR="00D20787" w:rsidRPr="0090365C">
          <w:rPr>
            <w:rStyle w:val="Hyperlink"/>
            <w:rFonts w:cs="Times New Roman"/>
          </w:rPr>
          <w:t>HOME Investment Partnerships Program</w:t>
        </w:r>
      </w:hyperlink>
    </w:p>
    <w:p w14:paraId="095C1B3C" w14:textId="77777777" w:rsidR="00D20787" w:rsidRPr="0090365C" w:rsidRDefault="00A66919" w:rsidP="00D20787">
      <w:pPr>
        <w:pStyle w:val="NoSpacing"/>
        <w:numPr>
          <w:ilvl w:val="2"/>
          <w:numId w:val="5"/>
        </w:numPr>
        <w:rPr>
          <w:rFonts w:cs="Times New Roman"/>
        </w:rPr>
      </w:pPr>
      <w:hyperlink r:id="rId71" w:history="1">
        <w:r w:rsidR="00D20787" w:rsidRPr="0090365C">
          <w:rPr>
            <w:rStyle w:val="Hyperlink"/>
            <w:rFonts w:cs="Times New Roman"/>
          </w:rPr>
          <w:t>Section 811 Supportive Housing for Persons with Disabilities</w:t>
        </w:r>
      </w:hyperlink>
    </w:p>
    <w:p w14:paraId="2D8D7722" w14:textId="77777777" w:rsidR="00D20787" w:rsidRPr="0090365C" w:rsidRDefault="00A66919" w:rsidP="00D20787">
      <w:pPr>
        <w:pStyle w:val="NoSpacing"/>
        <w:numPr>
          <w:ilvl w:val="2"/>
          <w:numId w:val="5"/>
        </w:numPr>
        <w:rPr>
          <w:rFonts w:cs="Times New Roman"/>
        </w:rPr>
      </w:pPr>
      <w:hyperlink r:id="rId72" w:history="1">
        <w:r w:rsidR="00D20787" w:rsidRPr="0090365C">
          <w:rPr>
            <w:rStyle w:val="Hyperlink"/>
            <w:rFonts w:cs="Times New Roman"/>
          </w:rPr>
          <w:t>Section 202 Supportive Housing for the Elderly</w:t>
        </w:r>
      </w:hyperlink>
    </w:p>
    <w:p w14:paraId="27201EE2" w14:textId="4FF39CAC" w:rsidR="00D20787" w:rsidRPr="0090365C" w:rsidRDefault="00A66919" w:rsidP="00D20787">
      <w:pPr>
        <w:pStyle w:val="NoSpacing"/>
        <w:numPr>
          <w:ilvl w:val="2"/>
          <w:numId w:val="5"/>
        </w:numPr>
        <w:rPr>
          <w:rFonts w:cs="Times New Roman"/>
        </w:rPr>
      </w:pPr>
      <w:hyperlink r:id="rId73" w:history="1">
        <w:r w:rsidR="00A64C0C">
          <w:rPr>
            <w:rStyle w:val="Hyperlink"/>
            <w:rFonts w:cs="Times New Roman"/>
          </w:rPr>
          <w:t>Low-Income Housing Tax Credits</w:t>
        </w:r>
      </w:hyperlink>
    </w:p>
    <w:p w14:paraId="357B343B" w14:textId="3107860B" w:rsidR="00D20787" w:rsidRPr="00B40F26" w:rsidRDefault="00A66919">
      <w:pPr>
        <w:pStyle w:val="NoSpacing"/>
        <w:numPr>
          <w:ilvl w:val="2"/>
          <w:numId w:val="5"/>
        </w:numPr>
        <w:rPr>
          <w:rFonts w:cs="Times New Roman"/>
        </w:rPr>
      </w:pPr>
      <w:hyperlink r:id="rId74" w:history="1">
        <w:r w:rsidR="00D20787" w:rsidRPr="00B40F26">
          <w:rPr>
            <w:rStyle w:val="Hyperlink"/>
            <w:rFonts w:cs="Times New Roman"/>
          </w:rPr>
          <w:t>United States Department of Agriculture Housing Assistance</w:t>
        </w:r>
      </w:hyperlink>
      <w:r w:rsidR="00D20787" w:rsidRPr="00B40F26">
        <w:rPr>
          <w:rFonts w:cs="Times New Roman"/>
        </w:rPr>
        <w:t xml:space="preserve"> </w:t>
      </w:r>
    </w:p>
    <w:p w14:paraId="070B5B9C" w14:textId="77777777" w:rsidR="00BE4BAB" w:rsidRDefault="00BE4BAB" w:rsidP="00ED208F">
      <w:pPr>
        <w:pStyle w:val="NoSpacing"/>
        <w:ind w:left="1080"/>
        <w:rPr>
          <w:rFonts w:cs="Times New Roman"/>
        </w:rPr>
      </w:pPr>
    </w:p>
    <w:p w14:paraId="528F8ED4" w14:textId="77777777" w:rsidR="00D20787" w:rsidRDefault="00D20787" w:rsidP="00D20787">
      <w:pPr>
        <w:pStyle w:val="NoSpacing"/>
        <w:numPr>
          <w:ilvl w:val="1"/>
          <w:numId w:val="5"/>
        </w:numPr>
        <w:rPr>
          <w:rFonts w:cs="Times New Roman"/>
          <w:b/>
          <w:u w:val="single"/>
        </w:rPr>
      </w:pPr>
      <w:r>
        <w:rPr>
          <w:rFonts w:cs="Times New Roman"/>
          <w:b/>
          <w:u w:val="single"/>
        </w:rPr>
        <w:t>TBRA and TSH Requirements</w:t>
      </w:r>
    </w:p>
    <w:p w14:paraId="68673B39" w14:textId="3F44A01E" w:rsidR="00D20787" w:rsidRPr="00DE362E" w:rsidRDefault="00D20787" w:rsidP="00D20787">
      <w:pPr>
        <w:pStyle w:val="NoSpacing"/>
        <w:numPr>
          <w:ilvl w:val="2"/>
          <w:numId w:val="5"/>
        </w:numPr>
        <w:rPr>
          <w:rFonts w:cs="Times New Roman"/>
          <w:b/>
        </w:rPr>
      </w:pPr>
      <w:r w:rsidRPr="00DE362E">
        <w:rPr>
          <w:rFonts w:cs="Times New Roman"/>
          <w:b/>
        </w:rPr>
        <w:t xml:space="preserve">Applying for the </w:t>
      </w:r>
      <w:r w:rsidR="00C2594C">
        <w:rPr>
          <w:rFonts w:cs="Times New Roman"/>
          <w:b/>
        </w:rPr>
        <w:t>HCVP</w:t>
      </w:r>
      <w:r w:rsidRPr="00DE362E">
        <w:rPr>
          <w:rFonts w:cs="Times New Roman"/>
          <w:b/>
        </w:rPr>
        <w:t xml:space="preserve"> and Other Affordable Housing Programs and Tracking Applications</w:t>
      </w:r>
    </w:p>
    <w:p w14:paraId="5B57DC3D" w14:textId="3CC3C299" w:rsidR="00D20787" w:rsidRDefault="00D20787" w:rsidP="00D20787">
      <w:pPr>
        <w:pStyle w:val="NoSpacing"/>
        <w:ind w:left="1440"/>
        <w:rPr>
          <w:rFonts w:cs="Times New Roman"/>
        </w:rPr>
      </w:pPr>
      <w:r w:rsidRPr="00DE362E">
        <w:rPr>
          <w:rFonts w:cs="Times New Roman"/>
        </w:rPr>
        <w:t xml:space="preserve">Project Sponsors must develop a local program policy that requires households receiving TBRA </w:t>
      </w:r>
      <w:r>
        <w:rPr>
          <w:rFonts w:cs="Times New Roman"/>
        </w:rPr>
        <w:t xml:space="preserve">or TSH </w:t>
      </w:r>
      <w:r w:rsidRPr="00DE362E">
        <w:rPr>
          <w:rFonts w:cs="Times New Roman"/>
        </w:rPr>
        <w:t xml:space="preserve">services to apply for the </w:t>
      </w:r>
      <w:r w:rsidR="00C2594C">
        <w:rPr>
          <w:rFonts w:cs="Times New Roman"/>
        </w:rPr>
        <w:t>HCVP</w:t>
      </w:r>
      <w:r w:rsidRPr="00DE362E">
        <w:rPr>
          <w:rFonts w:cs="Times New Roman"/>
        </w:rPr>
        <w:t xml:space="preserve"> and other affordable housing programs, renew applications as required, and accept assistance as offered. Additionally, Project Sponsors must develop an application tracking system. For example, a Project Sponsor could maintain a spreadsheet that includes an assisted household’s HCV</w:t>
      </w:r>
      <w:r w:rsidR="00C2594C">
        <w:rPr>
          <w:rFonts w:cs="Times New Roman"/>
        </w:rPr>
        <w:t>P</w:t>
      </w:r>
      <w:r w:rsidRPr="00DE362E">
        <w:rPr>
          <w:rFonts w:cs="Times New Roman"/>
        </w:rPr>
        <w:t xml:space="preserve"> or other affordable housing program waitlist number with periodic check-in dates.</w:t>
      </w:r>
    </w:p>
    <w:p w14:paraId="59C62578" w14:textId="77777777" w:rsidR="00BE4BAB" w:rsidRPr="00DE362E" w:rsidRDefault="00BE4BAB" w:rsidP="00D20787">
      <w:pPr>
        <w:pStyle w:val="NoSpacing"/>
        <w:ind w:left="1440"/>
        <w:rPr>
          <w:rFonts w:cs="Times New Roman"/>
        </w:rPr>
      </w:pPr>
    </w:p>
    <w:p w14:paraId="54A8E487" w14:textId="47DE574B" w:rsidR="00D20787" w:rsidRPr="00DE362E" w:rsidRDefault="00D20787" w:rsidP="00D20787">
      <w:pPr>
        <w:pStyle w:val="NoSpacing"/>
        <w:numPr>
          <w:ilvl w:val="2"/>
          <w:numId w:val="5"/>
        </w:numPr>
        <w:rPr>
          <w:rFonts w:cs="Times New Roman"/>
          <w:b/>
        </w:rPr>
      </w:pPr>
      <w:r w:rsidRPr="00DE362E">
        <w:rPr>
          <w:rFonts w:cs="Times New Roman"/>
          <w:b/>
        </w:rPr>
        <w:t xml:space="preserve">Households that Fail to Accept </w:t>
      </w:r>
      <w:r w:rsidR="00C2594C">
        <w:rPr>
          <w:rFonts w:cs="Times New Roman"/>
          <w:b/>
        </w:rPr>
        <w:t xml:space="preserve">Assistance from </w:t>
      </w:r>
      <w:r w:rsidRPr="00DE362E">
        <w:rPr>
          <w:rFonts w:cs="Times New Roman"/>
          <w:b/>
        </w:rPr>
        <w:t>the HCV</w:t>
      </w:r>
      <w:r w:rsidR="00C2594C">
        <w:rPr>
          <w:rFonts w:cs="Times New Roman"/>
          <w:b/>
        </w:rPr>
        <w:t>P</w:t>
      </w:r>
      <w:r w:rsidRPr="00DE362E">
        <w:rPr>
          <w:rFonts w:cs="Times New Roman"/>
          <w:b/>
        </w:rPr>
        <w:t xml:space="preserve"> or Other Affordable Housing</w:t>
      </w:r>
      <w:r w:rsidR="00C2594C">
        <w:rPr>
          <w:rFonts w:cs="Times New Roman"/>
          <w:b/>
        </w:rPr>
        <w:t xml:space="preserve"> Programs</w:t>
      </w:r>
    </w:p>
    <w:p w14:paraId="6E53FD1C" w14:textId="05CE1B50" w:rsidR="00D20787" w:rsidRPr="00DE362E" w:rsidRDefault="00D20787" w:rsidP="00D20787">
      <w:pPr>
        <w:pStyle w:val="NoSpacing"/>
        <w:ind w:left="1440"/>
        <w:rPr>
          <w:rFonts w:cs="Times New Roman"/>
        </w:rPr>
      </w:pPr>
      <w:r w:rsidRPr="00DE362E">
        <w:rPr>
          <w:rFonts w:cs="Times New Roman"/>
        </w:rPr>
        <w:t xml:space="preserve">Local program policies must state that </w:t>
      </w:r>
      <w:r w:rsidR="00757C58">
        <w:rPr>
          <w:rFonts w:cs="Times New Roman"/>
        </w:rPr>
        <w:t xml:space="preserve">Project Sponsors may terminate </w:t>
      </w:r>
      <w:r w:rsidRPr="00DE362E">
        <w:rPr>
          <w:rFonts w:cs="Times New Roman"/>
        </w:rPr>
        <w:t>TBRA</w:t>
      </w:r>
      <w:r>
        <w:rPr>
          <w:rFonts w:cs="Times New Roman"/>
        </w:rPr>
        <w:t xml:space="preserve"> or TSH</w:t>
      </w:r>
      <w:r w:rsidRPr="00DE362E">
        <w:rPr>
          <w:rFonts w:cs="Times New Roman"/>
        </w:rPr>
        <w:t xml:space="preserve"> households </w:t>
      </w:r>
      <w:r w:rsidR="00757C58">
        <w:rPr>
          <w:rFonts w:cs="Times New Roman"/>
        </w:rPr>
        <w:t>from the program if they</w:t>
      </w:r>
      <w:r w:rsidRPr="00DE362E">
        <w:rPr>
          <w:rFonts w:cs="Times New Roman"/>
        </w:rPr>
        <w:t xml:space="preserve"> fail to apply for the </w:t>
      </w:r>
      <w:r w:rsidR="00C2594C">
        <w:rPr>
          <w:rFonts w:cs="Times New Roman"/>
        </w:rPr>
        <w:t>HCVP</w:t>
      </w:r>
      <w:r w:rsidRPr="00DE362E">
        <w:rPr>
          <w:rFonts w:cs="Times New Roman"/>
        </w:rPr>
        <w:t xml:space="preserve"> and other affordable housing programs, renew applications as required, and/or accept assistance as offered. Th</w:t>
      </w:r>
      <w:r w:rsidR="003D4626">
        <w:rPr>
          <w:rFonts w:cs="Times New Roman"/>
        </w:rPr>
        <w:t xml:space="preserve">is requirement </w:t>
      </w:r>
      <w:r w:rsidR="003D1536">
        <w:rPr>
          <w:rFonts w:cs="Times New Roman"/>
        </w:rPr>
        <w:t>helps reduce</w:t>
      </w:r>
      <w:r w:rsidRPr="00DE362E">
        <w:rPr>
          <w:rFonts w:cs="Times New Roman"/>
        </w:rPr>
        <w:t xml:space="preserve"> TBRA</w:t>
      </w:r>
      <w:r w:rsidR="00AC5DC1">
        <w:rPr>
          <w:rFonts w:cs="Times New Roman"/>
        </w:rPr>
        <w:t xml:space="preserve"> and FBH</w:t>
      </w:r>
      <w:r>
        <w:rPr>
          <w:rFonts w:cs="Times New Roman"/>
        </w:rPr>
        <w:t>A</w:t>
      </w:r>
      <w:r w:rsidRPr="00DE362E">
        <w:rPr>
          <w:rFonts w:cs="Times New Roman"/>
        </w:rPr>
        <w:t xml:space="preserve"> waitlist</w:t>
      </w:r>
      <w:r>
        <w:rPr>
          <w:rFonts w:cs="Times New Roman"/>
        </w:rPr>
        <w:t xml:space="preserve">s and </w:t>
      </w:r>
      <w:r w:rsidR="003D1536">
        <w:rPr>
          <w:rFonts w:cs="Times New Roman"/>
        </w:rPr>
        <w:t xml:space="preserve">provide </w:t>
      </w:r>
      <w:r>
        <w:rPr>
          <w:rFonts w:cs="Times New Roman"/>
        </w:rPr>
        <w:t>timely</w:t>
      </w:r>
      <w:r w:rsidRPr="00DE362E">
        <w:rPr>
          <w:rFonts w:cs="Times New Roman"/>
        </w:rPr>
        <w:t xml:space="preserve"> services to other eligible households. Housing case managers work closely with households receiving TBRA</w:t>
      </w:r>
      <w:r>
        <w:rPr>
          <w:rFonts w:cs="Times New Roman"/>
        </w:rPr>
        <w:t xml:space="preserve"> or TSH</w:t>
      </w:r>
      <w:r w:rsidRPr="00DE362E">
        <w:rPr>
          <w:rFonts w:cs="Times New Roman"/>
        </w:rPr>
        <w:t xml:space="preserve"> services and the local </w:t>
      </w:r>
      <w:r w:rsidR="00692360">
        <w:rPr>
          <w:rFonts w:cs="Times New Roman"/>
        </w:rPr>
        <w:t>P</w:t>
      </w:r>
      <w:r w:rsidR="00875F85">
        <w:rPr>
          <w:rFonts w:cs="Times New Roman"/>
        </w:rPr>
        <w:t xml:space="preserve">ublic </w:t>
      </w:r>
      <w:r w:rsidR="00692360">
        <w:rPr>
          <w:rFonts w:cs="Times New Roman"/>
        </w:rPr>
        <w:t>H</w:t>
      </w:r>
      <w:r w:rsidRPr="00DE362E">
        <w:rPr>
          <w:rFonts w:cs="Times New Roman"/>
        </w:rPr>
        <w:t xml:space="preserve">ousing </w:t>
      </w:r>
      <w:r w:rsidR="00692360">
        <w:rPr>
          <w:rFonts w:cs="Times New Roman"/>
        </w:rPr>
        <w:t>Agency</w:t>
      </w:r>
      <w:r w:rsidR="00692360" w:rsidRPr="00DE362E">
        <w:rPr>
          <w:rFonts w:cs="Times New Roman"/>
        </w:rPr>
        <w:t xml:space="preserve"> </w:t>
      </w:r>
      <w:r w:rsidRPr="00DE362E">
        <w:rPr>
          <w:rFonts w:cs="Times New Roman"/>
        </w:rPr>
        <w:t xml:space="preserve">to </w:t>
      </w:r>
      <w:r w:rsidR="004B263E">
        <w:rPr>
          <w:rFonts w:cs="Times New Roman"/>
        </w:rPr>
        <w:t xml:space="preserve">prevent </w:t>
      </w:r>
      <w:r w:rsidR="003C6700">
        <w:rPr>
          <w:rFonts w:cs="Times New Roman"/>
        </w:rPr>
        <w:t>such terminations</w:t>
      </w:r>
      <w:r w:rsidRPr="00DE362E">
        <w:rPr>
          <w:rFonts w:cs="Times New Roman"/>
        </w:rPr>
        <w:t xml:space="preserve">. In special circumstances where accepting </w:t>
      </w:r>
      <w:r w:rsidR="00C2594C">
        <w:rPr>
          <w:rFonts w:cs="Times New Roman"/>
        </w:rPr>
        <w:t>assistance from the</w:t>
      </w:r>
      <w:r w:rsidR="00C2594C" w:rsidRPr="00DE362E">
        <w:rPr>
          <w:rFonts w:cs="Times New Roman"/>
        </w:rPr>
        <w:t xml:space="preserve"> </w:t>
      </w:r>
      <w:r w:rsidRPr="00DE362E">
        <w:rPr>
          <w:rFonts w:cs="Times New Roman"/>
        </w:rPr>
        <w:t>HCV</w:t>
      </w:r>
      <w:r w:rsidR="00C2594C">
        <w:rPr>
          <w:rFonts w:cs="Times New Roman"/>
        </w:rPr>
        <w:t>P</w:t>
      </w:r>
      <w:r w:rsidRPr="00DE362E">
        <w:rPr>
          <w:rFonts w:cs="Times New Roman"/>
        </w:rPr>
        <w:t xml:space="preserve"> or other affordable housing</w:t>
      </w:r>
      <w:r w:rsidR="00C2594C">
        <w:rPr>
          <w:rFonts w:cs="Times New Roman"/>
        </w:rPr>
        <w:t xml:space="preserve"> programs</w:t>
      </w:r>
      <w:r w:rsidRPr="00DE362E">
        <w:rPr>
          <w:rFonts w:cs="Times New Roman"/>
        </w:rPr>
        <w:t xml:space="preserve"> would place an undue burden on the client, Project Sponsors may request a waiver to the policy using </w:t>
      </w:r>
      <w:r w:rsidRPr="00DE362E">
        <w:rPr>
          <w:rFonts w:cs="Times New Roman"/>
          <w:b/>
          <w:color w:val="5B9BD5" w:themeColor="accent1"/>
        </w:rPr>
        <w:t>Form J: Housing Choice Voucher/Other Affordable Housing Waiver</w:t>
      </w:r>
      <w:r w:rsidR="009201CD">
        <w:rPr>
          <w:rFonts w:cs="Times New Roman"/>
        </w:rPr>
        <w:t xml:space="preserve">. Project Sponsors submit Form J to </w:t>
      </w:r>
      <w:r w:rsidR="00570DA0">
        <w:rPr>
          <w:rFonts w:cs="Times New Roman"/>
        </w:rPr>
        <w:t>their AA</w:t>
      </w:r>
      <w:r w:rsidR="009201CD">
        <w:rPr>
          <w:rFonts w:cs="Times New Roman"/>
        </w:rPr>
        <w:t xml:space="preserve"> for approval and AAs may approve each waiver</w:t>
      </w:r>
      <w:r w:rsidRPr="00DE362E">
        <w:rPr>
          <w:rFonts w:cs="Times New Roman"/>
        </w:rPr>
        <w:t xml:space="preserve"> on a case-by-case basis. Special circumstances include but are not limited to:</w:t>
      </w:r>
    </w:p>
    <w:p w14:paraId="272214DB" w14:textId="7DA20448" w:rsidR="00D20787" w:rsidRPr="00DE362E" w:rsidRDefault="00D20787" w:rsidP="003A5712">
      <w:pPr>
        <w:pStyle w:val="NoSpacing"/>
        <w:numPr>
          <w:ilvl w:val="3"/>
          <w:numId w:val="5"/>
        </w:numPr>
        <w:ind w:left="1890" w:hanging="450"/>
        <w:rPr>
          <w:rFonts w:cs="Times New Roman"/>
        </w:rPr>
      </w:pPr>
      <w:r w:rsidRPr="00DE362E">
        <w:rPr>
          <w:rFonts w:cs="Times New Roman"/>
        </w:rPr>
        <w:t xml:space="preserve">Client would have to move away </w:t>
      </w:r>
      <w:r w:rsidR="004D66C3">
        <w:rPr>
          <w:rFonts w:cs="Times New Roman"/>
        </w:rPr>
        <w:t>from support systems</w:t>
      </w:r>
      <w:r w:rsidRPr="00DE362E">
        <w:rPr>
          <w:rFonts w:cs="Times New Roman"/>
        </w:rPr>
        <w:t xml:space="preserve"> important to their care or welfare;</w:t>
      </w:r>
    </w:p>
    <w:p w14:paraId="6186EECC" w14:textId="77777777" w:rsidR="00D20787" w:rsidRPr="00DE362E" w:rsidRDefault="00D20787" w:rsidP="003A5712">
      <w:pPr>
        <w:pStyle w:val="NoSpacing"/>
        <w:numPr>
          <w:ilvl w:val="3"/>
          <w:numId w:val="5"/>
        </w:numPr>
        <w:ind w:left="1890" w:hanging="450"/>
        <w:rPr>
          <w:rFonts w:cs="Times New Roman"/>
        </w:rPr>
      </w:pPr>
      <w:r w:rsidRPr="00DE362E">
        <w:rPr>
          <w:rFonts w:cs="Times New Roman"/>
        </w:rPr>
        <w:t>Client would have to move, but is too sick at the time to do so; or</w:t>
      </w:r>
    </w:p>
    <w:p w14:paraId="1083EEC4" w14:textId="45D945C9" w:rsidR="00495AE2" w:rsidRDefault="00D20787" w:rsidP="003A5712">
      <w:pPr>
        <w:pStyle w:val="NoSpacing"/>
        <w:numPr>
          <w:ilvl w:val="3"/>
          <w:numId w:val="5"/>
        </w:numPr>
        <w:ind w:left="1890" w:hanging="450"/>
        <w:rPr>
          <w:rFonts w:cs="Times New Roman"/>
        </w:rPr>
      </w:pPr>
      <w:r w:rsidRPr="00DE362E">
        <w:rPr>
          <w:rFonts w:cs="Times New Roman"/>
        </w:rPr>
        <w:t xml:space="preserve">Client cannot find a suitable residence that will accept </w:t>
      </w:r>
      <w:r w:rsidR="00C2594C">
        <w:rPr>
          <w:rFonts w:cs="Times New Roman"/>
        </w:rPr>
        <w:t xml:space="preserve">a </w:t>
      </w:r>
      <w:r w:rsidR="00C2594C" w:rsidRPr="00685ECD">
        <w:rPr>
          <w:rFonts w:cs="Times New Roman"/>
        </w:rPr>
        <w:t>voucher from the HCVP</w:t>
      </w:r>
      <w:r w:rsidRPr="00685ECD">
        <w:rPr>
          <w:rFonts w:cs="Times New Roman"/>
        </w:rPr>
        <w:t>.</w:t>
      </w:r>
    </w:p>
    <w:p w14:paraId="3B571579" w14:textId="77777777" w:rsidR="00495AE2" w:rsidRPr="00495AE2" w:rsidRDefault="00495AE2">
      <w:pPr>
        <w:rPr>
          <w:rFonts w:cs="Times New Roman"/>
          <w:sz w:val="2"/>
          <w:szCs w:val="2"/>
        </w:rPr>
      </w:pPr>
      <w:r w:rsidRPr="00495AE2">
        <w:rPr>
          <w:rFonts w:cs="Times New Roman"/>
          <w:sz w:val="2"/>
          <w:szCs w:val="2"/>
        </w:rPr>
        <w:br w:type="page"/>
      </w:r>
    </w:p>
    <w:p w14:paraId="306B82D6" w14:textId="609336F0" w:rsidR="00D20787" w:rsidRDefault="00D20787" w:rsidP="00D20787">
      <w:pPr>
        <w:pStyle w:val="NoSpacing"/>
        <w:ind w:left="1440"/>
        <w:rPr>
          <w:rFonts w:cs="Times New Roman"/>
        </w:rPr>
      </w:pPr>
      <w:r w:rsidRPr="00685ECD">
        <w:rPr>
          <w:rFonts w:cs="Times New Roman"/>
        </w:rPr>
        <w:lastRenderedPageBreak/>
        <w:t>If a Project Sponsor will terminate a household for failure to ap</w:t>
      </w:r>
      <w:r w:rsidRPr="00DE362E">
        <w:rPr>
          <w:rFonts w:cs="Times New Roman"/>
        </w:rPr>
        <w:t>ply for the HCV</w:t>
      </w:r>
      <w:r w:rsidR="00C2594C">
        <w:rPr>
          <w:rFonts w:cs="Times New Roman"/>
        </w:rPr>
        <w:t xml:space="preserve">P </w:t>
      </w:r>
      <w:r w:rsidRPr="00DE362E">
        <w:rPr>
          <w:rFonts w:cs="Times New Roman"/>
        </w:rPr>
        <w:t>and other affordable housing programs, renew applications as required, and/or accept assistance as offered, they must follow local program policies and procedures for termin</w:t>
      </w:r>
      <w:r w:rsidR="00083D25">
        <w:rPr>
          <w:rFonts w:cs="Times New Roman"/>
        </w:rPr>
        <w:t>ation as set forth in Section 16</w:t>
      </w:r>
      <w:r w:rsidRPr="00DE362E">
        <w:rPr>
          <w:rFonts w:cs="Times New Roman"/>
        </w:rPr>
        <w:t>. Termination.</w:t>
      </w:r>
    </w:p>
    <w:p w14:paraId="21985678" w14:textId="77777777" w:rsidR="00BE4BAB" w:rsidRPr="00DE362E" w:rsidRDefault="00BE4BAB" w:rsidP="00ED208F">
      <w:pPr>
        <w:pStyle w:val="NoSpacing"/>
        <w:rPr>
          <w:rFonts w:cs="Times New Roman"/>
        </w:rPr>
      </w:pPr>
    </w:p>
    <w:p w14:paraId="278716F9" w14:textId="351D8A67" w:rsidR="00D20787" w:rsidRPr="00DE362E" w:rsidRDefault="00D20787" w:rsidP="00D20787">
      <w:pPr>
        <w:pStyle w:val="NoSpacing"/>
        <w:numPr>
          <w:ilvl w:val="1"/>
          <w:numId w:val="5"/>
        </w:numPr>
        <w:rPr>
          <w:rFonts w:cs="Times New Roman"/>
          <w:b/>
          <w:u w:val="single"/>
        </w:rPr>
      </w:pPr>
      <w:r>
        <w:rPr>
          <w:rFonts w:cs="Times New Roman"/>
          <w:b/>
          <w:u w:val="single"/>
        </w:rPr>
        <w:t xml:space="preserve">STRMU </w:t>
      </w:r>
      <w:r w:rsidR="008A1696">
        <w:rPr>
          <w:rFonts w:cs="Times New Roman"/>
          <w:b/>
          <w:u w:val="single"/>
        </w:rPr>
        <w:t xml:space="preserve">and STSH </w:t>
      </w:r>
      <w:r>
        <w:rPr>
          <w:rFonts w:cs="Times New Roman"/>
          <w:b/>
          <w:u w:val="single"/>
        </w:rPr>
        <w:t>Requirements</w:t>
      </w:r>
    </w:p>
    <w:p w14:paraId="04891006" w14:textId="203C8CD8" w:rsidR="00D20787" w:rsidRDefault="00D20787" w:rsidP="00CE11FC">
      <w:pPr>
        <w:pStyle w:val="NoSpacing"/>
        <w:ind w:left="720"/>
        <w:rPr>
          <w:rFonts w:cs="Times New Roman"/>
        </w:rPr>
      </w:pPr>
      <w:r w:rsidRPr="00DE362E">
        <w:rPr>
          <w:rFonts w:cs="Times New Roman"/>
        </w:rPr>
        <w:t>STRMU</w:t>
      </w:r>
      <w:r w:rsidR="008A1696">
        <w:rPr>
          <w:rFonts w:cs="Times New Roman"/>
        </w:rPr>
        <w:t xml:space="preserve"> and STSH </w:t>
      </w:r>
      <w:r w:rsidR="00830F31">
        <w:rPr>
          <w:rFonts w:cs="Times New Roman"/>
        </w:rPr>
        <w:t>cannot</w:t>
      </w:r>
      <w:r w:rsidRPr="00DE362E">
        <w:rPr>
          <w:rFonts w:cs="Times New Roman"/>
        </w:rPr>
        <w:t xml:space="preserve"> provide </w:t>
      </w:r>
      <w:r w:rsidR="00B13BA9">
        <w:rPr>
          <w:rFonts w:cs="Times New Roman"/>
        </w:rPr>
        <w:t>ongoing</w:t>
      </w:r>
      <w:r w:rsidR="00830F31">
        <w:rPr>
          <w:rFonts w:cs="Times New Roman"/>
        </w:rPr>
        <w:t xml:space="preserve"> housing</w:t>
      </w:r>
      <w:r w:rsidRPr="00DE362E">
        <w:rPr>
          <w:rFonts w:cs="Times New Roman"/>
        </w:rPr>
        <w:t xml:space="preserve"> assistance. </w:t>
      </w:r>
      <w:r w:rsidR="00B13BA9">
        <w:rPr>
          <w:rFonts w:cs="Times New Roman"/>
        </w:rPr>
        <w:t xml:space="preserve">When </w:t>
      </w:r>
      <w:r w:rsidR="00B13BA9" w:rsidRPr="00DE362E">
        <w:rPr>
          <w:rFonts w:cs="Times New Roman"/>
        </w:rPr>
        <w:t xml:space="preserve">assessments indicate little or no improvement of the conditions that caused the current </w:t>
      </w:r>
      <w:r w:rsidR="00B13BA9">
        <w:rPr>
          <w:rFonts w:cs="Times New Roman"/>
        </w:rPr>
        <w:t>housing instability</w:t>
      </w:r>
      <w:r w:rsidR="00B13BA9" w:rsidRPr="00DE362E">
        <w:rPr>
          <w:rFonts w:cs="Times New Roman"/>
        </w:rPr>
        <w:t xml:space="preserve"> </w:t>
      </w:r>
      <w:r w:rsidR="00B03738">
        <w:rPr>
          <w:rFonts w:cs="Times New Roman"/>
        </w:rPr>
        <w:t>will</w:t>
      </w:r>
      <w:r w:rsidR="00B13BA9" w:rsidRPr="00DE362E">
        <w:rPr>
          <w:rFonts w:cs="Times New Roman"/>
        </w:rPr>
        <w:t xml:space="preserve"> likely</w:t>
      </w:r>
      <w:r w:rsidR="00B03738">
        <w:rPr>
          <w:rFonts w:cs="Times New Roman"/>
        </w:rPr>
        <w:t xml:space="preserve"> occur</w:t>
      </w:r>
      <w:r w:rsidR="00B13BA9" w:rsidRPr="00DE362E">
        <w:rPr>
          <w:rFonts w:cs="Times New Roman"/>
        </w:rPr>
        <w:t xml:space="preserve"> during or after the </w:t>
      </w:r>
      <w:r w:rsidR="00B13BA9">
        <w:rPr>
          <w:rFonts w:cs="Times New Roman"/>
        </w:rPr>
        <w:t>assistance period,</w:t>
      </w:r>
      <w:r w:rsidR="00B13BA9" w:rsidRPr="00DE362E">
        <w:rPr>
          <w:rFonts w:cs="Times New Roman"/>
        </w:rPr>
        <w:t xml:space="preserve"> </w:t>
      </w:r>
      <w:r w:rsidR="00B13BA9">
        <w:rPr>
          <w:rFonts w:cs="Times New Roman"/>
        </w:rPr>
        <w:t>Project Sponsors should employ o</w:t>
      </w:r>
      <w:r w:rsidRPr="00DE362E">
        <w:rPr>
          <w:rFonts w:cs="Times New Roman"/>
        </w:rPr>
        <w:t xml:space="preserve">ther types of long-term permanent housing assistance. If </w:t>
      </w:r>
      <w:r w:rsidR="008A1696">
        <w:rPr>
          <w:rFonts w:cs="Times New Roman"/>
        </w:rPr>
        <w:t>a Project Sponsor determines</w:t>
      </w:r>
      <w:r w:rsidRPr="00DE362E">
        <w:rPr>
          <w:rFonts w:cs="Times New Roman"/>
        </w:rPr>
        <w:t xml:space="preserve"> that a STRMU-</w:t>
      </w:r>
      <w:r w:rsidR="008A1696">
        <w:rPr>
          <w:rFonts w:cs="Times New Roman"/>
        </w:rPr>
        <w:t xml:space="preserve"> or STSH-</w:t>
      </w:r>
      <w:r w:rsidRPr="00DE362E">
        <w:rPr>
          <w:rFonts w:cs="Times New Roman"/>
        </w:rPr>
        <w:t xml:space="preserve">assisted household needs ongoing rental assistance or other forms of long-term permanent housing beyond the </w:t>
      </w:r>
      <w:r w:rsidR="008A1696">
        <w:rPr>
          <w:rFonts w:cs="Times New Roman"/>
        </w:rPr>
        <w:t>assistance period</w:t>
      </w:r>
      <w:r w:rsidRPr="00DE362E">
        <w:rPr>
          <w:rFonts w:cs="Times New Roman"/>
        </w:rPr>
        <w:t xml:space="preserve"> to address immediate housing needs, </w:t>
      </w:r>
      <w:r w:rsidR="00834F37">
        <w:rPr>
          <w:rFonts w:cs="Times New Roman"/>
        </w:rPr>
        <w:t>they</w:t>
      </w:r>
      <w:r w:rsidRPr="00DE362E">
        <w:rPr>
          <w:rFonts w:cs="Times New Roman"/>
        </w:rPr>
        <w:t xml:space="preserve"> should connect households to the resources listed in </w:t>
      </w:r>
      <w:r>
        <w:rPr>
          <w:rFonts w:cs="Times New Roman"/>
        </w:rPr>
        <w:t>this Section</w:t>
      </w:r>
      <w:r w:rsidRPr="00DE362E">
        <w:rPr>
          <w:rFonts w:cs="Times New Roman"/>
        </w:rPr>
        <w:t>. Households that received STRMU</w:t>
      </w:r>
      <w:r w:rsidR="008A1696">
        <w:rPr>
          <w:rFonts w:cs="Times New Roman"/>
        </w:rPr>
        <w:t xml:space="preserve"> or STSH</w:t>
      </w:r>
      <w:r w:rsidRPr="00DE362E">
        <w:rPr>
          <w:rFonts w:cs="Times New Roman"/>
        </w:rPr>
        <w:t xml:space="preserve"> services may </w:t>
      </w:r>
      <w:r w:rsidR="00994267">
        <w:rPr>
          <w:rFonts w:cs="Times New Roman"/>
        </w:rPr>
        <w:t>transition to other</w:t>
      </w:r>
      <w:r w:rsidRPr="00DE362E">
        <w:rPr>
          <w:rFonts w:cs="Times New Roman"/>
        </w:rPr>
        <w:t xml:space="preserve"> types of HOPWA housing assistance services</w:t>
      </w:r>
      <w:r>
        <w:rPr>
          <w:rFonts w:cs="Times New Roman"/>
        </w:rPr>
        <w:t xml:space="preserve"> in conjunction with HOPWA Supportive Services</w:t>
      </w:r>
      <w:r w:rsidRPr="00DE362E">
        <w:rPr>
          <w:rFonts w:cs="Times New Roman"/>
        </w:rPr>
        <w:t xml:space="preserve"> if that assistance would </w:t>
      </w:r>
      <w:r w:rsidR="00994267">
        <w:rPr>
          <w:rFonts w:cs="Times New Roman"/>
        </w:rPr>
        <w:t xml:space="preserve">better </w:t>
      </w:r>
      <w:r w:rsidRPr="00DE362E">
        <w:rPr>
          <w:rFonts w:cs="Times New Roman"/>
        </w:rPr>
        <w:t>meet the household’s assessed need.</w:t>
      </w:r>
    </w:p>
    <w:p w14:paraId="5E938A8C" w14:textId="4DF4052C" w:rsidR="00E765A7" w:rsidRPr="00DE48B8" w:rsidRDefault="00E765A7" w:rsidP="00CE11FC">
      <w:pPr>
        <w:pStyle w:val="NoSpacing"/>
      </w:pPr>
    </w:p>
    <w:p w14:paraId="3926EE73" w14:textId="7D816F0A" w:rsidR="00636B06" w:rsidRPr="00BD79BB" w:rsidRDefault="00636B06" w:rsidP="00B109D9">
      <w:pPr>
        <w:pStyle w:val="Heading1"/>
      </w:pPr>
      <w:bookmarkStart w:id="14" w:name="_Toc140755466"/>
      <w:r>
        <w:t xml:space="preserve">Section </w:t>
      </w:r>
      <w:r w:rsidR="00D20787">
        <w:t>12</w:t>
      </w:r>
      <w:r w:rsidRPr="00BD79BB">
        <w:t>.</w:t>
      </w:r>
      <w:r>
        <w:t xml:space="preserve"> </w:t>
      </w:r>
      <w:r w:rsidRPr="00BD79BB">
        <w:t>Program Forms</w:t>
      </w:r>
      <w:bookmarkEnd w:id="14"/>
    </w:p>
    <w:p w14:paraId="2596840D" w14:textId="1ADB049C" w:rsidR="00636B06" w:rsidRDefault="00636B06" w:rsidP="00F24BC0">
      <w:pPr>
        <w:pStyle w:val="NoSpacing"/>
        <w:rPr>
          <w:rFonts w:cs="Times New Roman"/>
        </w:rPr>
      </w:pPr>
      <w:r>
        <w:rPr>
          <w:rFonts w:cs="Times New Roman"/>
        </w:rPr>
        <w:t xml:space="preserve">The </w:t>
      </w:r>
      <w:r w:rsidRPr="00BD79BB">
        <w:rPr>
          <w:rFonts w:cs="Times New Roman"/>
        </w:rPr>
        <w:t>DSHS</w:t>
      </w:r>
      <w:r>
        <w:rPr>
          <w:rFonts w:cs="Times New Roman"/>
        </w:rPr>
        <w:t xml:space="preserve"> HOPWA Program </w:t>
      </w:r>
      <w:r w:rsidR="00ED2CA8">
        <w:rPr>
          <w:rFonts w:cs="Times New Roman"/>
        </w:rPr>
        <w:t xml:space="preserve">provides </w:t>
      </w:r>
      <w:r>
        <w:rPr>
          <w:rFonts w:cs="Times New Roman"/>
        </w:rPr>
        <w:t>standardized program forms</w:t>
      </w:r>
      <w:r w:rsidRPr="00BD79BB">
        <w:rPr>
          <w:rFonts w:cs="Times New Roman"/>
        </w:rPr>
        <w:t xml:space="preserve"> to assist </w:t>
      </w:r>
      <w:r>
        <w:rPr>
          <w:rFonts w:cs="Times New Roman"/>
        </w:rPr>
        <w:t xml:space="preserve">Project Sponsors with </w:t>
      </w:r>
      <w:r w:rsidR="00CE11FC">
        <w:rPr>
          <w:rFonts w:cs="Times New Roman"/>
        </w:rPr>
        <w:t xml:space="preserve">household </w:t>
      </w:r>
      <w:r>
        <w:rPr>
          <w:rFonts w:cs="Times New Roman"/>
        </w:rPr>
        <w:t xml:space="preserve">program enrollment and service delivery. </w:t>
      </w:r>
      <w:bookmarkStart w:id="15" w:name="_Hlk140801024"/>
      <w:r w:rsidR="006C4A1C">
        <w:rPr>
          <w:rFonts w:cs="Times New Roman"/>
        </w:rPr>
        <w:t xml:space="preserve">DSHS </w:t>
      </w:r>
      <w:r w:rsidR="00ED2CA8">
        <w:rPr>
          <w:rFonts w:cs="Times New Roman"/>
        </w:rPr>
        <w:t>requires Project Sponsors</w:t>
      </w:r>
      <w:r w:rsidR="006C4A1C" w:rsidRPr="00BD79BB">
        <w:rPr>
          <w:rFonts w:cs="Times New Roman"/>
        </w:rPr>
        <w:t xml:space="preserve"> to use </w:t>
      </w:r>
      <w:r w:rsidR="006C4A1C">
        <w:rPr>
          <w:rFonts w:cs="Times New Roman"/>
        </w:rPr>
        <w:t>the latest version</w:t>
      </w:r>
      <w:r w:rsidR="0085599B">
        <w:rPr>
          <w:rFonts w:cs="Times New Roman"/>
        </w:rPr>
        <w:t>s</w:t>
      </w:r>
      <w:r w:rsidR="006C4A1C">
        <w:rPr>
          <w:rFonts w:cs="Times New Roman"/>
        </w:rPr>
        <w:t xml:space="preserve"> of these forms, complete them accurately, and maintain them in each household’s record.</w:t>
      </w:r>
      <w:bookmarkEnd w:id="15"/>
      <w:r w:rsidR="006C4A1C">
        <w:rPr>
          <w:rFonts w:cs="Times New Roman"/>
        </w:rPr>
        <w:t xml:space="preserve"> </w:t>
      </w:r>
      <w:r w:rsidR="006C4A1C" w:rsidRPr="00BD79BB">
        <w:rPr>
          <w:rFonts w:cs="Times New Roman"/>
        </w:rPr>
        <w:t xml:space="preserve">The forms </w:t>
      </w:r>
      <w:r w:rsidR="006C4A1C">
        <w:rPr>
          <w:rFonts w:cs="Times New Roman"/>
        </w:rPr>
        <w:t>include the</w:t>
      </w:r>
      <w:r w:rsidR="006C4A1C" w:rsidRPr="00BD79BB">
        <w:rPr>
          <w:rFonts w:cs="Times New Roman"/>
        </w:rPr>
        <w:t xml:space="preserve"> latest revision date</w:t>
      </w:r>
      <w:r w:rsidR="006C4A1C">
        <w:rPr>
          <w:rFonts w:cs="Times New Roman"/>
        </w:rPr>
        <w:t xml:space="preserve">. </w:t>
      </w:r>
      <w:r w:rsidR="00563DA4" w:rsidRPr="00563DA4">
        <w:rPr>
          <w:rFonts w:cs="Times New Roman"/>
        </w:rPr>
        <w:t xml:space="preserve">DSHS considers old forms obsolete and Project Sponsors should discard them. </w:t>
      </w:r>
      <w:r>
        <w:rPr>
          <w:rFonts w:cs="Times New Roman"/>
        </w:rPr>
        <w:t xml:space="preserve">Forms that require </w:t>
      </w:r>
      <w:r w:rsidR="00CE11FC">
        <w:rPr>
          <w:rFonts w:cs="Times New Roman"/>
        </w:rPr>
        <w:t xml:space="preserve">a </w:t>
      </w:r>
      <w:r>
        <w:rPr>
          <w:rFonts w:cs="Times New Roman"/>
        </w:rPr>
        <w:t>signature are available in Spanish.</w:t>
      </w:r>
      <w:r w:rsidR="008B5649">
        <w:rPr>
          <w:rFonts w:cs="Times New Roman"/>
        </w:rPr>
        <w:t xml:space="preserve"> </w:t>
      </w:r>
      <w:r w:rsidR="00592C34">
        <w:rPr>
          <w:rFonts w:cs="Times New Roman"/>
        </w:rPr>
        <w:t xml:space="preserve">The forms allow both </w:t>
      </w:r>
      <w:r w:rsidR="00292773">
        <w:rPr>
          <w:rFonts w:cs="Times New Roman"/>
        </w:rPr>
        <w:t xml:space="preserve">electronic and </w:t>
      </w:r>
      <w:r w:rsidR="004E6331">
        <w:rPr>
          <w:rFonts w:cs="Times New Roman"/>
        </w:rPr>
        <w:t>written</w:t>
      </w:r>
      <w:r w:rsidR="00292773">
        <w:rPr>
          <w:rFonts w:cs="Times New Roman"/>
        </w:rPr>
        <w:t xml:space="preserve"> signatures.</w:t>
      </w:r>
    </w:p>
    <w:p w14:paraId="53880AB0" w14:textId="25DD83BC" w:rsidR="005F23DB" w:rsidRDefault="00636B06" w:rsidP="00F24BC0">
      <w:pPr>
        <w:pStyle w:val="NoSpacing"/>
        <w:rPr>
          <w:rFonts w:cs="Times New Roman"/>
        </w:rPr>
      </w:pPr>
      <w:r w:rsidRPr="00BE7AE5">
        <w:rPr>
          <w:rFonts w:cs="Times New Roman"/>
          <w:b/>
          <w:color w:val="C00000"/>
        </w:rPr>
        <w:t>NOTE:</w:t>
      </w:r>
      <w:r w:rsidRPr="00BE7AE5">
        <w:rPr>
          <w:rFonts w:cs="Times New Roman"/>
          <w:color w:val="C00000"/>
        </w:rPr>
        <w:t xml:space="preserve"> Use of Form</w:t>
      </w:r>
      <w:r w:rsidR="00E22A75">
        <w:rPr>
          <w:rFonts w:cs="Times New Roman"/>
          <w:color w:val="C00000"/>
        </w:rPr>
        <w:t>s</w:t>
      </w:r>
      <w:r w:rsidRPr="00BE7AE5">
        <w:rPr>
          <w:rFonts w:cs="Times New Roman"/>
          <w:color w:val="C00000"/>
        </w:rPr>
        <w:t xml:space="preserve"> F</w:t>
      </w:r>
      <w:r w:rsidR="00E22A75">
        <w:rPr>
          <w:rFonts w:cs="Times New Roman"/>
          <w:color w:val="C00000"/>
        </w:rPr>
        <w:t>, M, and N are</w:t>
      </w:r>
      <w:r w:rsidRPr="00BE7AE5">
        <w:rPr>
          <w:rFonts w:cs="Times New Roman"/>
          <w:color w:val="C00000"/>
        </w:rPr>
        <w:t xml:space="preserve"> optional </w:t>
      </w:r>
      <w:r>
        <w:rPr>
          <w:rFonts w:cs="Times New Roman"/>
          <w:color w:val="C00000"/>
        </w:rPr>
        <w:t>– Project Sponsors may</w:t>
      </w:r>
      <w:r w:rsidRPr="00BE7AE5">
        <w:rPr>
          <w:rFonts w:cs="Times New Roman"/>
          <w:color w:val="C00000"/>
        </w:rPr>
        <w:t xml:space="preserve"> use their preferred </w:t>
      </w:r>
      <w:r w:rsidR="00035AB4" w:rsidRPr="00035AB4">
        <w:rPr>
          <w:rFonts w:cs="Times New Roman"/>
          <w:color w:val="C00000"/>
        </w:rPr>
        <w:t>HIPAA-compliant release of information form</w:t>
      </w:r>
      <w:r w:rsidR="00035AB4">
        <w:rPr>
          <w:rFonts w:cs="Times New Roman"/>
          <w:color w:val="C00000"/>
        </w:rPr>
        <w:t>,</w:t>
      </w:r>
      <w:r w:rsidR="00035AB4" w:rsidRPr="00035AB4">
        <w:rPr>
          <w:rFonts w:cs="Times New Roman"/>
          <w:color w:val="C00000"/>
        </w:rPr>
        <w:t xml:space="preserve"> </w:t>
      </w:r>
      <w:r w:rsidR="00E22A75">
        <w:rPr>
          <w:rFonts w:cs="Times New Roman"/>
          <w:color w:val="C00000"/>
        </w:rPr>
        <w:t>budgeting form,</w:t>
      </w:r>
      <w:r w:rsidR="00035AB4">
        <w:rPr>
          <w:rFonts w:cs="Times New Roman"/>
          <w:color w:val="C00000"/>
        </w:rPr>
        <w:t xml:space="preserve"> or</w:t>
      </w:r>
      <w:r w:rsidR="00E22A75">
        <w:rPr>
          <w:rFonts w:cs="Times New Roman"/>
          <w:color w:val="C00000"/>
        </w:rPr>
        <w:t xml:space="preserve"> housing </w:t>
      </w:r>
      <w:r w:rsidR="003E3383">
        <w:rPr>
          <w:rFonts w:cs="Times New Roman"/>
          <w:color w:val="C00000"/>
        </w:rPr>
        <w:t>p</w:t>
      </w:r>
      <w:r w:rsidR="00E22A75">
        <w:rPr>
          <w:rFonts w:cs="Times New Roman"/>
          <w:color w:val="C00000"/>
        </w:rPr>
        <w:t>lan form</w:t>
      </w:r>
      <w:r w:rsidRPr="00BE7AE5">
        <w:rPr>
          <w:rFonts w:cs="Times New Roman"/>
          <w:color w:val="C00000"/>
        </w:rPr>
        <w:t>.</w:t>
      </w:r>
      <w:r w:rsidR="008A2E75">
        <w:rPr>
          <w:rFonts w:cs="Times New Roman"/>
          <w:color w:val="C00000"/>
        </w:rPr>
        <w:t xml:space="preserve"> </w:t>
      </w:r>
      <w:r w:rsidR="005F23DB">
        <w:rPr>
          <w:rFonts w:cs="Times New Roman"/>
          <w:color w:val="C00000"/>
        </w:rPr>
        <w:t xml:space="preserve">Excel documents </w:t>
      </w:r>
      <w:r w:rsidR="008A2E75">
        <w:rPr>
          <w:rFonts w:cs="Times New Roman"/>
          <w:color w:val="C00000"/>
        </w:rPr>
        <w:t>should</w:t>
      </w:r>
      <w:r w:rsidR="005F23DB">
        <w:rPr>
          <w:rFonts w:cs="Times New Roman"/>
          <w:color w:val="C00000"/>
        </w:rPr>
        <w:t xml:space="preserve"> be viewed at 100 percent zoom.</w:t>
      </w:r>
    </w:p>
    <w:tbl>
      <w:tblPr>
        <w:tblStyle w:val="TableGrid"/>
        <w:tblW w:w="5002" w:type="pct"/>
        <w:tblInd w:w="-5" w:type="dxa"/>
        <w:tblLayout w:type="fixed"/>
        <w:tblLook w:val="04A0" w:firstRow="1" w:lastRow="0" w:firstColumn="1" w:lastColumn="0" w:noHBand="0" w:noVBand="1"/>
      </w:tblPr>
      <w:tblGrid>
        <w:gridCol w:w="987"/>
        <w:gridCol w:w="6392"/>
        <w:gridCol w:w="1168"/>
        <w:gridCol w:w="1168"/>
        <w:gridCol w:w="1079"/>
      </w:tblGrid>
      <w:tr w:rsidR="00AC1D06" w:rsidRPr="00893879" w14:paraId="70204D90" w14:textId="77777777" w:rsidTr="00685ECD">
        <w:trPr>
          <w:trHeight w:val="20"/>
        </w:trPr>
        <w:tc>
          <w:tcPr>
            <w:tcW w:w="3418" w:type="pct"/>
            <w:gridSpan w:val="2"/>
            <w:tcBorders>
              <w:top w:val="single" w:sz="4" w:space="0" w:color="FFFFFF" w:themeColor="background1"/>
              <w:left w:val="single" w:sz="4" w:space="0" w:color="FFFFFF" w:themeColor="background1"/>
              <w:bottom w:val="single" w:sz="4" w:space="0" w:color="FFFFFF" w:themeColor="background1"/>
              <w:right w:val="nil"/>
            </w:tcBorders>
            <w:shd w:val="clear" w:color="auto" w:fill="9CC2E5" w:themeFill="accent1" w:themeFillTint="99"/>
          </w:tcPr>
          <w:p w14:paraId="66CD531B" w14:textId="7091BC0F" w:rsidR="00AE6EE7" w:rsidRPr="00C62632" w:rsidRDefault="00AE6EE7">
            <w:pPr>
              <w:rPr>
                <w:rFonts w:cs="Times New Roman"/>
                <w:b/>
              </w:rPr>
            </w:pPr>
            <w:r w:rsidRPr="00C62632">
              <w:rPr>
                <w:rFonts w:cs="Times New Roman"/>
                <w:b/>
              </w:rPr>
              <w:t xml:space="preserve">Program </w:t>
            </w:r>
            <w:r w:rsidR="004F060F">
              <w:rPr>
                <w:rFonts w:cs="Times New Roman"/>
                <w:b/>
              </w:rPr>
              <w:t xml:space="preserve">Enrollment </w:t>
            </w:r>
            <w:r>
              <w:rPr>
                <w:rFonts w:cs="Times New Roman"/>
                <w:b/>
              </w:rPr>
              <w:t>Forms</w:t>
            </w:r>
          </w:p>
        </w:tc>
        <w:tc>
          <w:tcPr>
            <w:tcW w:w="541" w:type="pct"/>
            <w:tcBorders>
              <w:top w:val="single" w:sz="4" w:space="0" w:color="FFFFFF" w:themeColor="background1"/>
              <w:left w:val="nil"/>
              <w:bottom w:val="single" w:sz="4" w:space="0" w:color="FFFFFF" w:themeColor="background1"/>
              <w:right w:val="nil"/>
            </w:tcBorders>
            <w:shd w:val="clear" w:color="auto" w:fill="9CC2E5" w:themeFill="accent1" w:themeFillTint="99"/>
          </w:tcPr>
          <w:p w14:paraId="6DFA2D64" w14:textId="6E72BAC3" w:rsidR="00AE6EE7" w:rsidRPr="00C62632" w:rsidRDefault="00AE6EE7" w:rsidP="005F23DB">
            <w:pPr>
              <w:rPr>
                <w:rFonts w:cs="Times New Roman"/>
                <w:b/>
              </w:rPr>
            </w:pPr>
            <w:r>
              <w:rPr>
                <w:rFonts w:cs="Times New Roman"/>
                <w:b/>
              </w:rPr>
              <w:t>English</w:t>
            </w:r>
          </w:p>
        </w:tc>
        <w:tc>
          <w:tcPr>
            <w:tcW w:w="541" w:type="pct"/>
            <w:tcBorders>
              <w:top w:val="single" w:sz="4" w:space="0" w:color="FFFFFF" w:themeColor="background1"/>
              <w:left w:val="nil"/>
              <w:bottom w:val="single" w:sz="4" w:space="0" w:color="FFFFFF" w:themeColor="background1"/>
              <w:right w:val="nil"/>
            </w:tcBorders>
            <w:shd w:val="clear" w:color="auto" w:fill="9CC2E5" w:themeFill="accent1" w:themeFillTint="99"/>
          </w:tcPr>
          <w:p w14:paraId="643327E1" w14:textId="6FC85593" w:rsidR="00AE6EE7" w:rsidRPr="00C62632" w:rsidRDefault="00AE6EE7" w:rsidP="005F23DB">
            <w:pPr>
              <w:rPr>
                <w:rFonts w:cs="Times New Roman"/>
                <w:b/>
              </w:rPr>
            </w:pPr>
            <w:r>
              <w:rPr>
                <w:rFonts w:cs="Times New Roman"/>
                <w:b/>
              </w:rPr>
              <w:t>Spanish</w:t>
            </w:r>
          </w:p>
        </w:tc>
        <w:tc>
          <w:tcPr>
            <w:tcW w:w="500" w:type="pct"/>
            <w:tcBorders>
              <w:top w:val="single" w:sz="4" w:space="0" w:color="FFFFFF" w:themeColor="background1"/>
              <w:left w:val="nil"/>
              <w:bottom w:val="single" w:sz="4" w:space="0" w:color="FFFFFF" w:themeColor="background1"/>
              <w:right w:val="single" w:sz="4" w:space="0" w:color="FFFFFF" w:themeColor="background1"/>
            </w:tcBorders>
            <w:shd w:val="clear" w:color="auto" w:fill="9CC2E5" w:themeFill="accent1" w:themeFillTint="99"/>
          </w:tcPr>
          <w:p w14:paraId="198DCDE3" w14:textId="0B9BF362" w:rsidR="00AE6EE7" w:rsidRPr="00C62632" w:rsidRDefault="000A3A46" w:rsidP="005F23DB">
            <w:pPr>
              <w:rPr>
                <w:rFonts w:cs="Times New Roman"/>
                <w:b/>
              </w:rPr>
            </w:pPr>
            <w:r>
              <w:rPr>
                <w:rFonts w:cs="Times New Roman"/>
                <w:b/>
              </w:rPr>
              <w:t>Format</w:t>
            </w:r>
          </w:p>
        </w:tc>
      </w:tr>
      <w:tr w:rsidR="00685ECD" w:rsidRPr="00893879" w14:paraId="68E75AC8" w14:textId="77777777" w:rsidTr="00685ECD">
        <w:trPr>
          <w:trHeight w:val="20"/>
        </w:trPr>
        <w:tc>
          <w:tcPr>
            <w:tcW w:w="457" w:type="pct"/>
            <w:tcBorders>
              <w:top w:val="single" w:sz="4" w:space="0" w:color="FFFFFF" w:themeColor="background1"/>
              <w:left w:val="single" w:sz="4" w:space="0" w:color="FFFFFF" w:themeColor="background1"/>
              <w:bottom w:val="nil"/>
              <w:right w:val="nil"/>
            </w:tcBorders>
            <w:shd w:val="clear" w:color="auto" w:fill="DEEAF6" w:themeFill="accent1" w:themeFillTint="33"/>
          </w:tcPr>
          <w:p w14:paraId="3B8D25C4" w14:textId="77777777" w:rsidR="00685ECD" w:rsidRPr="00893879" w:rsidRDefault="00685ECD" w:rsidP="00685ECD">
            <w:pPr>
              <w:rPr>
                <w:rFonts w:cs="Times New Roman"/>
              </w:rPr>
            </w:pPr>
          </w:p>
        </w:tc>
        <w:tc>
          <w:tcPr>
            <w:tcW w:w="2961" w:type="pct"/>
            <w:tcBorders>
              <w:top w:val="single" w:sz="4" w:space="0" w:color="FFFFFF" w:themeColor="background1"/>
              <w:left w:val="nil"/>
              <w:bottom w:val="nil"/>
              <w:right w:val="nil"/>
            </w:tcBorders>
            <w:shd w:val="clear" w:color="auto" w:fill="DEEAF6" w:themeFill="accent1" w:themeFillTint="33"/>
          </w:tcPr>
          <w:p w14:paraId="6B437821" w14:textId="77777777" w:rsidR="00685ECD" w:rsidRPr="00893879" w:rsidRDefault="00685ECD" w:rsidP="00685ECD">
            <w:pPr>
              <w:rPr>
                <w:rFonts w:cs="Times New Roman"/>
              </w:rPr>
            </w:pPr>
            <w:r>
              <w:rPr>
                <w:rFonts w:cs="Times New Roman"/>
              </w:rPr>
              <w:t>File Structure Checklist</w:t>
            </w:r>
          </w:p>
        </w:tc>
        <w:tc>
          <w:tcPr>
            <w:tcW w:w="541" w:type="pct"/>
            <w:tcBorders>
              <w:top w:val="single" w:sz="4" w:space="0" w:color="FFFFFF" w:themeColor="background1"/>
              <w:left w:val="nil"/>
              <w:bottom w:val="nil"/>
              <w:right w:val="nil"/>
            </w:tcBorders>
            <w:shd w:val="clear" w:color="auto" w:fill="DEEAF6" w:themeFill="accent1" w:themeFillTint="33"/>
          </w:tcPr>
          <w:p w14:paraId="17597333" w14:textId="2E1F72D2" w:rsidR="00685ECD" w:rsidRPr="00893879" w:rsidRDefault="00685ECD" w:rsidP="00685ECD">
            <w:pPr>
              <w:rPr>
                <w:rFonts w:cs="Times New Roman"/>
              </w:rPr>
            </w:pPr>
            <w:r>
              <w:rPr>
                <w:rFonts w:cs="Times New Roman"/>
              </w:rPr>
              <w:t>Yes</w:t>
            </w:r>
          </w:p>
        </w:tc>
        <w:tc>
          <w:tcPr>
            <w:tcW w:w="541" w:type="pct"/>
            <w:tcBorders>
              <w:top w:val="single" w:sz="4" w:space="0" w:color="FFFFFF" w:themeColor="background1"/>
              <w:left w:val="nil"/>
              <w:bottom w:val="nil"/>
              <w:right w:val="nil"/>
            </w:tcBorders>
            <w:shd w:val="clear" w:color="auto" w:fill="DEEAF6" w:themeFill="accent1" w:themeFillTint="33"/>
          </w:tcPr>
          <w:p w14:paraId="30EE9969" w14:textId="2F9DD64D" w:rsidR="00685ECD" w:rsidRPr="00893879" w:rsidRDefault="00685ECD" w:rsidP="00685ECD">
            <w:pPr>
              <w:rPr>
                <w:rFonts w:cs="Times New Roman"/>
              </w:rPr>
            </w:pPr>
            <w:r>
              <w:rPr>
                <w:rFonts w:cs="Times New Roman"/>
              </w:rPr>
              <w:t>No</w:t>
            </w:r>
          </w:p>
        </w:tc>
        <w:tc>
          <w:tcPr>
            <w:tcW w:w="500" w:type="pct"/>
            <w:tcBorders>
              <w:top w:val="single" w:sz="4" w:space="0" w:color="FFFFFF" w:themeColor="background1"/>
              <w:left w:val="nil"/>
              <w:bottom w:val="nil"/>
              <w:right w:val="single" w:sz="4" w:space="0" w:color="FFFFFF" w:themeColor="background1"/>
            </w:tcBorders>
            <w:shd w:val="clear" w:color="auto" w:fill="DEEAF6" w:themeFill="accent1" w:themeFillTint="33"/>
          </w:tcPr>
          <w:p w14:paraId="4C801661" w14:textId="1A7549D5" w:rsidR="00685ECD" w:rsidRDefault="00685ECD" w:rsidP="00685ECD">
            <w:pPr>
              <w:rPr>
                <w:rFonts w:cs="Times New Roman"/>
              </w:rPr>
            </w:pPr>
            <w:r w:rsidRPr="00AD1E16">
              <w:rPr>
                <w:rFonts w:cs="Times New Roman"/>
              </w:rPr>
              <w:t>Excel</w:t>
            </w:r>
          </w:p>
        </w:tc>
      </w:tr>
      <w:tr w:rsidR="00685ECD" w:rsidRPr="00893879" w14:paraId="3D02F108" w14:textId="77777777" w:rsidTr="00685ECD">
        <w:trPr>
          <w:trHeight w:val="20"/>
        </w:trPr>
        <w:tc>
          <w:tcPr>
            <w:tcW w:w="457" w:type="pct"/>
            <w:tcBorders>
              <w:top w:val="nil"/>
              <w:left w:val="single" w:sz="4" w:space="0" w:color="FFFFFF" w:themeColor="background1"/>
              <w:bottom w:val="nil"/>
              <w:right w:val="nil"/>
            </w:tcBorders>
            <w:shd w:val="clear" w:color="auto" w:fill="DEEAF6" w:themeFill="accent1" w:themeFillTint="33"/>
          </w:tcPr>
          <w:p w14:paraId="0E9298CE" w14:textId="77777777" w:rsidR="00685ECD" w:rsidRPr="00893879" w:rsidRDefault="00685ECD" w:rsidP="00685ECD">
            <w:pPr>
              <w:rPr>
                <w:rFonts w:cs="Times New Roman"/>
              </w:rPr>
            </w:pPr>
            <w:r w:rsidRPr="00893879">
              <w:rPr>
                <w:rFonts w:cs="Times New Roman"/>
              </w:rPr>
              <w:t>Form A</w:t>
            </w:r>
          </w:p>
        </w:tc>
        <w:tc>
          <w:tcPr>
            <w:tcW w:w="2961" w:type="pct"/>
            <w:tcBorders>
              <w:top w:val="nil"/>
              <w:left w:val="nil"/>
              <w:bottom w:val="nil"/>
              <w:right w:val="nil"/>
            </w:tcBorders>
            <w:shd w:val="clear" w:color="auto" w:fill="DEEAF6" w:themeFill="accent1" w:themeFillTint="33"/>
          </w:tcPr>
          <w:p w14:paraId="0D1F27D1" w14:textId="19EEE258" w:rsidR="00685ECD" w:rsidRPr="00893879" w:rsidRDefault="00685ECD" w:rsidP="00685ECD">
            <w:pPr>
              <w:rPr>
                <w:rFonts w:cs="Times New Roman"/>
              </w:rPr>
            </w:pPr>
            <w:r w:rsidRPr="00893879">
              <w:rPr>
                <w:rFonts w:cs="Times New Roman"/>
              </w:rPr>
              <w:t>Self-Declaration of Income</w:t>
            </w:r>
          </w:p>
        </w:tc>
        <w:tc>
          <w:tcPr>
            <w:tcW w:w="541" w:type="pct"/>
            <w:tcBorders>
              <w:top w:val="nil"/>
              <w:left w:val="nil"/>
              <w:bottom w:val="nil"/>
              <w:right w:val="nil"/>
            </w:tcBorders>
            <w:shd w:val="clear" w:color="auto" w:fill="DEEAF6" w:themeFill="accent1" w:themeFillTint="33"/>
          </w:tcPr>
          <w:p w14:paraId="76BFB76C" w14:textId="6917BC5C" w:rsidR="00685ECD" w:rsidRPr="00893879" w:rsidRDefault="00685ECD" w:rsidP="00685ECD">
            <w:pPr>
              <w:rPr>
                <w:rFonts w:cs="Times New Roman"/>
              </w:rPr>
            </w:pPr>
            <w:r>
              <w:rPr>
                <w:rFonts w:cs="Times New Roman"/>
              </w:rPr>
              <w:t>Yes</w:t>
            </w:r>
          </w:p>
        </w:tc>
        <w:tc>
          <w:tcPr>
            <w:tcW w:w="541" w:type="pct"/>
            <w:tcBorders>
              <w:top w:val="nil"/>
              <w:left w:val="nil"/>
              <w:bottom w:val="nil"/>
              <w:right w:val="nil"/>
            </w:tcBorders>
            <w:shd w:val="clear" w:color="auto" w:fill="DEEAF6" w:themeFill="accent1" w:themeFillTint="33"/>
          </w:tcPr>
          <w:p w14:paraId="28FCCAC3" w14:textId="525EDA34" w:rsidR="00685ECD" w:rsidRPr="00893879" w:rsidRDefault="00685ECD" w:rsidP="00685ECD">
            <w:pPr>
              <w:rPr>
                <w:rFonts w:cs="Times New Roman"/>
              </w:rPr>
            </w:pPr>
            <w:r>
              <w:rPr>
                <w:rFonts w:cs="Times New Roman"/>
              </w:rPr>
              <w:t>Yes</w:t>
            </w:r>
          </w:p>
        </w:tc>
        <w:tc>
          <w:tcPr>
            <w:tcW w:w="500" w:type="pct"/>
            <w:tcBorders>
              <w:top w:val="nil"/>
              <w:left w:val="nil"/>
              <w:bottom w:val="nil"/>
              <w:right w:val="single" w:sz="4" w:space="0" w:color="FFFFFF" w:themeColor="background1"/>
            </w:tcBorders>
            <w:shd w:val="clear" w:color="auto" w:fill="DEEAF6" w:themeFill="accent1" w:themeFillTint="33"/>
          </w:tcPr>
          <w:p w14:paraId="04FB6FF6" w14:textId="209E2F8C" w:rsidR="00685ECD" w:rsidRPr="00893879" w:rsidRDefault="00685ECD" w:rsidP="00685ECD">
            <w:pPr>
              <w:rPr>
                <w:rFonts w:cs="Times New Roman"/>
              </w:rPr>
            </w:pPr>
            <w:r w:rsidRPr="00AD1E16">
              <w:rPr>
                <w:rFonts w:cs="Times New Roman"/>
              </w:rPr>
              <w:t>Excel</w:t>
            </w:r>
          </w:p>
        </w:tc>
      </w:tr>
      <w:tr w:rsidR="00685ECD" w:rsidRPr="00893879" w14:paraId="5E625BA1" w14:textId="77777777" w:rsidTr="00685ECD">
        <w:trPr>
          <w:trHeight w:val="20"/>
        </w:trPr>
        <w:tc>
          <w:tcPr>
            <w:tcW w:w="457" w:type="pct"/>
            <w:tcBorders>
              <w:top w:val="nil"/>
              <w:left w:val="single" w:sz="4" w:space="0" w:color="FFFFFF" w:themeColor="background1"/>
              <w:bottom w:val="nil"/>
              <w:right w:val="nil"/>
            </w:tcBorders>
            <w:shd w:val="clear" w:color="auto" w:fill="DEEAF6" w:themeFill="accent1" w:themeFillTint="33"/>
          </w:tcPr>
          <w:p w14:paraId="73798394" w14:textId="77777777" w:rsidR="00685ECD" w:rsidRPr="00893879" w:rsidRDefault="00685ECD" w:rsidP="00685ECD">
            <w:pPr>
              <w:rPr>
                <w:rFonts w:cs="Times New Roman"/>
              </w:rPr>
            </w:pPr>
            <w:r w:rsidRPr="00893879">
              <w:rPr>
                <w:rFonts w:cs="Times New Roman"/>
              </w:rPr>
              <w:t>Form B</w:t>
            </w:r>
          </w:p>
        </w:tc>
        <w:tc>
          <w:tcPr>
            <w:tcW w:w="2961" w:type="pct"/>
            <w:tcBorders>
              <w:top w:val="nil"/>
              <w:left w:val="nil"/>
              <w:bottom w:val="nil"/>
              <w:right w:val="nil"/>
            </w:tcBorders>
            <w:shd w:val="clear" w:color="auto" w:fill="DEEAF6" w:themeFill="accent1" w:themeFillTint="33"/>
          </w:tcPr>
          <w:p w14:paraId="5F9C2E7E" w14:textId="7C6DFD97" w:rsidR="00685ECD" w:rsidRPr="00893879" w:rsidRDefault="00685ECD" w:rsidP="00685ECD">
            <w:pPr>
              <w:rPr>
                <w:rFonts w:cs="Times New Roman"/>
              </w:rPr>
            </w:pPr>
            <w:r w:rsidRPr="00893879">
              <w:rPr>
                <w:rFonts w:cs="Times New Roman"/>
              </w:rPr>
              <w:t>Self-Declaration of Residency</w:t>
            </w:r>
            <w:r>
              <w:rPr>
                <w:rFonts w:cs="Times New Roman"/>
              </w:rPr>
              <w:t xml:space="preserve"> </w:t>
            </w:r>
          </w:p>
        </w:tc>
        <w:tc>
          <w:tcPr>
            <w:tcW w:w="541" w:type="pct"/>
            <w:tcBorders>
              <w:top w:val="nil"/>
              <w:left w:val="nil"/>
              <w:bottom w:val="nil"/>
              <w:right w:val="nil"/>
            </w:tcBorders>
            <w:shd w:val="clear" w:color="auto" w:fill="DEEAF6" w:themeFill="accent1" w:themeFillTint="33"/>
          </w:tcPr>
          <w:p w14:paraId="4B647487" w14:textId="057C3CEC" w:rsidR="00685ECD" w:rsidRPr="00893879" w:rsidRDefault="00685ECD" w:rsidP="00685ECD">
            <w:pPr>
              <w:rPr>
                <w:rFonts w:cs="Times New Roman"/>
              </w:rPr>
            </w:pPr>
            <w:r>
              <w:rPr>
                <w:rFonts w:cs="Times New Roman"/>
              </w:rPr>
              <w:t>Yes</w:t>
            </w:r>
          </w:p>
        </w:tc>
        <w:tc>
          <w:tcPr>
            <w:tcW w:w="541" w:type="pct"/>
            <w:tcBorders>
              <w:top w:val="nil"/>
              <w:left w:val="nil"/>
              <w:bottom w:val="nil"/>
              <w:right w:val="nil"/>
            </w:tcBorders>
            <w:shd w:val="clear" w:color="auto" w:fill="DEEAF6" w:themeFill="accent1" w:themeFillTint="33"/>
          </w:tcPr>
          <w:p w14:paraId="17B9C366" w14:textId="23CCAE52" w:rsidR="00685ECD" w:rsidRPr="00893879" w:rsidRDefault="00685ECD" w:rsidP="00685ECD">
            <w:pPr>
              <w:rPr>
                <w:rFonts w:cs="Times New Roman"/>
              </w:rPr>
            </w:pPr>
            <w:r>
              <w:rPr>
                <w:rFonts w:cs="Times New Roman"/>
              </w:rPr>
              <w:t>Yes</w:t>
            </w:r>
          </w:p>
        </w:tc>
        <w:tc>
          <w:tcPr>
            <w:tcW w:w="500" w:type="pct"/>
            <w:tcBorders>
              <w:top w:val="nil"/>
              <w:left w:val="nil"/>
              <w:bottom w:val="nil"/>
              <w:right w:val="single" w:sz="4" w:space="0" w:color="FFFFFF" w:themeColor="background1"/>
            </w:tcBorders>
            <w:shd w:val="clear" w:color="auto" w:fill="DEEAF6" w:themeFill="accent1" w:themeFillTint="33"/>
          </w:tcPr>
          <w:p w14:paraId="4C89D2A1" w14:textId="6F92C60E" w:rsidR="00685ECD" w:rsidRPr="00893879" w:rsidRDefault="00685ECD" w:rsidP="00685ECD">
            <w:pPr>
              <w:rPr>
                <w:rFonts w:cs="Times New Roman"/>
              </w:rPr>
            </w:pPr>
            <w:r w:rsidRPr="00AD1E16">
              <w:rPr>
                <w:rFonts w:cs="Times New Roman"/>
              </w:rPr>
              <w:t>Excel</w:t>
            </w:r>
          </w:p>
        </w:tc>
      </w:tr>
      <w:tr w:rsidR="00685ECD" w:rsidRPr="00893879" w14:paraId="6110C38B" w14:textId="77777777" w:rsidTr="00685ECD">
        <w:trPr>
          <w:trHeight w:val="20"/>
        </w:trPr>
        <w:tc>
          <w:tcPr>
            <w:tcW w:w="457" w:type="pct"/>
            <w:tcBorders>
              <w:top w:val="nil"/>
              <w:left w:val="single" w:sz="4" w:space="0" w:color="FFFFFF" w:themeColor="background1"/>
              <w:bottom w:val="nil"/>
              <w:right w:val="nil"/>
            </w:tcBorders>
            <w:shd w:val="clear" w:color="auto" w:fill="DEEAF6" w:themeFill="accent1" w:themeFillTint="33"/>
          </w:tcPr>
          <w:p w14:paraId="0F4CF98C" w14:textId="77777777" w:rsidR="00685ECD" w:rsidRPr="00893879" w:rsidRDefault="00685ECD" w:rsidP="00685ECD">
            <w:pPr>
              <w:rPr>
                <w:rFonts w:cs="Times New Roman"/>
              </w:rPr>
            </w:pPr>
            <w:r>
              <w:rPr>
                <w:rFonts w:cs="Times New Roman"/>
              </w:rPr>
              <w:t>Form C</w:t>
            </w:r>
          </w:p>
        </w:tc>
        <w:tc>
          <w:tcPr>
            <w:tcW w:w="2961" w:type="pct"/>
            <w:tcBorders>
              <w:top w:val="nil"/>
              <w:left w:val="nil"/>
              <w:bottom w:val="nil"/>
              <w:right w:val="nil"/>
            </w:tcBorders>
            <w:shd w:val="clear" w:color="auto" w:fill="DEEAF6" w:themeFill="accent1" w:themeFillTint="33"/>
          </w:tcPr>
          <w:p w14:paraId="0D9FBF6E" w14:textId="22A68FD4" w:rsidR="00685ECD" w:rsidRPr="00893879" w:rsidRDefault="00685ECD" w:rsidP="00685ECD">
            <w:pPr>
              <w:rPr>
                <w:rFonts w:cs="Times New Roman"/>
              </w:rPr>
            </w:pPr>
            <w:r>
              <w:rPr>
                <w:rFonts w:cs="Times New Roman"/>
              </w:rPr>
              <w:t>Household Income Eligibility Worksheet</w:t>
            </w:r>
          </w:p>
        </w:tc>
        <w:tc>
          <w:tcPr>
            <w:tcW w:w="541" w:type="pct"/>
            <w:tcBorders>
              <w:top w:val="nil"/>
              <w:left w:val="nil"/>
              <w:bottom w:val="nil"/>
              <w:right w:val="nil"/>
            </w:tcBorders>
            <w:shd w:val="clear" w:color="auto" w:fill="DEEAF6" w:themeFill="accent1" w:themeFillTint="33"/>
          </w:tcPr>
          <w:p w14:paraId="07E86703" w14:textId="6B23F4E9" w:rsidR="00685ECD" w:rsidRPr="00893879" w:rsidRDefault="00685ECD" w:rsidP="00685ECD">
            <w:pPr>
              <w:rPr>
                <w:rFonts w:cs="Times New Roman"/>
              </w:rPr>
            </w:pPr>
            <w:r>
              <w:rPr>
                <w:rFonts w:cs="Times New Roman"/>
              </w:rPr>
              <w:t>Yes</w:t>
            </w:r>
          </w:p>
        </w:tc>
        <w:tc>
          <w:tcPr>
            <w:tcW w:w="541" w:type="pct"/>
            <w:tcBorders>
              <w:top w:val="nil"/>
              <w:left w:val="nil"/>
              <w:bottom w:val="nil"/>
              <w:right w:val="nil"/>
            </w:tcBorders>
            <w:shd w:val="clear" w:color="auto" w:fill="DEEAF6" w:themeFill="accent1" w:themeFillTint="33"/>
          </w:tcPr>
          <w:p w14:paraId="170E2E34" w14:textId="17E3D4F2" w:rsidR="00685ECD" w:rsidRPr="00893879" w:rsidRDefault="00685ECD" w:rsidP="00685ECD">
            <w:pPr>
              <w:rPr>
                <w:rFonts w:cs="Times New Roman"/>
              </w:rPr>
            </w:pPr>
            <w:r>
              <w:rPr>
                <w:rFonts w:cs="Times New Roman"/>
              </w:rPr>
              <w:t>No</w:t>
            </w:r>
          </w:p>
        </w:tc>
        <w:tc>
          <w:tcPr>
            <w:tcW w:w="500" w:type="pct"/>
            <w:tcBorders>
              <w:top w:val="nil"/>
              <w:left w:val="nil"/>
              <w:bottom w:val="nil"/>
              <w:right w:val="single" w:sz="4" w:space="0" w:color="FFFFFF" w:themeColor="background1"/>
            </w:tcBorders>
            <w:shd w:val="clear" w:color="auto" w:fill="DEEAF6" w:themeFill="accent1" w:themeFillTint="33"/>
          </w:tcPr>
          <w:p w14:paraId="160F392A" w14:textId="6CC4E9C4" w:rsidR="00685ECD" w:rsidRDefault="00685ECD" w:rsidP="00685ECD">
            <w:pPr>
              <w:rPr>
                <w:rFonts w:cs="Times New Roman"/>
              </w:rPr>
            </w:pPr>
            <w:r w:rsidRPr="00AD1E16">
              <w:rPr>
                <w:rFonts w:cs="Times New Roman"/>
              </w:rPr>
              <w:t>Excel</w:t>
            </w:r>
          </w:p>
        </w:tc>
      </w:tr>
      <w:tr w:rsidR="00685ECD" w:rsidRPr="00893879" w14:paraId="0359320B" w14:textId="77777777" w:rsidTr="00685ECD">
        <w:trPr>
          <w:trHeight w:val="20"/>
        </w:trPr>
        <w:tc>
          <w:tcPr>
            <w:tcW w:w="457" w:type="pct"/>
            <w:tcBorders>
              <w:top w:val="nil"/>
              <w:left w:val="single" w:sz="4" w:space="0" w:color="FFFFFF" w:themeColor="background1"/>
              <w:bottom w:val="nil"/>
              <w:right w:val="nil"/>
            </w:tcBorders>
            <w:shd w:val="clear" w:color="auto" w:fill="DEEAF6" w:themeFill="accent1" w:themeFillTint="33"/>
          </w:tcPr>
          <w:p w14:paraId="5B2A89AE" w14:textId="77777777" w:rsidR="00685ECD" w:rsidRPr="00893879" w:rsidRDefault="00685ECD" w:rsidP="00685ECD">
            <w:pPr>
              <w:rPr>
                <w:rFonts w:cs="Times New Roman"/>
              </w:rPr>
            </w:pPr>
            <w:r w:rsidRPr="00893879">
              <w:rPr>
                <w:rFonts w:cs="Times New Roman"/>
              </w:rPr>
              <w:t>Form D</w:t>
            </w:r>
          </w:p>
        </w:tc>
        <w:tc>
          <w:tcPr>
            <w:tcW w:w="2961" w:type="pct"/>
            <w:tcBorders>
              <w:top w:val="nil"/>
              <w:left w:val="nil"/>
              <w:bottom w:val="nil"/>
              <w:right w:val="nil"/>
            </w:tcBorders>
            <w:shd w:val="clear" w:color="auto" w:fill="DEEAF6" w:themeFill="accent1" w:themeFillTint="33"/>
          </w:tcPr>
          <w:p w14:paraId="72A02C05" w14:textId="6AE88929" w:rsidR="00685ECD" w:rsidRPr="00893879" w:rsidRDefault="00685ECD" w:rsidP="00685ECD">
            <w:pPr>
              <w:rPr>
                <w:rFonts w:cs="Times New Roman"/>
              </w:rPr>
            </w:pPr>
            <w:r w:rsidRPr="00893879">
              <w:rPr>
                <w:rFonts w:cs="Times New Roman"/>
              </w:rPr>
              <w:t>HOPWA Program Agreement</w:t>
            </w:r>
          </w:p>
        </w:tc>
        <w:tc>
          <w:tcPr>
            <w:tcW w:w="541" w:type="pct"/>
            <w:tcBorders>
              <w:top w:val="nil"/>
              <w:left w:val="nil"/>
              <w:bottom w:val="nil"/>
              <w:right w:val="nil"/>
            </w:tcBorders>
            <w:shd w:val="clear" w:color="auto" w:fill="DEEAF6" w:themeFill="accent1" w:themeFillTint="33"/>
          </w:tcPr>
          <w:p w14:paraId="0F6CE25D" w14:textId="1E656894" w:rsidR="00685ECD" w:rsidRPr="00893879" w:rsidRDefault="00685ECD" w:rsidP="00685ECD">
            <w:pPr>
              <w:rPr>
                <w:rFonts w:cs="Times New Roman"/>
              </w:rPr>
            </w:pPr>
            <w:r>
              <w:rPr>
                <w:rFonts w:cs="Times New Roman"/>
              </w:rPr>
              <w:t>Yes</w:t>
            </w:r>
          </w:p>
        </w:tc>
        <w:tc>
          <w:tcPr>
            <w:tcW w:w="541" w:type="pct"/>
            <w:tcBorders>
              <w:top w:val="nil"/>
              <w:left w:val="nil"/>
              <w:bottom w:val="nil"/>
              <w:right w:val="nil"/>
            </w:tcBorders>
            <w:shd w:val="clear" w:color="auto" w:fill="DEEAF6" w:themeFill="accent1" w:themeFillTint="33"/>
          </w:tcPr>
          <w:p w14:paraId="09F0BE6B" w14:textId="50A1B8B6" w:rsidR="00685ECD" w:rsidRPr="00893879" w:rsidRDefault="00685ECD" w:rsidP="00685ECD">
            <w:pPr>
              <w:rPr>
                <w:rFonts w:cs="Times New Roman"/>
              </w:rPr>
            </w:pPr>
            <w:r>
              <w:rPr>
                <w:rFonts w:cs="Times New Roman"/>
              </w:rPr>
              <w:t>Yes</w:t>
            </w:r>
          </w:p>
        </w:tc>
        <w:tc>
          <w:tcPr>
            <w:tcW w:w="500" w:type="pct"/>
            <w:tcBorders>
              <w:top w:val="nil"/>
              <w:left w:val="nil"/>
              <w:bottom w:val="nil"/>
              <w:right w:val="single" w:sz="4" w:space="0" w:color="FFFFFF" w:themeColor="background1"/>
            </w:tcBorders>
            <w:shd w:val="clear" w:color="auto" w:fill="DEEAF6" w:themeFill="accent1" w:themeFillTint="33"/>
          </w:tcPr>
          <w:p w14:paraId="73C5B90E" w14:textId="5948E695" w:rsidR="00685ECD" w:rsidRPr="00893879" w:rsidRDefault="00685ECD" w:rsidP="00685ECD">
            <w:pPr>
              <w:rPr>
                <w:rFonts w:cs="Times New Roman"/>
              </w:rPr>
            </w:pPr>
            <w:r w:rsidRPr="00AD1E16">
              <w:rPr>
                <w:rFonts w:cs="Times New Roman"/>
              </w:rPr>
              <w:t>Excel</w:t>
            </w:r>
          </w:p>
        </w:tc>
      </w:tr>
      <w:tr w:rsidR="00685ECD" w:rsidRPr="00893879" w14:paraId="3497AACB" w14:textId="77777777" w:rsidTr="00685ECD">
        <w:trPr>
          <w:trHeight w:val="20"/>
        </w:trPr>
        <w:tc>
          <w:tcPr>
            <w:tcW w:w="457" w:type="pct"/>
            <w:tcBorders>
              <w:top w:val="nil"/>
              <w:left w:val="single" w:sz="4" w:space="0" w:color="FFFFFF" w:themeColor="background1"/>
              <w:bottom w:val="nil"/>
              <w:right w:val="nil"/>
            </w:tcBorders>
            <w:shd w:val="clear" w:color="auto" w:fill="DEEAF6" w:themeFill="accent1" w:themeFillTint="33"/>
          </w:tcPr>
          <w:p w14:paraId="7B7CEE85" w14:textId="77777777" w:rsidR="00685ECD" w:rsidRPr="00893879" w:rsidRDefault="00685ECD" w:rsidP="00685ECD">
            <w:pPr>
              <w:rPr>
                <w:rFonts w:cs="Times New Roman"/>
              </w:rPr>
            </w:pPr>
            <w:r w:rsidRPr="00893879">
              <w:rPr>
                <w:rFonts w:cs="Times New Roman"/>
              </w:rPr>
              <w:t>Form E</w:t>
            </w:r>
          </w:p>
        </w:tc>
        <w:tc>
          <w:tcPr>
            <w:tcW w:w="2961" w:type="pct"/>
            <w:tcBorders>
              <w:top w:val="nil"/>
              <w:left w:val="nil"/>
              <w:bottom w:val="nil"/>
              <w:right w:val="nil"/>
            </w:tcBorders>
            <w:shd w:val="clear" w:color="auto" w:fill="DEEAF6" w:themeFill="accent1" w:themeFillTint="33"/>
          </w:tcPr>
          <w:p w14:paraId="7387D7F9" w14:textId="77777777" w:rsidR="00685ECD" w:rsidRPr="00893879" w:rsidRDefault="00685ECD" w:rsidP="00685ECD">
            <w:pPr>
              <w:rPr>
                <w:rFonts w:cs="Times New Roman"/>
              </w:rPr>
            </w:pPr>
            <w:r w:rsidRPr="00893879">
              <w:rPr>
                <w:rFonts w:cs="Times New Roman"/>
              </w:rPr>
              <w:t>Demographic and Statistical Data</w:t>
            </w:r>
          </w:p>
        </w:tc>
        <w:tc>
          <w:tcPr>
            <w:tcW w:w="541" w:type="pct"/>
            <w:tcBorders>
              <w:top w:val="nil"/>
              <w:left w:val="nil"/>
              <w:bottom w:val="nil"/>
              <w:right w:val="nil"/>
            </w:tcBorders>
            <w:shd w:val="clear" w:color="auto" w:fill="DEEAF6" w:themeFill="accent1" w:themeFillTint="33"/>
          </w:tcPr>
          <w:p w14:paraId="00036881" w14:textId="4721CA39" w:rsidR="00685ECD" w:rsidRPr="00893879" w:rsidRDefault="00685ECD" w:rsidP="00685ECD">
            <w:pPr>
              <w:rPr>
                <w:rFonts w:cs="Times New Roman"/>
              </w:rPr>
            </w:pPr>
            <w:r>
              <w:rPr>
                <w:rFonts w:cs="Times New Roman"/>
              </w:rPr>
              <w:t>Yes</w:t>
            </w:r>
          </w:p>
        </w:tc>
        <w:tc>
          <w:tcPr>
            <w:tcW w:w="541" w:type="pct"/>
            <w:tcBorders>
              <w:top w:val="nil"/>
              <w:left w:val="nil"/>
              <w:bottom w:val="nil"/>
              <w:right w:val="nil"/>
            </w:tcBorders>
            <w:shd w:val="clear" w:color="auto" w:fill="DEEAF6" w:themeFill="accent1" w:themeFillTint="33"/>
          </w:tcPr>
          <w:p w14:paraId="02D75922" w14:textId="23D2BA0D" w:rsidR="00685ECD" w:rsidRPr="00893879" w:rsidRDefault="00685ECD" w:rsidP="00685ECD">
            <w:pPr>
              <w:rPr>
                <w:rFonts w:cs="Times New Roman"/>
              </w:rPr>
            </w:pPr>
            <w:r>
              <w:rPr>
                <w:rFonts w:cs="Times New Roman"/>
              </w:rPr>
              <w:t>No</w:t>
            </w:r>
          </w:p>
        </w:tc>
        <w:tc>
          <w:tcPr>
            <w:tcW w:w="500" w:type="pct"/>
            <w:tcBorders>
              <w:top w:val="nil"/>
              <w:left w:val="nil"/>
              <w:bottom w:val="nil"/>
              <w:right w:val="single" w:sz="4" w:space="0" w:color="FFFFFF" w:themeColor="background1"/>
            </w:tcBorders>
            <w:shd w:val="clear" w:color="auto" w:fill="DEEAF6" w:themeFill="accent1" w:themeFillTint="33"/>
          </w:tcPr>
          <w:p w14:paraId="1A8327B9" w14:textId="5CC2CF00" w:rsidR="00685ECD" w:rsidRPr="00893879" w:rsidRDefault="00685ECD" w:rsidP="00685ECD">
            <w:pPr>
              <w:rPr>
                <w:rFonts w:cs="Times New Roman"/>
              </w:rPr>
            </w:pPr>
            <w:r w:rsidRPr="00AD1E16">
              <w:rPr>
                <w:rFonts w:cs="Times New Roman"/>
              </w:rPr>
              <w:t>Excel</w:t>
            </w:r>
          </w:p>
        </w:tc>
      </w:tr>
      <w:tr w:rsidR="00685ECD" w:rsidRPr="00893879" w14:paraId="52394310" w14:textId="77777777" w:rsidTr="00685ECD">
        <w:trPr>
          <w:trHeight w:val="20"/>
        </w:trPr>
        <w:tc>
          <w:tcPr>
            <w:tcW w:w="457" w:type="pct"/>
            <w:tcBorders>
              <w:top w:val="nil"/>
              <w:left w:val="single" w:sz="4" w:space="0" w:color="FFFFFF" w:themeColor="background1"/>
              <w:bottom w:val="nil"/>
              <w:right w:val="nil"/>
            </w:tcBorders>
            <w:shd w:val="clear" w:color="auto" w:fill="DEEAF6" w:themeFill="accent1" w:themeFillTint="33"/>
          </w:tcPr>
          <w:p w14:paraId="397FFC46" w14:textId="77777777" w:rsidR="00685ECD" w:rsidRPr="00893879" w:rsidRDefault="00685ECD" w:rsidP="00685ECD">
            <w:pPr>
              <w:rPr>
                <w:rFonts w:cs="Times New Roman"/>
              </w:rPr>
            </w:pPr>
            <w:r w:rsidRPr="00893879">
              <w:rPr>
                <w:rFonts w:cs="Times New Roman"/>
              </w:rPr>
              <w:t>Form F</w:t>
            </w:r>
          </w:p>
        </w:tc>
        <w:tc>
          <w:tcPr>
            <w:tcW w:w="2961" w:type="pct"/>
            <w:tcBorders>
              <w:top w:val="nil"/>
              <w:left w:val="nil"/>
              <w:bottom w:val="nil"/>
              <w:right w:val="nil"/>
            </w:tcBorders>
            <w:shd w:val="clear" w:color="auto" w:fill="DEEAF6" w:themeFill="accent1" w:themeFillTint="33"/>
          </w:tcPr>
          <w:p w14:paraId="49BA4C6E" w14:textId="75E2DF3B" w:rsidR="00685ECD" w:rsidRPr="00893879" w:rsidRDefault="00685ECD" w:rsidP="00685ECD">
            <w:pPr>
              <w:rPr>
                <w:rFonts w:cs="Times New Roman"/>
              </w:rPr>
            </w:pPr>
            <w:r w:rsidRPr="00893879">
              <w:rPr>
                <w:rFonts w:cs="Times New Roman"/>
              </w:rPr>
              <w:t>Consent to Release and/or Obtain Confidential Information</w:t>
            </w:r>
          </w:p>
        </w:tc>
        <w:tc>
          <w:tcPr>
            <w:tcW w:w="541" w:type="pct"/>
            <w:tcBorders>
              <w:top w:val="nil"/>
              <w:left w:val="nil"/>
              <w:bottom w:val="nil"/>
              <w:right w:val="nil"/>
            </w:tcBorders>
            <w:shd w:val="clear" w:color="auto" w:fill="DEEAF6" w:themeFill="accent1" w:themeFillTint="33"/>
          </w:tcPr>
          <w:p w14:paraId="6531DFC8" w14:textId="35461B03" w:rsidR="00685ECD" w:rsidRPr="00893879" w:rsidRDefault="00685ECD" w:rsidP="00685ECD">
            <w:pPr>
              <w:rPr>
                <w:rFonts w:cs="Times New Roman"/>
              </w:rPr>
            </w:pPr>
            <w:r>
              <w:rPr>
                <w:rFonts w:cs="Times New Roman"/>
              </w:rPr>
              <w:t>Yes</w:t>
            </w:r>
          </w:p>
        </w:tc>
        <w:tc>
          <w:tcPr>
            <w:tcW w:w="541" w:type="pct"/>
            <w:tcBorders>
              <w:top w:val="nil"/>
              <w:left w:val="nil"/>
              <w:bottom w:val="nil"/>
              <w:right w:val="nil"/>
            </w:tcBorders>
            <w:shd w:val="clear" w:color="auto" w:fill="DEEAF6" w:themeFill="accent1" w:themeFillTint="33"/>
          </w:tcPr>
          <w:p w14:paraId="7DFDCAB0" w14:textId="7178DE49" w:rsidR="00685ECD" w:rsidRPr="00893879" w:rsidRDefault="00685ECD" w:rsidP="00685ECD">
            <w:pPr>
              <w:rPr>
                <w:rFonts w:cs="Times New Roman"/>
              </w:rPr>
            </w:pPr>
            <w:r>
              <w:rPr>
                <w:rFonts w:cs="Times New Roman"/>
              </w:rPr>
              <w:t>Yes</w:t>
            </w:r>
          </w:p>
        </w:tc>
        <w:tc>
          <w:tcPr>
            <w:tcW w:w="500" w:type="pct"/>
            <w:tcBorders>
              <w:top w:val="nil"/>
              <w:left w:val="nil"/>
              <w:bottom w:val="nil"/>
              <w:right w:val="single" w:sz="4" w:space="0" w:color="FFFFFF" w:themeColor="background1"/>
            </w:tcBorders>
            <w:shd w:val="clear" w:color="auto" w:fill="DEEAF6" w:themeFill="accent1" w:themeFillTint="33"/>
          </w:tcPr>
          <w:p w14:paraId="0C55CA29" w14:textId="388C09EB" w:rsidR="00685ECD" w:rsidRPr="00893879" w:rsidRDefault="00685ECD" w:rsidP="00685ECD">
            <w:pPr>
              <w:rPr>
                <w:rFonts w:cs="Times New Roman"/>
              </w:rPr>
            </w:pPr>
            <w:r w:rsidRPr="00AD1E16">
              <w:rPr>
                <w:rFonts w:cs="Times New Roman"/>
              </w:rPr>
              <w:t>Excel</w:t>
            </w:r>
          </w:p>
        </w:tc>
      </w:tr>
      <w:tr w:rsidR="00685ECD" w:rsidRPr="00893879" w14:paraId="0BCE05A1" w14:textId="77777777" w:rsidTr="00685ECD">
        <w:trPr>
          <w:trHeight w:val="20"/>
        </w:trPr>
        <w:tc>
          <w:tcPr>
            <w:tcW w:w="457" w:type="pct"/>
            <w:tcBorders>
              <w:top w:val="nil"/>
              <w:left w:val="single" w:sz="4" w:space="0" w:color="FFFFFF" w:themeColor="background1"/>
              <w:bottom w:val="nil"/>
              <w:right w:val="nil"/>
            </w:tcBorders>
            <w:shd w:val="clear" w:color="auto" w:fill="DEEAF6" w:themeFill="accent1" w:themeFillTint="33"/>
          </w:tcPr>
          <w:p w14:paraId="0B637DFF" w14:textId="77777777" w:rsidR="00685ECD" w:rsidRPr="00893879" w:rsidRDefault="00685ECD" w:rsidP="00685ECD">
            <w:pPr>
              <w:rPr>
                <w:rFonts w:cs="Times New Roman"/>
              </w:rPr>
            </w:pPr>
            <w:r w:rsidRPr="00893879">
              <w:rPr>
                <w:rFonts w:cs="Times New Roman"/>
              </w:rPr>
              <w:t>Form G</w:t>
            </w:r>
          </w:p>
        </w:tc>
        <w:tc>
          <w:tcPr>
            <w:tcW w:w="2961" w:type="pct"/>
            <w:tcBorders>
              <w:top w:val="nil"/>
              <w:left w:val="nil"/>
              <w:bottom w:val="nil"/>
              <w:right w:val="nil"/>
            </w:tcBorders>
            <w:shd w:val="clear" w:color="auto" w:fill="DEEAF6" w:themeFill="accent1" w:themeFillTint="33"/>
          </w:tcPr>
          <w:p w14:paraId="73D67E58" w14:textId="07709C58" w:rsidR="00685ECD" w:rsidRPr="00893879" w:rsidRDefault="00685ECD" w:rsidP="00685ECD">
            <w:pPr>
              <w:rPr>
                <w:rFonts w:cs="Times New Roman"/>
              </w:rPr>
            </w:pPr>
            <w:r>
              <w:rPr>
                <w:rFonts w:cs="Times New Roman"/>
              </w:rPr>
              <w:t>Housing Quality</w:t>
            </w:r>
            <w:r w:rsidRPr="00893879">
              <w:rPr>
                <w:rFonts w:cs="Times New Roman"/>
              </w:rPr>
              <w:t xml:space="preserve"> Standards Certification</w:t>
            </w:r>
          </w:p>
        </w:tc>
        <w:tc>
          <w:tcPr>
            <w:tcW w:w="541" w:type="pct"/>
            <w:tcBorders>
              <w:top w:val="nil"/>
              <w:left w:val="nil"/>
              <w:bottom w:val="nil"/>
              <w:right w:val="nil"/>
            </w:tcBorders>
            <w:shd w:val="clear" w:color="auto" w:fill="DEEAF6" w:themeFill="accent1" w:themeFillTint="33"/>
          </w:tcPr>
          <w:p w14:paraId="59B2220A" w14:textId="768B8342" w:rsidR="00685ECD" w:rsidRPr="00893879" w:rsidRDefault="00685ECD" w:rsidP="00685ECD">
            <w:pPr>
              <w:rPr>
                <w:rFonts w:cs="Times New Roman"/>
              </w:rPr>
            </w:pPr>
            <w:r>
              <w:rPr>
                <w:rFonts w:cs="Times New Roman"/>
              </w:rPr>
              <w:t>Yes</w:t>
            </w:r>
          </w:p>
        </w:tc>
        <w:tc>
          <w:tcPr>
            <w:tcW w:w="541" w:type="pct"/>
            <w:tcBorders>
              <w:top w:val="nil"/>
              <w:left w:val="nil"/>
              <w:bottom w:val="nil"/>
              <w:right w:val="nil"/>
            </w:tcBorders>
            <w:shd w:val="clear" w:color="auto" w:fill="DEEAF6" w:themeFill="accent1" w:themeFillTint="33"/>
          </w:tcPr>
          <w:p w14:paraId="02E54DA6" w14:textId="366D8592" w:rsidR="00685ECD" w:rsidRPr="00893879" w:rsidRDefault="00685ECD" w:rsidP="00685ECD">
            <w:pPr>
              <w:rPr>
                <w:rFonts w:cs="Times New Roman"/>
              </w:rPr>
            </w:pPr>
            <w:r>
              <w:rPr>
                <w:rFonts w:cs="Times New Roman"/>
              </w:rPr>
              <w:t>No</w:t>
            </w:r>
          </w:p>
        </w:tc>
        <w:tc>
          <w:tcPr>
            <w:tcW w:w="500" w:type="pct"/>
            <w:tcBorders>
              <w:top w:val="nil"/>
              <w:left w:val="nil"/>
              <w:bottom w:val="nil"/>
              <w:right w:val="single" w:sz="4" w:space="0" w:color="FFFFFF" w:themeColor="background1"/>
            </w:tcBorders>
            <w:shd w:val="clear" w:color="auto" w:fill="DEEAF6" w:themeFill="accent1" w:themeFillTint="33"/>
          </w:tcPr>
          <w:p w14:paraId="31E07AA6" w14:textId="6F654AD2" w:rsidR="00685ECD" w:rsidRPr="00893879" w:rsidRDefault="00685ECD" w:rsidP="00685ECD">
            <w:pPr>
              <w:rPr>
                <w:rFonts w:cs="Times New Roman"/>
              </w:rPr>
            </w:pPr>
            <w:r w:rsidRPr="00AD1E16">
              <w:rPr>
                <w:rFonts w:cs="Times New Roman"/>
              </w:rPr>
              <w:t>Excel</w:t>
            </w:r>
          </w:p>
        </w:tc>
      </w:tr>
      <w:tr w:rsidR="008B5649" w:rsidRPr="00893879" w14:paraId="09EA86FB" w14:textId="77777777" w:rsidTr="00066B7E">
        <w:trPr>
          <w:trHeight w:val="20"/>
        </w:trPr>
        <w:tc>
          <w:tcPr>
            <w:tcW w:w="5000"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tcPr>
          <w:p w14:paraId="08965293" w14:textId="77777777" w:rsidR="008B5649" w:rsidRPr="00893879" w:rsidRDefault="008B5649" w:rsidP="005F23DB">
            <w:pPr>
              <w:rPr>
                <w:rFonts w:cs="Times New Roman"/>
                <w:b/>
              </w:rPr>
            </w:pPr>
            <w:r>
              <w:rPr>
                <w:rFonts w:cs="Times New Roman"/>
                <w:b/>
              </w:rPr>
              <w:t>Service</w:t>
            </w:r>
            <w:r w:rsidRPr="00893879">
              <w:rPr>
                <w:rFonts w:cs="Times New Roman"/>
                <w:b/>
              </w:rPr>
              <w:t xml:space="preserve"> Forms</w:t>
            </w:r>
          </w:p>
        </w:tc>
      </w:tr>
      <w:tr w:rsidR="008B5649" w:rsidRPr="00893879" w14:paraId="5BA39379" w14:textId="77777777" w:rsidTr="00066B7E">
        <w:trPr>
          <w:trHeight w:val="20"/>
        </w:trPr>
        <w:tc>
          <w:tcPr>
            <w:tcW w:w="5000" w:type="pct"/>
            <w:gridSpan w:val="5"/>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tcPr>
          <w:p w14:paraId="0548F9CB" w14:textId="679AD345" w:rsidR="008B5649" w:rsidRPr="00DE48B8" w:rsidRDefault="008B5649" w:rsidP="005F23DB">
            <w:pPr>
              <w:rPr>
                <w:rFonts w:cs="Times New Roman"/>
                <w:b/>
                <w:iCs/>
              </w:rPr>
            </w:pPr>
            <w:r w:rsidRPr="00DE48B8">
              <w:rPr>
                <w:rFonts w:cs="Times New Roman"/>
                <w:b/>
                <w:iCs/>
              </w:rPr>
              <w:t>TBRA</w:t>
            </w:r>
            <w:r w:rsidR="00820F72" w:rsidRPr="00DE48B8">
              <w:rPr>
                <w:rFonts w:cs="Times New Roman"/>
                <w:b/>
                <w:iCs/>
                <w:sz w:val="18"/>
              </w:rPr>
              <w:t xml:space="preserve"> and/or </w:t>
            </w:r>
            <w:r w:rsidR="00820F72" w:rsidRPr="00DE48B8">
              <w:rPr>
                <w:rFonts w:cs="Times New Roman"/>
                <w:b/>
                <w:iCs/>
              </w:rPr>
              <w:t>TSH</w:t>
            </w:r>
          </w:p>
        </w:tc>
      </w:tr>
      <w:tr w:rsidR="00AC1D06" w:rsidRPr="00893879" w14:paraId="7ADAD6B1" w14:textId="77777777" w:rsidTr="00685ECD">
        <w:trPr>
          <w:trHeight w:val="20"/>
        </w:trPr>
        <w:tc>
          <w:tcPr>
            <w:tcW w:w="457" w:type="pct"/>
            <w:tcBorders>
              <w:top w:val="nil"/>
              <w:left w:val="single" w:sz="4" w:space="0" w:color="FFFFFF" w:themeColor="background1"/>
              <w:bottom w:val="nil"/>
              <w:right w:val="nil"/>
            </w:tcBorders>
            <w:shd w:val="clear" w:color="auto" w:fill="DEEAF6" w:themeFill="accent1" w:themeFillTint="33"/>
          </w:tcPr>
          <w:p w14:paraId="2D5D61AC" w14:textId="77777777" w:rsidR="00AC1D06" w:rsidRPr="00893879" w:rsidRDefault="00AC1D06" w:rsidP="005F23DB">
            <w:pPr>
              <w:rPr>
                <w:rFonts w:cs="Times New Roman"/>
              </w:rPr>
            </w:pPr>
            <w:r w:rsidRPr="00893879">
              <w:rPr>
                <w:rFonts w:cs="Times New Roman"/>
              </w:rPr>
              <w:t>Form H</w:t>
            </w:r>
          </w:p>
        </w:tc>
        <w:tc>
          <w:tcPr>
            <w:tcW w:w="2961" w:type="pct"/>
            <w:tcBorders>
              <w:top w:val="nil"/>
              <w:left w:val="nil"/>
              <w:bottom w:val="nil"/>
              <w:right w:val="nil"/>
            </w:tcBorders>
            <w:shd w:val="clear" w:color="auto" w:fill="DEEAF6" w:themeFill="accent1" w:themeFillTint="33"/>
          </w:tcPr>
          <w:p w14:paraId="6AF62A4E" w14:textId="5F4C8A05" w:rsidR="00AC1D06" w:rsidRPr="00893879" w:rsidRDefault="00AC1D06" w:rsidP="005F23DB">
            <w:pPr>
              <w:rPr>
                <w:rFonts w:cs="Times New Roman"/>
              </w:rPr>
            </w:pPr>
            <w:r w:rsidRPr="00893879">
              <w:rPr>
                <w:rFonts w:cs="Times New Roman"/>
              </w:rPr>
              <w:t xml:space="preserve">Rent Standard and Rent Reasonableness </w:t>
            </w:r>
            <w:r w:rsidR="00A806A7">
              <w:rPr>
                <w:rFonts w:cs="Times New Roman"/>
              </w:rPr>
              <w:t>Examination</w:t>
            </w:r>
          </w:p>
        </w:tc>
        <w:tc>
          <w:tcPr>
            <w:tcW w:w="541" w:type="pct"/>
            <w:tcBorders>
              <w:top w:val="nil"/>
              <w:left w:val="nil"/>
              <w:bottom w:val="nil"/>
              <w:right w:val="nil"/>
            </w:tcBorders>
            <w:shd w:val="clear" w:color="auto" w:fill="DEEAF6" w:themeFill="accent1" w:themeFillTint="33"/>
          </w:tcPr>
          <w:p w14:paraId="00C1D64B" w14:textId="65ACC36D" w:rsidR="00AC1D06" w:rsidRPr="00893879" w:rsidRDefault="00AC1D06" w:rsidP="005F23DB">
            <w:pPr>
              <w:rPr>
                <w:rFonts w:cs="Times New Roman"/>
              </w:rPr>
            </w:pPr>
            <w:r>
              <w:rPr>
                <w:rFonts w:cs="Times New Roman"/>
              </w:rPr>
              <w:t>Yes</w:t>
            </w:r>
          </w:p>
        </w:tc>
        <w:tc>
          <w:tcPr>
            <w:tcW w:w="541" w:type="pct"/>
            <w:tcBorders>
              <w:top w:val="nil"/>
              <w:left w:val="nil"/>
              <w:bottom w:val="nil"/>
              <w:right w:val="nil"/>
            </w:tcBorders>
            <w:shd w:val="clear" w:color="auto" w:fill="DEEAF6" w:themeFill="accent1" w:themeFillTint="33"/>
          </w:tcPr>
          <w:p w14:paraId="7278DFB8" w14:textId="3C159A83" w:rsidR="00AC1D06" w:rsidRPr="00893879" w:rsidRDefault="00AC1D06" w:rsidP="005F23DB">
            <w:pPr>
              <w:rPr>
                <w:rFonts w:cs="Times New Roman"/>
              </w:rPr>
            </w:pPr>
            <w:r>
              <w:rPr>
                <w:rFonts w:cs="Times New Roman"/>
              </w:rPr>
              <w:t>No</w:t>
            </w:r>
          </w:p>
        </w:tc>
        <w:tc>
          <w:tcPr>
            <w:tcW w:w="500" w:type="pct"/>
            <w:tcBorders>
              <w:top w:val="nil"/>
              <w:left w:val="nil"/>
              <w:bottom w:val="nil"/>
              <w:right w:val="single" w:sz="4" w:space="0" w:color="FFFFFF" w:themeColor="background1"/>
            </w:tcBorders>
            <w:shd w:val="clear" w:color="auto" w:fill="DEEAF6" w:themeFill="accent1" w:themeFillTint="33"/>
          </w:tcPr>
          <w:p w14:paraId="222B86B0" w14:textId="21E86DE8" w:rsidR="00AC1D06" w:rsidRPr="00893879" w:rsidRDefault="009D0036" w:rsidP="005F23DB">
            <w:pPr>
              <w:rPr>
                <w:rFonts w:cs="Times New Roman"/>
              </w:rPr>
            </w:pPr>
            <w:r>
              <w:rPr>
                <w:rFonts w:cs="Times New Roman"/>
              </w:rPr>
              <w:t>Excel</w:t>
            </w:r>
          </w:p>
        </w:tc>
      </w:tr>
      <w:tr w:rsidR="00AC1D06" w:rsidRPr="00893879" w14:paraId="79F99CD0" w14:textId="77777777" w:rsidTr="00685ECD">
        <w:trPr>
          <w:trHeight w:val="20"/>
        </w:trPr>
        <w:tc>
          <w:tcPr>
            <w:tcW w:w="457" w:type="pct"/>
            <w:tcBorders>
              <w:top w:val="nil"/>
              <w:left w:val="single" w:sz="4" w:space="0" w:color="FFFFFF" w:themeColor="background1"/>
              <w:bottom w:val="nil"/>
              <w:right w:val="nil"/>
            </w:tcBorders>
            <w:shd w:val="clear" w:color="auto" w:fill="DEEAF6" w:themeFill="accent1" w:themeFillTint="33"/>
          </w:tcPr>
          <w:p w14:paraId="386B2C74" w14:textId="77777777" w:rsidR="00AC1D06" w:rsidRPr="00893879" w:rsidRDefault="00AC1D06" w:rsidP="00AC1D06">
            <w:pPr>
              <w:rPr>
                <w:rFonts w:cs="Times New Roman"/>
              </w:rPr>
            </w:pPr>
            <w:r w:rsidRPr="00893879">
              <w:rPr>
                <w:rFonts w:cs="Times New Roman"/>
              </w:rPr>
              <w:t>Form I</w:t>
            </w:r>
          </w:p>
        </w:tc>
        <w:tc>
          <w:tcPr>
            <w:tcW w:w="2961" w:type="pct"/>
            <w:tcBorders>
              <w:top w:val="nil"/>
              <w:left w:val="nil"/>
              <w:bottom w:val="nil"/>
              <w:right w:val="nil"/>
            </w:tcBorders>
            <w:shd w:val="clear" w:color="auto" w:fill="DEEAF6" w:themeFill="accent1" w:themeFillTint="33"/>
          </w:tcPr>
          <w:p w14:paraId="2AD073CC" w14:textId="28F923A8" w:rsidR="00AC1D06" w:rsidRPr="00893879" w:rsidRDefault="00AC1D06" w:rsidP="00AC1D06">
            <w:pPr>
              <w:rPr>
                <w:rFonts w:cs="Times New Roman"/>
              </w:rPr>
            </w:pPr>
            <w:r w:rsidRPr="00914AAE">
              <w:rPr>
                <w:rFonts w:cs="Times New Roman"/>
              </w:rPr>
              <w:t xml:space="preserve">Rental Assistance </w:t>
            </w:r>
            <w:r w:rsidRPr="00893879">
              <w:rPr>
                <w:rFonts w:cs="Times New Roman"/>
              </w:rPr>
              <w:t>Worksheet</w:t>
            </w:r>
          </w:p>
        </w:tc>
        <w:tc>
          <w:tcPr>
            <w:tcW w:w="541" w:type="pct"/>
            <w:tcBorders>
              <w:top w:val="nil"/>
              <w:left w:val="nil"/>
              <w:bottom w:val="nil"/>
              <w:right w:val="nil"/>
            </w:tcBorders>
            <w:shd w:val="clear" w:color="auto" w:fill="DEEAF6" w:themeFill="accent1" w:themeFillTint="33"/>
          </w:tcPr>
          <w:p w14:paraId="19F710EF" w14:textId="00A53092" w:rsidR="00AC1D06" w:rsidRPr="00893879" w:rsidRDefault="00AC1D06" w:rsidP="00AC1D06">
            <w:pPr>
              <w:rPr>
                <w:rFonts w:cs="Times New Roman"/>
              </w:rPr>
            </w:pPr>
            <w:r>
              <w:rPr>
                <w:rFonts w:cs="Times New Roman"/>
              </w:rPr>
              <w:t>Yes</w:t>
            </w:r>
          </w:p>
        </w:tc>
        <w:tc>
          <w:tcPr>
            <w:tcW w:w="541" w:type="pct"/>
            <w:tcBorders>
              <w:top w:val="nil"/>
              <w:left w:val="nil"/>
              <w:bottom w:val="nil"/>
              <w:right w:val="nil"/>
            </w:tcBorders>
            <w:shd w:val="clear" w:color="auto" w:fill="DEEAF6" w:themeFill="accent1" w:themeFillTint="33"/>
          </w:tcPr>
          <w:p w14:paraId="02952434" w14:textId="7CEC72EB" w:rsidR="00AC1D06" w:rsidRPr="00893879" w:rsidRDefault="00AC1D06" w:rsidP="00AC1D06">
            <w:pPr>
              <w:rPr>
                <w:rFonts w:cs="Times New Roman"/>
              </w:rPr>
            </w:pPr>
            <w:r w:rsidRPr="008B6BF7">
              <w:rPr>
                <w:rFonts w:cs="Times New Roman"/>
              </w:rPr>
              <w:t>No</w:t>
            </w:r>
          </w:p>
        </w:tc>
        <w:tc>
          <w:tcPr>
            <w:tcW w:w="500" w:type="pct"/>
            <w:tcBorders>
              <w:top w:val="nil"/>
              <w:left w:val="nil"/>
              <w:bottom w:val="nil"/>
              <w:right w:val="single" w:sz="4" w:space="0" w:color="FFFFFF" w:themeColor="background1"/>
            </w:tcBorders>
            <w:shd w:val="clear" w:color="auto" w:fill="DEEAF6" w:themeFill="accent1" w:themeFillTint="33"/>
          </w:tcPr>
          <w:p w14:paraId="2E9A8C00" w14:textId="77777777" w:rsidR="00AC1D06" w:rsidRPr="00893879" w:rsidRDefault="00AC1D06" w:rsidP="00AC1D06">
            <w:pPr>
              <w:rPr>
                <w:rFonts w:cs="Times New Roman"/>
              </w:rPr>
            </w:pPr>
            <w:r>
              <w:rPr>
                <w:rFonts w:cs="Times New Roman"/>
              </w:rPr>
              <w:t>Excel</w:t>
            </w:r>
          </w:p>
        </w:tc>
      </w:tr>
      <w:tr w:rsidR="00AC1D06" w:rsidRPr="00893879" w14:paraId="38AFBF11" w14:textId="77777777" w:rsidTr="00685ECD">
        <w:trPr>
          <w:trHeight w:val="20"/>
        </w:trPr>
        <w:tc>
          <w:tcPr>
            <w:tcW w:w="457" w:type="pct"/>
            <w:tcBorders>
              <w:top w:val="nil"/>
              <w:left w:val="single" w:sz="4" w:space="0" w:color="FFFFFF" w:themeColor="background1"/>
              <w:bottom w:val="nil"/>
              <w:right w:val="nil"/>
            </w:tcBorders>
            <w:shd w:val="clear" w:color="auto" w:fill="DEEAF6" w:themeFill="accent1" w:themeFillTint="33"/>
          </w:tcPr>
          <w:p w14:paraId="7801CCF9" w14:textId="77777777" w:rsidR="00AC1D06" w:rsidRPr="00893879" w:rsidRDefault="00AC1D06" w:rsidP="00AC1D06">
            <w:pPr>
              <w:rPr>
                <w:rFonts w:cs="Times New Roman"/>
              </w:rPr>
            </w:pPr>
            <w:r w:rsidRPr="00893879">
              <w:rPr>
                <w:rFonts w:cs="Times New Roman"/>
              </w:rPr>
              <w:t>Form J</w:t>
            </w:r>
          </w:p>
        </w:tc>
        <w:tc>
          <w:tcPr>
            <w:tcW w:w="2961" w:type="pct"/>
            <w:tcBorders>
              <w:top w:val="nil"/>
              <w:left w:val="nil"/>
              <w:bottom w:val="nil"/>
              <w:right w:val="nil"/>
            </w:tcBorders>
            <w:shd w:val="clear" w:color="auto" w:fill="DEEAF6" w:themeFill="accent1" w:themeFillTint="33"/>
          </w:tcPr>
          <w:p w14:paraId="7DD42BDB" w14:textId="78D9BB78" w:rsidR="00AC1D06" w:rsidRPr="00893879" w:rsidRDefault="00AC1D06" w:rsidP="00AC1D06">
            <w:pPr>
              <w:rPr>
                <w:rFonts w:cs="Times New Roman"/>
              </w:rPr>
            </w:pPr>
            <w:r w:rsidRPr="00893879">
              <w:rPr>
                <w:rFonts w:cs="Times New Roman"/>
              </w:rPr>
              <w:t>Housing Choice Voucher/Other Affordable Housing Waiver</w:t>
            </w:r>
          </w:p>
        </w:tc>
        <w:tc>
          <w:tcPr>
            <w:tcW w:w="541" w:type="pct"/>
            <w:tcBorders>
              <w:top w:val="nil"/>
              <w:left w:val="nil"/>
              <w:bottom w:val="nil"/>
              <w:right w:val="nil"/>
            </w:tcBorders>
            <w:shd w:val="clear" w:color="auto" w:fill="DEEAF6" w:themeFill="accent1" w:themeFillTint="33"/>
          </w:tcPr>
          <w:p w14:paraId="4FA37C73" w14:textId="61C5DDDF" w:rsidR="00AC1D06" w:rsidRPr="00893879" w:rsidRDefault="00AC1D06" w:rsidP="00AC1D06">
            <w:pPr>
              <w:rPr>
                <w:rFonts w:cs="Times New Roman"/>
              </w:rPr>
            </w:pPr>
            <w:r>
              <w:rPr>
                <w:rFonts w:cs="Times New Roman"/>
              </w:rPr>
              <w:t>Yes</w:t>
            </w:r>
          </w:p>
        </w:tc>
        <w:tc>
          <w:tcPr>
            <w:tcW w:w="541" w:type="pct"/>
            <w:tcBorders>
              <w:top w:val="nil"/>
              <w:left w:val="nil"/>
              <w:bottom w:val="nil"/>
              <w:right w:val="nil"/>
            </w:tcBorders>
            <w:shd w:val="clear" w:color="auto" w:fill="DEEAF6" w:themeFill="accent1" w:themeFillTint="33"/>
          </w:tcPr>
          <w:p w14:paraId="78215E92" w14:textId="16018B79" w:rsidR="00AC1D06" w:rsidRPr="00893879" w:rsidRDefault="00AC1D06" w:rsidP="00AC1D06">
            <w:pPr>
              <w:rPr>
                <w:rFonts w:cs="Times New Roman"/>
              </w:rPr>
            </w:pPr>
            <w:r w:rsidRPr="008B6BF7">
              <w:rPr>
                <w:rFonts w:cs="Times New Roman"/>
              </w:rPr>
              <w:t>No</w:t>
            </w:r>
          </w:p>
        </w:tc>
        <w:tc>
          <w:tcPr>
            <w:tcW w:w="500" w:type="pct"/>
            <w:tcBorders>
              <w:top w:val="nil"/>
              <w:left w:val="nil"/>
              <w:bottom w:val="nil"/>
              <w:right w:val="single" w:sz="4" w:space="0" w:color="FFFFFF" w:themeColor="background1"/>
            </w:tcBorders>
            <w:shd w:val="clear" w:color="auto" w:fill="DEEAF6" w:themeFill="accent1" w:themeFillTint="33"/>
          </w:tcPr>
          <w:p w14:paraId="3335F975" w14:textId="1BF43AF3" w:rsidR="00AC1D06" w:rsidRPr="00893879" w:rsidRDefault="0058084A" w:rsidP="00AC1D06">
            <w:pPr>
              <w:rPr>
                <w:rFonts w:cs="Times New Roman"/>
              </w:rPr>
            </w:pPr>
            <w:r>
              <w:rPr>
                <w:rFonts w:cs="Times New Roman"/>
              </w:rPr>
              <w:t>Excel</w:t>
            </w:r>
          </w:p>
        </w:tc>
      </w:tr>
      <w:tr w:rsidR="008B5649" w:rsidRPr="00893879" w14:paraId="7B6A9464" w14:textId="77777777" w:rsidTr="00066B7E">
        <w:trPr>
          <w:trHeight w:val="20"/>
        </w:trPr>
        <w:tc>
          <w:tcPr>
            <w:tcW w:w="5000" w:type="pct"/>
            <w:gridSpan w:val="5"/>
            <w:tcBorders>
              <w:top w:val="nil"/>
              <w:left w:val="single" w:sz="4" w:space="0" w:color="FFFFFF" w:themeColor="background1"/>
              <w:bottom w:val="nil"/>
              <w:right w:val="single" w:sz="4" w:space="0" w:color="FFFFFF" w:themeColor="background1"/>
            </w:tcBorders>
            <w:shd w:val="clear" w:color="auto" w:fill="DEEAF6" w:themeFill="accent1" w:themeFillTint="33"/>
          </w:tcPr>
          <w:p w14:paraId="4941C68B" w14:textId="78B65E12" w:rsidR="008B5649" w:rsidRPr="00DE48B8" w:rsidRDefault="008B5649" w:rsidP="005F23DB">
            <w:pPr>
              <w:rPr>
                <w:rFonts w:cs="Times New Roman"/>
                <w:iCs/>
              </w:rPr>
            </w:pPr>
            <w:r w:rsidRPr="00DE48B8">
              <w:rPr>
                <w:rFonts w:cs="Times New Roman"/>
                <w:b/>
                <w:iCs/>
              </w:rPr>
              <w:t>STRMU</w:t>
            </w:r>
            <w:r w:rsidR="00820F72" w:rsidRPr="00DE48B8">
              <w:rPr>
                <w:rFonts w:cs="Times New Roman"/>
                <w:b/>
                <w:iCs/>
                <w:sz w:val="18"/>
              </w:rPr>
              <w:t xml:space="preserve"> and/or </w:t>
            </w:r>
            <w:r w:rsidR="00820F72" w:rsidRPr="00DE48B8">
              <w:rPr>
                <w:rFonts w:cs="Times New Roman"/>
                <w:b/>
                <w:iCs/>
              </w:rPr>
              <w:t>STSH</w:t>
            </w:r>
          </w:p>
        </w:tc>
      </w:tr>
      <w:tr w:rsidR="00AC1D06" w:rsidRPr="00893879" w14:paraId="4E6B5DCB" w14:textId="77777777" w:rsidTr="00685ECD">
        <w:trPr>
          <w:trHeight w:val="20"/>
        </w:trPr>
        <w:tc>
          <w:tcPr>
            <w:tcW w:w="457" w:type="pct"/>
            <w:tcBorders>
              <w:top w:val="nil"/>
              <w:left w:val="single" w:sz="4" w:space="0" w:color="FFFFFF" w:themeColor="background1"/>
              <w:bottom w:val="nil"/>
              <w:right w:val="nil"/>
            </w:tcBorders>
            <w:shd w:val="clear" w:color="auto" w:fill="DEEAF6" w:themeFill="accent1" w:themeFillTint="33"/>
          </w:tcPr>
          <w:p w14:paraId="42CBAE9F" w14:textId="1529C17C" w:rsidR="00AC1D06" w:rsidRPr="00893879" w:rsidRDefault="00AC1D06" w:rsidP="00AC1D06">
            <w:pPr>
              <w:rPr>
                <w:rFonts w:cs="Times New Roman"/>
              </w:rPr>
            </w:pPr>
            <w:r w:rsidRPr="00893879">
              <w:rPr>
                <w:rFonts w:cs="Times New Roman"/>
              </w:rPr>
              <w:t xml:space="preserve">Form </w:t>
            </w:r>
            <w:proofErr w:type="spellStart"/>
            <w:r w:rsidRPr="00893879">
              <w:rPr>
                <w:rFonts w:cs="Times New Roman"/>
              </w:rPr>
              <w:t>K</w:t>
            </w:r>
            <w:r>
              <w:rPr>
                <w:rFonts w:cs="Times New Roman"/>
              </w:rPr>
              <w:t>1</w:t>
            </w:r>
            <w:proofErr w:type="spellEnd"/>
          </w:p>
        </w:tc>
        <w:tc>
          <w:tcPr>
            <w:tcW w:w="2961" w:type="pct"/>
            <w:tcBorders>
              <w:top w:val="nil"/>
              <w:left w:val="nil"/>
              <w:bottom w:val="nil"/>
              <w:right w:val="nil"/>
            </w:tcBorders>
            <w:shd w:val="clear" w:color="auto" w:fill="DEEAF6" w:themeFill="accent1" w:themeFillTint="33"/>
          </w:tcPr>
          <w:p w14:paraId="54B61EE7" w14:textId="77777777" w:rsidR="00AC1D06" w:rsidRPr="00893879" w:rsidRDefault="00AC1D06" w:rsidP="00AC1D06">
            <w:pPr>
              <w:rPr>
                <w:rFonts w:cs="Times New Roman"/>
              </w:rPr>
            </w:pPr>
            <w:r w:rsidRPr="00893879">
              <w:rPr>
                <w:rFonts w:cs="Times New Roman"/>
              </w:rPr>
              <w:t>STRMU Tracking Worksheet</w:t>
            </w:r>
          </w:p>
        </w:tc>
        <w:tc>
          <w:tcPr>
            <w:tcW w:w="541" w:type="pct"/>
            <w:tcBorders>
              <w:top w:val="nil"/>
              <w:left w:val="nil"/>
              <w:bottom w:val="nil"/>
              <w:right w:val="nil"/>
            </w:tcBorders>
            <w:shd w:val="clear" w:color="auto" w:fill="DEEAF6" w:themeFill="accent1" w:themeFillTint="33"/>
          </w:tcPr>
          <w:p w14:paraId="69CC580F" w14:textId="2C1D3D29" w:rsidR="00AC1D06" w:rsidRPr="00893879" w:rsidRDefault="00AC1D06" w:rsidP="00AC1D06">
            <w:pPr>
              <w:rPr>
                <w:rFonts w:cs="Times New Roman"/>
              </w:rPr>
            </w:pPr>
            <w:r>
              <w:rPr>
                <w:rFonts w:cs="Times New Roman"/>
              </w:rPr>
              <w:t>Yes</w:t>
            </w:r>
          </w:p>
        </w:tc>
        <w:tc>
          <w:tcPr>
            <w:tcW w:w="541" w:type="pct"/>
            <w:tcBorders>
              <w:top w:val="nil"/>
              <w:left w:val="nil"/>
              <w:bottom w:val="nil"/>
              <w:right w:val="nil"/>
            </w:tcBorders>
            <w:shd w:val="clear" w:color="auto" w:fill="DEEAF6" w:themeFill="accent1" w:themeFillTint="33"/>
          </w:tcPr>
          <w:p w14:paraId="1AF6F1FD" w14:textId="6E3AFB18" w:rsidR="00AC1D06" w:rsidRPr="00893879" w:rsidRDefault="00AC1D06" w:rsidP="00AC1D06">
            <w:pPr>
              <w:rPr>
                <w:rFonts w:cs="Times New Roman"/>
              </w:rPr>
            </w:pPr>
            <w:r w:rsidRPr="00A87AF8">
              <w:rPr>
                <w:rFonts w:cs="Times New Roman"/>
              </w:rPr>
              <w:t>No</w:t>
            </w:r>
          </w:p>
        </w:tc>
        <w:tc>
          <w:tcPr>
            <w:tcW w:w="500" w:type="pct"/>
            <w:tcBorders>
              <w:top w:val="nil"/>
              <w:left w:val="nil"/>
              <w:bottom w:val="nil"/>
              <w:right w:val="single" w:sz="4" w:space="0" w:color="FFFFFF" w:themeColor="background1"/>
            </w:tcBorders>
            <w:shd w:val="clear" w:color="auto" w:fill="DEEAF6" w:themeFill="accent1" w:themeFillTint="33"/>
          </w:tcPr>
          <w:p w14:paraId="0EAE43CA" w14:textId="77777777" w:rsidR="00AC1D06" w:rsidRPr="00893879" w:rsidRDefault="00AC1D06" w:rsidP="00AC1D06">
            <w:pPr>
              <w:rPr>
                <w:rFonts w:cs="Times New Roman"/>
              </w:rPr>
            </w:pPr>
            <w:r>
              <w:rPr>
                <w:rFonts w:cs="Times New Roman"/>
              </w:rPr>
              <w:t>Excel</w:t>
            </w:r>
          </w:p>
        </w:tc>
      </w:tr>
      <w:tr w:rsidR="00AC1D06" w:rsidRPr="00893879" w14:paraId="409D380E" w14:textId="77777777" w:rsidTr="00685ECD">
        <w:trPr>
          <w:trHeight w:val="20"/>
        </w:trPr>
        <w:tc>
          <w:tcPr>
            <w:tcW w:w="457" w:type="pct"/>
            <w:tcBorders>
              <w:top w:val="nil"/>
              <w:left w:val="single" w:sz="4" w:space="0" w:color="FFFFFF" w:themeColor="background1"/>
              <w:bottom w:val="nil"/>
              <w:right w:val="nil"/>
            </w:tcBorders>
            <w:shd w:val="clear" w:color="auto" w:fill="DEEAF6" w:themeFill="accent1" w:themeFillTint="33"/>
          </w:tcPr>
          <w:p w14:paraId="7B32FA3D" w14:textId="6A7C4FCB" w:rsidR="00AC1D06" w:rsidRPr="00893879" w:rsidRDefault="00AC1D06" w:rsidP="00AC1D06">
            <w:pPr>
              <w:rPr>
                <w:rFonts w:cs="Times New Roman"/>
              </w:rPr>
            </w:pPr>
            <w:r>
              <w:rPr>
                <w:rFonts w:cs="Times New Roman"/>
              </w:rPr>
              <w:t>Form K2</w:t>
            </w:r>
          </w:p>
        </w:tc>
        <w:tc>
          <w:tcPr>
            <w:tcW w:w="2961" w:type="pct"/>
            <w:tcBorders>
              <w:top w:val="nil"/>
              <w:left w:val="nil"/>
              <w:bottom w:val="nil"/>
              <w:right w:val="nil"/>
            </w:tcBorders>
            <w:shd w:val="clear" w:color="auto" w:fill="DEEAF6" w:themeFill="accent1" w:themeFillTint="33"/>
          </w:tcPr>
          <w:p w14:paraId="1C605BB6" w14:textId="77777777" w:rsidR="00AC1D06" w:rsidRPr="00893879" w:rsidRDefault="00AC1D06" w:rsidP="00AC1D06">
            <w:pPr>
              <w:rPr>
                <w:rFonts w:cs="Times New Roman"/>
              </w:rPr>
            </w:pPr>
            <w:r>
              <w:rPr>
                <w:rFonts w:cs="Times New Roman"/>
              </w:rPr>
              <w:t>STSH Tracking Worksheet</w:t>
            </w:r>
          </w:p>
        </w:tc>
        <w:tc>
          <w:tcPr>
            <w:tcW w:w="541" w:type="pct"/>
            <w:tcBorders>
              <w:top w:val="nil"/>
              <w:left w:val="nil"/>
              <w:bottom w:val="nil"/>
              <w:right w:val="nil"/>
            </w:tcBorders>
            <w:shd w:val="clear" w:color="auto" w:fill="DEEAF6" w:themeFill="accent1" w:themeFillTint="33"/>
          </w:tcPr>
          <w:p w14:paraId="37AB20CC" w14:textId="2B1F219E" w:rsidR="00AC1D06" w:rsidRPr="00893879" w:rsidRDefault="00AC1D06" w:rsidP="00AC1D06">
            <w:pPr>
              <w:rPr>
                <w:rFonts w:cs="Times New Roman"/>
              </w:rPr>
            </w:pPr>
            <w:r>
              <w:rPr>
                <w:rFonts w:cs="Times New Roman"/>
              </w:rPr>
              <w:t>Yes</w:t>
            </w:r>
          </w:p>
        </w:tc>
        <w:tc>
          <w:tcPr>
            <w:tcW w:w="541" w:type="pct"/>
            <w:tcBorders>
              <w:top w:val="nil"/>
              <w:left w:val="nil"/>
              <w:bottom w:val="nil"/>
              <w:right w:val="nil"/>
            </w:tcBorders>
            <w:shd w:val="clear" w:color="auto" w:fill="DEEAF6" w:themeFill="accent1" w:themeFillTint="33"/>
          </w:tcPr>
          <w:p w14:paraId="6DB6F16A" w14:textId="67BFAC1F" w:rsidR="00AC1D06" w:rsidRPr="00893879" w:rsidRDefault="00AC1D06" w:rsidP="00AC1D06">
            <w:pPr>
              <w:rPr>
                <w:rFonts w:cs="Times New Roman"/>
              </w:rPr>
            </w:pPr>
            <w:r w:rsidRPr="00A87AF8">
              <w:rPr>
                <w:rFonts w:cs="Times New Roman"/>
              </w:rPr>
              <w:t>No</w:t>
            </w:r>
          </w:p>
        </w:tc>
        <w:tc>
          <w:tcPr>
            <w:tcW w:w="500" w:type="pct"/>
            <w:tcBorders>
              <w:top w:val="nil"/>
              <w:left w:val="nil"/>
              <w:bottom w:val="nil"/>
              <w:right w:val="single" w:sz="4" w:space="0" w:color="FFFFFF" w:themeColor="background1"/>
            </w:tcBorders>
            <w:shd w:val="clear" w:color="auto" w:fill="DEEAF6" w:themeFill="accent1" w:themeFillTint="33"/>
          </w:tcPr>
          <w:p w14:paraId="1E586812" w14:textId="3C703CD9" w:rsidR="00AC1D06" w:rsidRDefault="00AC1D06" w:rsidP="00AC1D06">
            <w:pPr>
              <w:rPr>
                <w:rFonts w:cs="Times New Roman"/>
              </w:rPr>
            </w:pPr>
            <w:r>
              <w:rPr>
                <w:rFonts w:cs="Times New Roman"/>
              </w:rPr>
              <w:t>Excel</w:t>
            </w:r>
          </w:p>
        </w:tc>
      </w:tr>
      <w:tr w:rsidR="008B5649" w:rsidRPr="00893879" w14:paraId="22589C46" w14:textId="77777777" w:rsidTr="00066B7E">
        <w:trPr>
          <w:trHeight w:val="20"/>
        </w:trPr>
        <w:tc>
          <w:tcPr>
            <w:tcW w:w="5000" w:type="pct"/>
            <w:gridSpan w:val="5"/>
            <w:tcBorders>
              <w:top w:val="nil"/>
              <w:left w:val="single" w:sz="4" w:space="0" w:color="FFFFFF" w:themeColor="background1"/>
              <w:bottom w:val="nil"/>
              <w:right w:val="single" w:sz="4" w:space="0" w:color="FFFFFF" w:themeColor="background1"/>
            </w:tcBorders>
            <w:shd w:val="clear" w:color="auto" w:fill="DEEAF6" w:themeFill="accent1" w:themeFillTint="33"/>
          </w:tcPr>
          <w:p w14:paraId="07FA248B" w14:textId="77777777" w:rsidR="008B5649" w:rsidRPr="00DE48B8" w:rsidRDefault="008B5649" w:rsidP="005F23DB">
            <w:pPr>
              <w:rPr>
                <w:rFonts w:cs="Times New Roman"/>
                <w:iCs/>
              </w:rPr>
            </w:pPr>
            <w:r w:rsidRPr="00DE48B8">
              <w:rPr>
                <w:rFonts w:cs="Times New Roman"/>
                <w:b/>
                <w:iCs/>
              </w:rPr>
              <w:t>PHP</w:t>
            </w:r>
          </w:p>
        </w:tc>
      </w:tr>
      <w:tr w:rsidR="00AC1D06" w:rsidRPr="00893879" w14:paraId="3F903176" w14:textId="77777777" w:rsidTr="00685ECD">
        <w:trPr>
          <w:trHeight w:val="20"/>
        </w:trPr>
        <w:tc>
          <w:tcPr>
            <w:tcW w:w="457" w:type="pct"/>
            <w:tcBorders>
              <w:top w:val="nil"/>
              <w:left w:val="single" w:sz="4" w:space="0" w:color="FFFFFF" w:themeColor="background1"/>
              <w:bottom w:val="nil"/>
              <w:right w:val="nil"/>
            </w:tcBorders>
            <w:shd w:val="clear" w:color="auto" w:fill="DEEAF6" w:themeFill="accent1" w:themeFillTint="33"/>
          </w:tcPr>
          <w:p w14:paraId="3C6FF09D" w14:textId="77777777" w:rsidR="00AC1D06" w:rsidRPr="00893879" w:rsidRDefault="00AC1D06" w:rsidP="005F23DB">
            <w:pPr>
              <w:rPr>
                <w:rFonts w:cs="Times New Roman"/>
              </w:rPr>
            </w:pPr>
            <w:r w:rsidRPr="00893879">
              <w:rPr>
                <w:rFonts w:cs="Times New Roman"/>
              </w:rPr>
              <w:t>Form L</w:t>
            </w:r>
          </w:p>
        </w:tc>
        <w:tc>
          <w:tcPr>
            <w:tcW w:w="2961" w:type="pct"/>
            <w:tcBorders>
              <w:top w:val="nil"/>
              <w:left w:val="nil"/>
              <w:bottom w:val="nil"/>
              <w:right w:val="nil"/>
            </w:tcBorders>
            <w:shd w:val="clear" w:color="auto" w:fill="DEEAF6" w:themeFill="accent1" w:themeFillTint="33"/>
          </w:tcPr>
          <w:p w14:paraId="6501F3A9" w14:textId="77777777" w:rsidR="00AC1D06" w:rsidRPr="00893879" w:rsidRDefault="00AC1D06" w:rsidP="005F23DB">
            <w:pPr>
              <w:rPr>
                <w:rFonts w:cs="Times New Roman"/>
              </w:rPr>
            </w:pPr>
            <w:r w:rsidRPr="00893879">
              <w:rPr>
                <w:rFonts w:cs="Times New Roman"/>
              </w:rPr>
              <w:t xml:space="preserve">PHP Intent to Lease Worksheet </w:t>
            </w:r>
          </w:p>
        </w:tc>
        <w:tc>
          <w:tcPr>
            <w:tcW w:w="541" w:type="pct"/>
            <w:tcBorders>
              <w:top w:val="nil"/>
              <w:left w:val="nil"/>
              <w:bottom w:val="nil"/>
              <w:right w:val="nil"/>
            </w:tcBorders>
            <w:shd w:val="clear" w:color="auto" w:fill="DEEAF6" w:themeFill="accent1" w:themeFillTint="33"/>
          </w:tcPr>
          <w:p w14:paraId="16ED87A5" w14:textId="63FD363E" w:rsidR="00AC1D06" w:rsidRPr="00893879" w:rsidRDefault="00AC1D06" w:rsidP="005F23DB">
            <w:pPr>
              <w:rPr>
                <w:rFonts w:cs="Times New Roman"/>
              </w:rPr>
            </w:pPr>
            <w:r>
              <w:rPr>
                <w:rFonts w:cs="Times New Roman"/>
              </w:rPr>
              <w:t>Yes</w:t>
            </w:r>
          </w:p>
        </w:tc>
        <w:tc>
          <w:tcPr>
            <w:tcW w:w="541" w:type="pct"/>
            <w:tcBorders>
              <w:top w:val="nil"/>
              <w:left w:val="nil"/>
              <w:bottom w:val="nil"/>
              <w:right w:val="nil"/>
            </w:tcBorders>
            <w:shd w:val="clear" w:color="auto" w:fill="DEEAF6" w:themeFill="accent1" w:themeFillTint="33"/>
          </w:tcPr>
          <w:p w14:paraId="2D6E7FF1" w14:textId="55CAE2F1" w:rsidR="00AC1D06" w:rsidRPr="00893879" w:rsidRDefault="00AC1D06" w:rsidP="005F23DB">
            <w:pPr>
              <w:rPr>
                <w:rFonts w:cs="Times New Roman"/>
              </w:rPr>
            </w:pPr>
            <w:r>
              <w:rPr>
                <w:rFonts w:cs="Times New Roman"/>
              </w:rPr>
              <w:t>No</w:t>
            </w:r>
          </w:p>
        </w:tc>
        <w:tc>
          <w:tcPr>
            <w:tcW w:w="500" w:type="pct"/>
            <w:tcBorders>
              <w:top w:val="nil"/>
              <w:left w:val="nil"/>
              <w:bottom w:val="nil"/>
              <w:right w:val="single" w:sz="4" w:space="0" w:color="FFFFFF" w:themeColor="background1"/>
            </w:tcBorders>
            <w:shd w:val="clear" w:color="auto" w:fill="DEEAF6" w:themeFill="accent1" w:themeFillTint="33"/>
          </w:tcPr>
          <w:p w14:paraId="032F1047" w14:textId="03863C0C" w:rsidR="00AC1D06" w:rsidRPr="00893879" w:rsidRDefault="0058084A" w:rsidP="005F23DB">
            <w:pPr>
              <w:rPr>
                <w:rFonts w:cs="Times New Roman"/>
              </w:rPr>
            </w:pPr>
            <w:r>
              <w:rPr>
                <w:rFonts w:cs="Times New Roman"/>
              </w:rPr>
              <w:t>Excel</w:t>
            </w:r>
          </w:p>
        </w:tc>
      </w:tr>
      <w:tr w:rsidR="008B5649" w:rsidRPr="00893879" w14:paraId="65E4AB2E" w14:textId="77777777" w:rsidTr="00066B7E">
        <w:trPr>
          <w:trHeight w:val="20"/>
        </w:trPr>
        <w:tc>
          <w:tcPr>
            <w:tcW w:w="5000" w:type="pct"/>
            <w:gridSpan w:val="5"/>
            <w:tcBorders>
              <w:top w:val="nil"/>
              <w:left w:val="single" w:sz="4" w:space="0" w:color="FFFFFF" w:themeColor="background1"/>
              <w:bottom w:val="nil"/>
              <w:right w:val="single" w:sz="4" w:space="0" w:color="FFFFFF" w:themeColor="background1"/>
            </w:tcBorders>
            <w:shd w:val="clear" w:color="auto" w:fill="DEEAF6" w:themeFill="accent1" w:themeFillTint="33"/>
          </w:tcPr>
          <w:p w14:paraId="19C64228" w14:textId="77777777" w:rsidR="008B5649" w:rsidRPr="00DE48B8" w:rsidRDefault="008B5649" w:rsidP="005F23DB">
            <w:pPr>
              <w:rPr>
                <w:rFonts w:cs="Times New Roman"/>
                <w:b/>
                <w:iCs/>
              </w:rPr>
            </w:pPr>
            <w:r w:rsidRPr="00DE48B8">
              <w:rPr>
                <w:rFonts w:cs="Times New Roman"/>
                <w:b/>
                <w:iCs/>
              </w:rPr>
              <w:t>Supportive Services</w:t>
            </w:r>
          </w:p>
        </w:tc>
      </w:tr>
      <w:tr w:rsidR="00AC1D06" w:rsidRPr="00893879" w14:paraId="39904946" w14:textId="77777777" w:rsidTr="00685ECD">
        <w:trPr>
          <w:trHeight w:val="20"/>
        </w:trPr>
        <w:tc>
          <w:tcPr>
            <w:tcW w:w="457" w:type="pct"/>
            <w:tcBorders>
              <w:top w:val="nil"/>
              <w:left w:val="single" w:sz="4" w:space="0" w:color="FFFFFF" w:themeColor="background1"/>
              <w:bottom w:val="nil"/>
              <w:right w:val="nil"/>
            </w:tcBorders>
            <w:shd w:val="clear" w:color="auto" w:fill="DEEAF6" w:themeFill="accent1" w:themeFillTint="33"/>
          </w:tcPr>
          <w:p w14:paraId="1087FBD3" w14:textId="77777777" w:rsidR="00AC1D06" w:rsidRPr="00893879" w:rsidRDefault="00AC1D06" w:rsidP="005F23DB">
            <w:pPr>
              <w:rPr>
                <w:rFonts w:cs="Times New Roman"/>
              </w:rPr>
            </w:pPr>
            <w:r w:rsidRPr="00893879">
              <w:rPr>
                <w:rFonts w:cs="Times New Roman"/>
              </w:rPr>
              <w:t>Form M</w:t>
            </w:r>
          </w:p>
        </w:tc>
        <w:tc>
          <w:tcPr>
            <w:tcW w:w="2961" w:type="pct"/>
            <w:tcBorders>
              <w:top w:val="nil"/>
              <w:left w:val="nil"/>
              <w:bottom w:val="nil"/>
              <w:right w:val="nil"/>
            </w:tcBorders>
            <w:shd w:val="clear" w:color="auto" w:fill="DEEAF6" w:themeFill="accent1" w:themeFillTint="33"/>
          </w:tcPr>
          <w:p w14:paraId="22E6638B" w14:textId="77777777" w:rsidR="00AC1D06" w:rsidRPr="00893879" w:rsidRDefault="00AC1D06" w:rsidP="005F23DB">
            <w:pPr>
              <w:rPr>
                <w:rFonts w:cs="Times New Roman"/>
              </w:rPr>
            </w:pPr>
            <w:r w:rsidRPr="00893879">
              <w:rPr>
                <w:rFonts w:cs="Times New Roman"/>
              </w:rPr>
              <w:t>Budget Worksheet</w:t>
            </w:r>
          </w:p>
        </w:tc>
        <w:tc>
          <w:tcPr>
            <w:tcW w:w="541" w:type="pct"/>
            <w:tcBorders>
              <w:top w:val="nil"/>
              <w:left w:val="nil"/>
              <w:bottom w:val="nil"/>
              <w:right w:val="nil"/>
            </w:tcBorders>
            <w:shd w:val="clear" w:color="auto" w:fill="DEEAF6" w:themeFill="accent1" w:themeFillTint="33"/>
          </w:tcPr>
          <w:p w14:paraId="7B85A375" w14:textId="36DFEBDF" w:rsidR="00AC1D06" w:rsidRPr="00893879" w:rsidRDefault="00AC1D06" w:rsidP="005F23DB">
            <w:pPr>
              <w:rPr>
                <w:rFonts w:cs="Times New Roman"/>
              </w:rPr>
            </w:pPr>
            <w:r>
              <w:rPr>
                <w:rFonts w:cs="Times New Roman"/>
              </w:rPr>
              <w:t>Yes</w:t>
            </w:r>
          </w:p>
        </w:tc>
        <w:tc>
          <w:tcPr>
            <w:tcW w:w="541" w:type="pct"/>
            <w:tcBorders>
              <w:top w:val="nil"/>
              <w:left w:val="nil"/>
              <w:bottom w:val="nil"/>
              <w:right w:val="nil"/>
            </w:tcBorders>
            <w:shd w:val="clear" w:color="auto" w:fill="DEEAF6" w:themeFill="accent1" w:themeFillTint="33"/>
          </w:tcPr>
          <w:p w14:paraId="4BD487A5" w14:textId="6B5735ED" w:rsidR="00AC1D06" w:rsidRPr="00893879" w:rsidRDefault="00AC1D06" w:rsidP="005F23DB">
            <w:pPr>
              <w:rPr>
                <w:rFonts w:cs="Times New Roman"/>
              </w:rPr>
            </w:pPr>
            <w:r>
              <w:rPr>
                <w:rFonts w:cs="Times New Roman"/>
              </w:rPr>
              <w:t>No</w:t>
            </w:r>
          </w:p>
        </w:tc>
        <w:tc>
          <w:tcPr>
            <w:tcW w:w="500" w:type="pct"/>
            <w:tcBorders>
              <w:top w:val="nil"/>
              <w:left w:val="nil"/>
              <w:bottom w:val="nil"/>
              <w:right w:val="single" w:sz="4" w:space="0" w:color="FFFFFF" w:themeColor="background1"/>
            </w:tcBorders>
            <w:shd w:val="clear" w:color="auto" w:fill="DEEAF6" w:themeFill="accent1" w:themeFillTint="33"/>
          </w:tcPr>
          <w:p w14:paraId="3364B569" w14:textId="77777777" w:rsidR="00AC1D06" w:rsidRPr="00893879" w:rsidRDefault="00AC1D06" w:rsidP="005F23DB">
            <w:pPr>
              <w:rPr>
                <w:rFonts w:cs="Times New Roman"/>
              </w:rPr>
            </w:pPr>
            <w:r>
              <w:rPr>
                <w:rFonts w:cs="Times New Roman"/>
              </w:rPr>
              <w:t>Excel</w:t>
            </w:r>
          </w:p>
        </w:tc>
      </w:tr>
      <w:tr w:rsidR="00AC1D06" w:rsidRPr="00893879" w14:paraId="72B681A5" w14:textId="77777777" w:rsidTr="00685ECD">
        <w:trPr>
          <w:trHeight w:val="20"/>
        </w:trPr>
        <w:tc>
          <w:tcPr>
            <w:tcW w:w="457" w:type="pct"/>
            <w:tcBorders>
              <w:top w:val="nil"/>
              <w:left w:val="single" w:sz="4" w:space="0" w:color="FFFFFF" w:themeColor="background1"/>
              <w:bottom w:val="nil"/>
              <w:right w:val="nil"/>
            </w:tcBorders>
            <w:shd w:val="clear" w:color="auto" w:fill="DEEAF6" w:themeFill="accent1" w:themeFillTint="33"/>
          </w:tcPr>
          <w:p w14:paraId="6F57CAE2" w14:textId="77777777" w:rsidR="00AC1D06" w:rsidRPr="00893879" w:rsidRDefault="00AC1D06" w:rsidP="005F23DB">
            <w:pPr>
              <w:rPr>
                <w:rFonts w:cs="Times New Roman"/>
              </w:rPr>
            </w:pPr>
            <w:r w:rsidRPr="00893879">
              <w:rPr>
                <w:rFonts w:cs="Times New Roman"/>
              </w:rPr>
              <w:t>Form N</w:t>
            </w:r>
          </w:p>
        </w:tc>
        <w:tc>
          <w:tcPr>
            <w:tcW w:w="2961" w:type="pct"/>
            <w:tcBorders>
              <w:top w:val="nil"/>
              <w:left w:val="nil"/>
              <w:bottom w:val="nil"/>
              <w:right w:val="nil"/>
            </w:tcBorders>
            <w:shd w:val="clear" w:color="auto" w:fill="DEEAF6" w:themeFill="accent1" w:themeFillTint="33"/>
          </w:tcPr>
          <w:p w14:paraId="21A97025" w14:textId="53F9E9D2" w:rsidR="00AC1D06" w:rsidRPr="00893879" w:rsidRDefault="00AC1D06" w:rsidP="005F23DB">
            <w:pPr>
              <w:rPr>
                <w:rFonts w:cs="Times New Roman"/>
              </w:rPr>
            </w:pPr>
            <w:r w:rsidRPr="00893879">
              <w:rPr>
                <w:rFonts w:cs="Times New Roman"/>
              </w:rPr>
              <w:t>Housing Plan</w:t>
            </w:r>
          </w:p>
        </w:tc>
        <w:tc>
          <w:tcPr>
            <w:tcW w:w="541" w:type="pct"/>
            <w:tcBorders>
              <w:top w:val="nil"/>
              <w:left w:val="nil"/>
              <w:bottom w:val="nil"/>
              <w:right w:val="nil"/>
            </w:tcBorders>
            <w:shd w:val="clear" w:color="auto" w:fill="DEEAF6" w:themeFill="accent1" w:themeFillTint="33"/>
          </w:tcPr>
          <w:p w14:paraId="7C3FF0DD" w14:textId="759FA8E0" w:rsidR="00AC1D06" w:rsidRPr="00893879" w:rsidRDefault="00AC1D06" w:rsidP="005F23DB">
            <w:pPr>
              <w:rPr>
                <w:rFonts w:cs="Times New Roman"/>
              </w:rPr>
            </w:pPr>
            <w:r>
              <w:rPr>
                <w:rFonts w:cs="Times New Roman"/>
              </w:rPr>
              <w:t>Yes</w:t>
            </w:r>
          </w:p>
        </w:tc>
        <w:tc>
          <w:tcPr>
            <w:tcW w:w="541" w:type="pct"/>
            <w:tcBorders>
              <w:top w:val="nil"/>
              <w:left w:val="nil"/>
              <w:bottom w:val="nil"/>
              <w:right w:val="nil"/>
            </w:tcBorders>
            <w:shd w:val="clear" w:color="auto" w:fill="DEEAF6" w:themeFill="accent1" w:themeFillTint="33"/>
          </w:tcPr>
          <w:p w14:paraId="160F32BF" w14:textId="22AA0BBB" w:rsidR="00AC1D06" w:rsidRPr="00893879" w:rsidRDefault="00DA1828" w:rsidP="005F23DB">
            <w:pPr>
              <w:rPr>
                <w:rFonts w:cs="Times New Roman"/>
              </w:rPr>
            </w:pPr>
            <w:r>
              <w:rPr>
                <w:rFonts w:cs="Times New Roman"/>
              </w:rPr>
              <w:t>No</w:t>
            </w:r>
          </w:p>
        </w:tc>
        <w:tc>
          <w:tcPr>
            <w:tcW w:w="500" w:type="pct"/>
            <w:tcBorders>
              <w:top w:val="nil"/>
              <w:left w:val="nil"/>
              <w:bottom w:val="nil"/>
              <w:right w:val="single" w:sz="4" w:space="0" w:color="FFFFFF" w:themeColor="background1"/>
            </w:tcBorders>
            <w:shd w:val="clear" w:color="auto" w:fill="DEEAF6" w:themeFill="accent1" w:themeFillTint="33"/>
          </w:tcPr>
          <w:p w14:paraId="601A7990" w14:textId="77777777" w:rsidR="00AC1D06" w:rsidRPr="00893879" w:rsidRDefault="00AC1D06" w:rsidP="005F23DB">
            <w:pPr>
              <w:rPr>
                <w:rFonts w:cs="Times New Roman"/>
              </w:rPr>
            </w:pPr>
            <w:r>
              <w:rPr>
                <w:rFonts w:cs="Times New Roman"/>
              </w:rPr>
              <w:t>Excel</w:t>
            </w:r>
          </w:p>
        </w:tc>
      </w:tr>
      <w:tr w:rsidR="008B5649" w:rsidRPr="00893879" w14:paraId="5C13BD49" w14:textId="77777777" w:rsidTr="00066B7E">
        <w:trPr>
          <w:trHeight w:val="20"/>
        </w:trPr>
        <w:tc>
          <w:tcPr>
            <w:tcW w:w="5000"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tcPr>
          <w:p w14:paraId="6A69133B" w14:textId="40A9D7FA" w:rsidR="008B5649" w:rsidRPr="00893879" w:rsidRDefault="008B5649" w:rsidP="005F23DB">
            <w:pPr>
              <w:rPr>
                <w:rFonts w:cs="Times New Roman"/>
              </w:rPr>
            </w:pPr>
            <w:r>
              <w:rPr>
                <w:rFonts w:cs="Times New Roman"/>
                <w:b/>
              </w:rPr>
              <w:t>Interim Recertification Forms</w:t>
            </w:r>
          </w:p>
        </w:tc>
      </w:tr>
      <w:tr w:rsidR="00AC1D06" w:rsidRPr="00893879" w14:paraId="34BA4200" w14:textId="77777777" w:rsidTr="00685ECD">
        <w:trPr>
          <w:trHeight w:val="20"/>
        </w:trPr>
        <w:tc>
          <w:tcPr>
            <w:tcW w:w="457" w:type="pct"/>
            <w:tcBorders>
              <w:top w:val="single" w:sz="4" w:space="0" w:color="FFFFFF" w:themeColor="background1"/>
              <w:left w:val="single" w:sz="4" w:space="0" w:color="FFFFFF" w:themeColor="background1"/>
              <w:bottom w:val="nil"/>
              <w:right w:val="nil"/>
            </w:tcBorders>
            <w:shd w:val="clear" w:color="auto" w:fill="DEEAF6" w:themeFill="accent1" w:themeFillTint="33"/>
          </w:tcPr>
          <w:p w14:paraId="7C518736" w14:textId="77777777" w:rsidR="00AC1D06" w:rsidRPr="00893879" w:rsidRDefault="00AC1D06" w:rsidP="005F23DB">
            <w:pPr>
              <w:rPr>
                <w:rFonts w:cs="Times New Roman"/>
              </w:rPr>
            </w:pPr>
            <w:r w:rsidRPr="00893879">
              <w:rPr>
                <w:rFonts w:cs="Times New Roman"/>
              </w:rPr>
              <w:t>Form O</w:t>
            </w:r>
          </w:p>
        </w:tc>
        <w:tc>
          <w:tcPr>
            <w:tcW w:w="2961" w:type="pct"/>
            <w:tcBorders>
              <w:top w:val="single" w:sz="4" w:space="0" w:color="FFFFFF" w:themeColor="background1"/>
              <w:left w:val="nil"/>
              <w:bottom w:val="nil"/>
              <w:right w:val="nil"/>
            </w:tcBorders>
            <w:shd w:val="clear" w:color="auto" w:fill="DEEAF6" w:themeFill="accent1" w:themeFillTint="33"/>
          </w:tcPr>
          <w:p w14:paraId="45EA5571" w14:textId="358C079D" w:rsidR="00AC1D06" w:rsidRPr="00893879" w:rsidRDefault="00AC1D06">
            <w:pPr>
              <w:rPr>
                <w:rFonts w:cs="Times New Roman"/>
              </w:rPr>
            </w:pPr>
            <w:r w:rsidRPr="00893879">
              <w:rPr>
                <w:rFonts w:cs="Times New Roman"/>
              </w:rPr>
              <w:t>Interim Recertification Worksheet</w:t>
            </w:r>
          </w:p>
        </w:tc>
        <w:tc>
          <w:tcPr>
            <w:tcW w:w="541" w:type="pct"/>
            <w:tcBorders>
              <w:top w:val="single" w:sz="4" w:space="0" w:color="FFFFFF" w:themeColor="background1"/>
              <w:left w:val="nil"/>
              <w:bottom w:val="nil"/>
              <w:right w:val="nil"/>
            </w:tcBorders>
            <w:shd w:val="clear" w:color="auto" w:fill="DEEAF6" w:themeFill="accent1" w:themeFillTint="33"/>
          </w:tcPr>
          <w:p w14:paraId="49DC9BA7" w14:textId="014AB45E" w:rsidR="00AC1D06" w:rsidRPr="00893879" w:rsidRDefault="00AC1D06" w:rsidP="005F23DB">
            <w:pPr>
              <w:rPr>
                <w:rFonts w:cs="Times New Roman"/>
              </w:rPr>
            </w:pPr>
            <w:r>
              <w:rPr>
                <w:rFonts w:cs="Times New Roman"/>
              </w:rPr>
              <w:t>Yes</w:t>
            </w:r>
          </w:p>
        </w:tc>
        <w:tc>
          <w:tcPr>
            <w:tcW w:w="541" w:type="pct"/>
            <w:tcBorders>
              <w:top w:val="single" w:sz="4" w:space="0" w:color="FFFFFF" w:themeColor="background1"/>
              <w:left w:val="nil"/>
              <w:bottom w:val="nil"/>
              <w:right w:val="nil"/>
            </w:tcBorders>
            <w:shd w:val="clear" w:color="auto" w:fill="DEEAF6" w:themeFill="accent1" w:themeFillTint="33"/>
          </w:tcPr>
          <w:p w14:paraId="5EBD1FD2" w14:textId="58EB22D9" w:rsidR="00AC1D06" w:rsidRPr="00893879" w:rsidRDefault="00AC1D06" w:rsidP="005F23DB">
            <w:pPr>
              <w:rPr>
                <w:rFonts w:cs="Times New Roman"/>
              </w:rPr>
            </w:pPr>
            <w:r>
              <w:rPr>
                <w:rFonts w:cs="Times New Roman"/>
              </w:rPr>
              <w:t>Yes</w:t>
            </w:r>
          </w:p>
        </w:tc>
        <w:tc>
          <w:tcPr>
            <w:tcW w:w="500" w:type="pct"/>
            <w:tcBorders>
              <w:top w:val="single" w:sz="4" w:space="0" w:color="FFFFFF" w:themeColor="background1"/>
              <w:left w:val="nil"/>
              <w:bottom w:val="nil"/>
              <w:right w:val="single" w:sz="4" w:space="0" w:color="FFFFFF" w:themeColor="background1"/>
            </w:tcBorders>
            <w:shd w:val="clear" w:color="auto" w:fill="DEEAF6" w:themeFill="accent1" w:themeFillTint="33"/>
          </w:tcPr>
          <w:p w14:paraId="187AA936" w14:textId="4FBA3B93" w:rsidR="00AC1D06" w:rsidRPr="00893879" w:rsidRDefault="0058084A" w:rsidP="005F23DB">
            <w:pPr>
              <w:rPr>
                <w:rFonts w:cs="Times New Roman"/>
              </w:rPr>
            </w:pPr>
            <w:r>
              <w:rPr>
                <w:rFonts w:cs="Times New Roman"/>
              </w:rPr>
              <w:t>Excel</w:t>
            </w:r>
          </w:p>
        </w:tc>
      </w:tr>
      <w:tr w:rsidR="008B5649" w:rsidRPr="00893879" w14:paraId="0C330966" w14:textId="77777777" w:rsidTr="00066B7E">
        <w:trPr>
          <w:trHeight w:val="20"/>
        </w:trPr>
        <w:tc>
          <w:tcPr>
            <w:tcW w:w="5000"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tcPr>
          <w:p w14:paraId="48D771BC" w14:textId="15F10725" w:rsidR="008B5649" w:rsidRPr="00893879" w:rsidRDefault="008B5649">
            <w:pPr>
              <w:rPr>
                <w:rFonts w:cs="Times New Roman"/>
              </w:rPr>
            </w:pPr>
            <w:r w:rsidRPr="00893879">
              <w:rPr>
                <w:rFonts w:cs="Times New Roman"/>
                <w:b/>
              </w:rPr>
              <w:t xml:space="preserve">Outcome Data and Program </w:t>
            </w:r>
            <w:r w:rsidR="004B5285">
              <w:rPr>
                <w:rFonts w:cs="Times New Roman"/>
                <w:b/>
              </w:rPr>
              <w:t xml:space="preserve">Disenrollment </w:t>
            </w:r>
            <w:r>
              <w:rPr>
                <w:rFonts w:cs="Times New Roman"/>
                <w:b/>
              </w:rPr>
              <w:t>Forms</w:t>
            </w:r>
          </w:p>
        </w:tc>
      </w:tr>
      <w:tr w:rsidR="00AC1D06" w:rsidRPr="00893879" w14:paraId="02ECA54F" w14:textId="77777777" w:rsidTr="00685ECD">
        <w:trPr>
          <w:trHeight w:val="20"/>
        </w:trPr>
        <w:tc>
          <w:tcPr>
            <w:tcW w:w="457" w:type="pct"/>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tcPr>
          <w:p w14:paraId="1CFC4834" w14:textId="77777777" w:rsidR="00AC1D06" w:rsidRPr="00893879" w:rsidRDefault="00AC1D06" w:rsidP="005F23DB">
            <w:pPr>
              <w:rPr>
                <w:rFonts w:cs="Times New Roman"/>
              </w:rPr>
            </w:pPr>
            <w:r w:rsidRPr="00893879">
              <w:rPr>
                <w:rFonts w:cs="Times New Roman"/>
              </w:rPr>
              <w:t>Form P</w:t>
            </w:r>
          </w:p>
        </w:tc>
        <w:tc>
          <w:tcPr>
            <w:tcW w:w="2961" w:type="pct"/>
            <w:tcBorders>
              <w:top w:val="single" w:sz="4" w:space="0" w:color="FFFFFF" w:themeColor="background1"/>
              <w:left w:val="nil"/>
              <w:bottom w:val="single" w:sz="4" w:space="0" w:color="FFFFFF" w:themeColor="background1"/>
              <w:right w:val="nil"/>
            </w:tcBorders>
            <w:shd w:val="clear" w:color="auto" w:fill="DEEAF6" w:themeFill="accent1" w:themeFillTint="33"/>
          </w:tcPr>
          <w:p w14:paraId="60A18A39" w14:textId="5AABE14B" w:rsidR="00AC1D06" w:rsidRPr="00893879" w:rsidRDefault="00AC1D06">
            <w:pPr>
              <w:rPr>
                <w:rFonts w:cs="Times New Roman"/>
              </w:rPr>
            </w:pPr>
            <w:r w:rsidRPr="00893879">
              <w:rPr>
                <w:rFonts w:cs="Times New Roman"/>
              </w:rPr>
              <w:t xml:space="preserve">Service Outcome Assessment and Program </w:t>
            </w:r>
            <w:r w:rsidR="004B5285">
              <w:rPr>
                <w:rFonts w:cs="Times New Roman"/>
              </w:rPr>
              <w:t xml:space="preserve">Disenrollment </w:t>
            </w:r>
            <w:r w:rsidRPr="00893879">
              <w:rPr>
                <w:rFonts w:cs="Times New Roman"/>
              </w:rPr>
              <w:t>Worksheet</w:t>
            </w:r>
          </w:p>
        </w:tc>
        <w:tc>
          <w:tcPr>
            <w:tcW w:w="541" w:type="pct"/>
            <w:tcBorders>
              <w:top w:val="single" w:sz="4" w:space="0" w:color="FFFFFF" w:themeColor="background1"/>
              <w:left w:val="nil"/>
              <w:bottom w:val="single" w:sz="4" w:space="0" w:color="FFFFFF" w:themeColor="background1"/>
              <w:right w:val="nil"/>
            </w:tcBorders>
            <w:shd w:val="clear" w:color="auto" w:fill="DEEAF6" w:themeFill="accent1" w:themeFillTint="33"/>
          </w:tcPr>
          <w:p w14:paraId="3040A09F" w14:textId="1E3B579A" w:rsidR="00AC1D06" w:rsidRPr="00893879" w:rsidRDefault="00AC1D06" w:rsidP="005F23DB">
            <w:pPr>
              <w:rPr>
                <w:rFonts w:cs="Times New Roman"/>
              </w:rPr>
            </w:pPr>
            <w:r>
              <w:rPr>
                <w:rFonts w:cs="Times New Roman"/>
              </w:rPr>
              <w:t>Yes</w:t>
            </w:r>
          </w:p>
        </w:tc>
        <w:tc>
          <w:tcPr>
            <w:tcW w:w="541" w:type="pct"/>
            <w:tcBorders>
              <w:top w:val="single" w:sz="4" w:space="0" w:color="FFFFFF" w:themeColor="background1"/>
              <w:left w:val="nil"/>
              <w:bottom w:val="single" w:sz="4" w:space="0" w:color="FFFFFF" w:themeColor="background1"/>
              <w:right w:val="nil"/>
            </w:tcBorders>
            <w:shd w:val="clear" w:color="auto" w:fill="DEEAF6" w:themeFill="accent1" w:themeFillTint="33"/>
          </w:tcPr>
          <w:p w14:paraId="156AA492" w14:textId="0BE919DD" w:rsidR="00AC1D06" w:rsidRPr="00893879" w:rsidRDefault="00AC1D06" w:rsidP="005F23DB">
            <w:pPr>
              <w:rPr>
                <w:rFonts w:cs="Times New Roman"/>
              </w:rPr>
            </w:pPr>
            <w:r>
              <w:rPr>
                <w:rFonts w:cs="Times New Roman"/>
              </w:rPr>
              <w:t>No</w:t>
            </w:r>
          </w:p>
        </w:tc>
        <w:tc>
          <w:tcPr>
            <w:tcW w:w="500" w:type="pct"/>
            <w:tcBorders>
              <w:top w:val="single" w:sz="4" w:space="0" w:color="FFFFFF" w:themeColor="background1"/>
              <w:left w:val="nil"/>
              <w:bottom w:val="single" w:sz="4" w:space="0" w:color="FFFFFF" w:themeColor="background1"/>
              <w:right w:val="single" w:sz="4" w:space="0" w:color="FFFFFF" w:themeColor="background1"/>
            </w:tcBorders>
            <w:shd w:val="clear" w:color="auto" w:fill="DEEAF6" w:themeFill="accent1" w:themeFillTint="33"/>
          </w:tcPr>
          <w:p w14:paraId="373838ED" w14:textId="368C5E7B" w:rsidR="00AC1D06" w:rsidRPr="00893879" w:rsidRDefault="0058084A" w:rsidP="005F23DB">
            <w:pPr>
              <w:rPr>
                <w:rFonts w:cs="Times New Roman"/>
              </w:rPr>
            </w:pPr>
            <w:r>
              <w:rPr>
                <w:rFonts w:cs="Times New Roman"/>
              </w:rPr>
              <w:t>Excel</w:t>
            </w:r>
          </w:p>
        </w:tc>
      </w:tr>
    </w:tbl>
    <w:p w14:paraId="6FBF329F" w14:textId="77777777" w:rsidR="00ED2CA8" w:rsidRPr="00DE48B8" w:rsidRDefault="00ED2CA8" w:rsidP="00DE48B8">
      <w:pPr>
        <w:pStyle w:val="NoSpacing"/>
        <w:rPr>
          <w:rFonts w:eastAsiaTheme="majorEastAsia" w:cstheme="majorBidi"/>
        </w:rPr>
      </w:pPr>
      <w:r w:rsidRPr="00ED2CA8">
        <w:br w:type="page"/>
      </w:r>
    </w:p>
    <w:p w14:paraId="137C8064" w14:textId="060BC7F3" w:rsidR="00BA176C" w:rsidRPr="008A2696" w:rsidRDefault="00A107FE" w:rsidP="00C47331">
      <w:pPr>
        <w:pStyle w:val="Heading1"/>
      </w:pPr>
      <w:bookmarkStart w:id="16" w:name="_Toc140755467"/>
      <w:r w:rsidRPr="008A2696">
        <w:lastRenderedPageBreak/>
        <w:t xml:space="preserve">Section </w:t>
      </w:r>
      <w:r w:rsidR="00D20787">
        <w:t>13</w:t>
      </w:r>
      <w:r w:rsidR="00B10590" w:rsidRPr="008A2696">
        <w:t xml:space="preserve">. </w:t>
      </w:r>
      <w:r w:rsidR="006919D0">
        <w:t xml:space="preserve">Program </w:t>
      </w:r>
      <w:r w:rsidR="00DA6E60">
        <w:t>Eligibility</w:t>
      </w:r>
      <w:bookmarkEnd w:id="16"/>
    </w:p>
    <w:p w14:paraId="32580069" w14:textId="6CD6E593" w:rsidR="00B971F3" w:rsidRPr="00357ADA" w:rsidRDefault="006919D0" w:rsidP="00754E9B">
      <w:pPr>
        <w:pStyle w:val="NoSpacing"/>
        <w:numPr>
          <w:ilvl w:val="1"/>
          <w:numId w:val="34"/>
        </w:numPr>
        <w:rPr>
          <w:rFonts w:cs="Times New Roman"/>
          <w:b/>
          <w:u w:val="single"/>
        </w:rPr>
      </w:pPr>
      <w:r>
        <w:rPr>
          <w:rFonts w:cs="Times New Roman"/>
          <w:b/>
          <w:u w:val="single"/>
        </w:rPr>
        <w:t xml:space="preserve">Program </w:t>
      </w:r>
      <w:r w:rsidR="00B971F3" w:rsidRPr="00357ADA">
        <w:rPr>
          <w:rFonts w:cs="Times New Roman"/>
          <w:b/>
          <w:u w:val="single"/>
        </w:rPr>
        <w:t>Eligibility</w:t>
      </w:r>
      <w:r w:rsidR="00A226AB">
        <w:rPr>
          <w:rFonts w:cs="Times New Roman"/>
          <w:b/>
          <w:u w:val="single"/>
        </w:rPr>
        <w:t xml:space="preserve"> Criteria</w:t>
      </w:r>
    </w:p>
    <w:p w14:paraId="6B010B3E" w14:textId="0092CC07" w:rsidR="00B971F3" w:rsidRPr="008026D4" w:rsidRDefault="005B7F28" w:rsidP="00850524">
      <w:pPr>
        <w:pStyle w:val="NoSpacing"/>
        <w:ind w:left="720"/>
        <w:rPr>
          <w:rFonts w:cs="Times New Roman"/>
        </w:rPr>
      </w:pPr>
      <w:r w:rsidRPr="008026D4">
        <w:rPr>
          <w:rFonts w:cs="Times New Roman"/>
        </w:rPr>
        <w:t xml:space="preserve">Project Sponsors </w:t>
      </w:r>
      <w:r w:rsidR="001B2FD8">
        <w:rPr>
          <w:rFonts w:cs="Times New Roman"/>
        </w:rPr>
        <w:t>determine</w:t>
      </w:r>
      <w:r w:rsidRPr="008026D4">
        <w:rPr>
          <w:rFonts w:cs="Times New Roman"/>
        </w:rPr>
        <w:t xml:space="preserve"> </w:t>
      </w:r>
      <w:r w:rsidR="005A2088">
        <w:rPr>
          <w:rFonts w:cs="Times New Roman"/>
        </w:rPr>
        <w:t>whether applicant households meet</w:t>
      </w:r>
      <w:r w:rsidR="006919D0">
        <w:rPr>
          <w:rFonts w:cs="Times New Roman"/>
        </w:rPr>
        <w:t xml:space="preserve"> </w:t>
      </w:r>
      <w:r w:rsidR="009735E0">
        <w:rPr>
          <w:rFonts w:cs="Times New Roman"/>
        </w:rPr>
        <w:t xml:space="preserve">the </w:t>
      </w:r>
      <w:r w:rsidR="006919D0">
        <w:rPr>
          <w:rFonts w:cs="Times New Roman"/>
        </w:rPr>
        <w:t>program</w:t>
      </w:r>
      <w:r w:rsidR="005A2088">
        <w:rPr>
          <w:rFonts w:cs="Times New Roman"/>
        </w:rPr>
        <w:t xml:space="preserve"> eligibility criteria</w:t>
      </w:r>
      <w:r w:rsidRPr="008026D4">
        <w:rPr>
          <w:rFonts w:cs="Times New Roman"/>
        </w:rPr>
        <w:t>.</w:t>
      </w:r>
      <w:r w:rsidR="00013E4A">
        <w:rPr>
          <w:rFonts w:cs="Times New Roman"/>
        </w:rPr>
        <w:t xml:space="preserve"> I</w:t>
      </w:r>
      <w:r w:rsidR="00013E4A" w:rsidRPr="00013E4A">
        <w:rPr>
          <w:rFonts w:cs="Times New Roman"/>
        </w:rPr>
        <w:t>n shared housing arrangements</w:t>
      </w:r>
      <w:r w:rsidR="00100DB8">
        <w:rPr>
          <w:rFonts w:cs="Times New Roman"/>
        </w:rPr>
        <w:t>,</w:t>
      </w:r>
      <w:r w:rsidR="00013E4A" w:rsidRPr="00013E4A">
        <w:rPr>
          <w:rFonts w:cs="Times New Roman"/>
        </w:rPr>
        <w:t xml:space="preserve"> </w:t>
      </w:r>
      <w:r w:rsidR="00100DB8" w:rsidRPr="00100DB8">
        <w:rPr>
          <w:rFonts w:cs="Times New Roman"/>
        </w:rPr>
        <w:t>where two or more unrelated households</w:t>
      </w:r>
      <w:r w:rsidR="00206548">
        <w:rPr>
          <w:rFonts w:cs="Times New Roman"/>
        </w:rPr>
        <w:t xml:space="preserve"> voluntarily</w:t>
      </w:r>
      <w:r w:rsidR="00100DB8" w:rsidRPr="00100DB8">
        <w:rPr>
          <w:rFonts w:cs="Times New Roman"/>
        </w:rPr>
        <w:t xml:space="preserve"> live together in a unit</w:t>
      </w:r>
      <w:r w:rsidR="00013E4A">
        <w:rPr>
          <w:rFonts w:cs="Times New Roman"/>
        </w:rPr>
        <w:t xml:space="preserve">, Project Sponsors </w:t>
      </w:r>
      <w:r w:rsidR="00B12606">
        <w:rPr>
          <w:rFonts w:cs="Times New Roman"/>
        </w:rPr>
        <w:t xml:space="preserve">assess the eligibility of </w:t>
      </w:r>
      <w:r w:rsidR="001D3728">
        <w:rPr>
          <w:rFonts w:cs="Times New Roman"/>
        </w:rPr>
        <w:t xml:space="preserve">only </w:t>
      </w:r>
      <w:r w:rsidR="00B12606">
        <w:rPr>
          <w:rFonts w:cs="Times New Roman"/>
        </w:rPr>
        <w:t xml:space="preserve">the applicant household, </w:t>
      </w:r>
      <w:r w:rsidR="00013E4A">
        <w:rPr>
          <w:rFonts w:cs="Times New Roman"/>
        </w:rPr>
        <w:t xml:space="preserve">not </w:t>
      </w:r>
      <w:r w:rsidR="00B12606">
        <w:rPr>
          <w:rFonts w:cs="Times New Roman"/>
        </w:rPr>
        <w:t>the other household</w:t>
      </w:r>
      <w:r w:rsidR="001B2FD8">
        <w:rPr>
          <w:rFonts w:cs="Times New Roman"/>
        </w:rPr>
        <w:t>(</w:t>
      </w:r>
      <w:r w:rsidR="00B12606">
        <w:rPr>
          <w:rFonts w:cs="Times New Roman"/>
        </w:rPr>
        <w:t>s</w:t>
      </w:r>
      <w:r w:rsidR="001B2FD8">
        <w:rPr>
          <w:rFonts w:cs="Times New Roman"/>
        </w:rPr>
        <w:t>)</w:t>
      </w:r>
      <w:r w:rsidR="00B12606">
        <w:rPr>
          <w:rFonts w:cs="Times New Roman"/>
        </w:rPr>
        <w:t>.</w:t>
      </w:r>
      <w:r w:rsidR="00E4701B">
        <w:rPr>
          <w:rFonts w:cs="Times New Roman"/>
        </w:rPr>
        <w:t xml:space="preserve"> H</w:t>
      </w:r>
      <w:r w:rsidR="00B12606">
        <w:rPr>
          <w:rFonts w:cs="Times New Roman"/>
        </w:rPr>
        <w:t>ouseholds must meet the following</w:t>
      </w:r>
      <w:r w:rsidR="00354BE7">
        <w:rPr>
          <w:rFonts w:cs="Times New Roman"/>
        </w:rPr>
        <w:t xml:space="preserve"> </w:t>
      </w:r>
      <w:r w:rsidR="0006360E">
        <w:rPr>
          <w:rFonts w:cs="Times New Roman"/>
        </w:rPr>
        <w:t xml:space="preserve">program </w:t>
      </w:r>
      <w:r w:rsidR="006E3DD1">
        <w:rPr>
          <w:rFonts w:cs="Times New Roman"/>
        </w:rPr>
        <w:t>eligibility criteria</w:t>
      </w:r>
      <w:r w:rsidR="00B12606">
        <w:rPr>
          <w:rFonts w:cs="Times New Roman"/>
        </w:rPr>
        <w:t>:</w:t>
      </w:r>
    </w:p>
    <w:p w14:paraId="335FE2BC" w14:textId="1AA9CE89" w:rsidR="00B971F3" w:rsidRPr="008026D4" w:rsidRDefault="00BA176C" w:rsidP="00D57684">
      <w:pPr>
        <w:pStyle w:val="NoSpacing"/>
        <w:numPr>
          <w:ilvl w:val="2"/>
          <w:numId w:val="34"/>
        </w:numPr>
        <w:rPr>
          <w:rFonts w:cs="Times New Roman"/>
        </w:rPr>
      </w:pPr>
      <w:r w:rsidRPr="008026D4">
        <w:rPr>
          <w:rFonts w:cs="Times New Roman"/>
        </w:rPr>
        <w:t xml:space="preserve">At least one household member must </w:t>
      </w:r>
      <w:r w:rsidR="00B159AA">
        <w:rPr>
          <w:rFonts w:cs="Times New Roman"/>
        </w:rPr>
        <w:t>live</w:t>
      </w:r>
      <w:r w:rsidRPr="008026D4">
        <w:rPr>
          <w:rFonts w:cs="Times New Roman"/>
        </w:rPr>
        <w:t xml:space="preserve"> with </w:t>
      </w:r>
      <w:r w:rsidR="00BE7AE5">
        <w:rPr>
          <w:rFonts w:cs="Times New Roman"/>
        </w:rPr>
        <w:t>HIV</w:t>
      </w:r>
      <w:r w:rsidR="00D57684">
        <w:rPr>
          <w:rFonts w:cs="Times New Roman"/>
        </w:rPr>
        <w:t xml:space="preserve"> (24 CFR </w:t>
      </w:r>
      <w:r w:rsidR="00D57684" w:rsidRPr="008026D4">
        <w:rPr>
          <w:rFonts w:cs="Times New Roman"/>
        </w:rPr>
        <w:t>§</w:t>
      </w:r>
      <w:r w:rsidR="00D57684" w:rsidRPr="00D57684">
        <w:rPr>
          <w:rFonts w:cs="Times New Roman"/>
        </w:rPr>
        <w:t>574.3</w:t>
      </w:r>
      <w:r w:rsidR="00D57684">
        <w:rPr>
          <w:rFonts w:cs="Times New Roman"/>
        </w:rPr>
        <w:t>);</w:t>
      </w:r>
    </w:p>
    <w:p w14:paraId="46A14DF7" w14:textId="7F6514C4" w:rsidR="00B971F3" w:rsidRPr="008026D4" w:rsidRDefault="00BA176C" w:rsidP="00754E9B">
      <w:pPr>
        <w:pStyle w:val="NoSpacing"/>
        <w:numPr>
          <w:ilvl w:val="2"/>
          <w:numId w:val="34"/>
        </w:numPr>
        <w:rPr>
          <w:rFonts w:cs="Times New Roman"/>
        </w:rPr>
      </w:pPr>
      <w:r w:rsidRPr="008026D4">
        <w:rPr>
          <w:rFonts w:cs="Times New Roman"/>
        </w:rPr>
        <w:t>Household annua</w:t>
      </w:r>
      <w:r w:rsidR="00C13F8A" w:rsidRPr="008026D4">
        <w:rPr>
          <w:rFonts w:cs="Times New Roman"/>
        </w:rPr>
        <w:t>l income cannot exceed 80 percent</w:t>
      </w:r>
      <w:r w:rsidRPr="008026D4">
        <w:rPr>
          <w:rFonts w:cs="Times New Roman"/>
        </w:rPr>
        <w:t xml:space="preserve"> of area median income per </w:t>
      </w:r>
      <w:r w:rsidR="00B971F3" w:rsidRPr="008026D4">
        <w:rPr>
          <w:rFonts w:cs="Times New Roman"/>
        </w:rPr>
        <w:t>the household’s</w:t>
      </w:r>
      <w:r w:rsidR="00BE7AE5">
        <w:rPr>
          <w:rFonts w:cs="Times New Roman"/>
        </w:rPr>
        <w:t xml:space="preserve"> county of residence</w:t>
      </w:r>
      <w:r w:rsidR="00D57684">
        <w:rPr>
          <w:rFonts w:cs="Times New Roman"/>
        </w:rPr>
        <w:t xml:space="preserve"> (24 CFR </w:t>
      </w:r>
      <w:r w:rsidR="00D57684" w:rsidRPr="008026D4">
        <w:rPr>
          <w:rFonts w:cs="Times New Roman"/>
        </w:rPr>
        <w:t>§</w:t>
      </w:r>
      <w:r w:rsidR="00D57684" w:rsidRPr="00D57684">
        <w:rPr>
          <w:rFonts w:cs="Times New Roman"/>
        </w:rPr>
        <w:t>574.3</w:t>
      </w:r>
      <w:r w:rsidR="00D57684">
        <w:rPr>
          <w:rFonts w:cs="Times New Roman"/>
        </w:rPr>
        <w:t>)</w:t>
      </w:r>
      <w:r w:rsidR="00BE7AE5">
        <w:rPr>
          <w:rFonts w:cs="Times New Roman"/>
        </w:rPr>
        <w:t>; and</w:t>
      </w:r>
    </w:p>
    <w:p w14:paraId="25ED9FE9" w14:textId="320AEDBD" w:rsidR="00DD1040" w:rsidRDefault="00D16646" w:rsidP="00754E9B">
      <w:pPr>
        <w:pStyle w:val="NoSpacing"/>
        <w:numPr>
          <w:ilvl w:val="2"/>
          <w:numId w:val="34"/>
        </w:numPr>
        <w:rPr>
          <w:rFonts w:cs="Times New Roman"/>
        </w:rPr>
      </w:pPr>
      <w:r>
        <w:rPr>
          <w:rFonts w:cs="Times New Roman"/>
        </w:rPr>
        <w:t>The h</w:t>
      </w:r>
      <w:r w:rsidR="00DD1040" w:rsidRPr="008026D4">
        <w:rPr>
          <w:rFonts w:cs="Times New Roman"/>
        </w:rPr>
        <w:t>ousehold</w:t>
      </w:r>
      <w:r w:rsidR="00BA176C" w:rsidRPr="008026D4">
        <w:rPr>
          <w:rFonts w:cs="Times New Roman"/>
        </w:rPr>
        <w:t xml:space="preserve"> must reside in</w:t>
      </w:r>
      <w:r w:rsidR="00371186">
        <w:rPr>
          <w:rFonts w:cs="Times New Roman"/>
        </w:rPr>
        <w:t xml:space="preserve"> the</w:t>
      </w:r>
      <w:r w:rsidR="00BA176C" w:rsidRPr="008026D4">
        <w:rPr>
          <w:rFonts w:cs="Times New Roman"/>
        </w:rPr>
        <w:t xml:space="preserve"> </w:t>
      </w:r>
      <w:r w:rsidR="00BD7996">
        <w:rPr>
          <w:rFonts w:cs="Times New Roman"/>
        </w:rPr>
        <w:t>Project Sponsor’s HSDA</w:t>
      </w:r>
      <w:r w:rsidR="00D57684">
        <w:rPr>
          <w:rFonts w:cs="Times New Roman"/>
        </w:rPr>
        <w:t xml:space="preserve"> (DSHS requirement)</w:t>
      </w:r>
      <w:r w:rsidR="00BA176C" w:rsidRPr="008026D4">
        <w:rPr>
          <w:rFonts w:cs="Times New Roman"/>
        </w:rPr>
        <w:t>.</w:t>
      </w:r>
    </w:p>
    <w:p w14:paraId="78755F3B" w14:textId="77777777" w:rsidR="00BE4BAB" w:rsidRPr="008026D4" w:rsidRDefault="00BE4BAB" w:rsidP="00ED208F">
      <w:pPr>
        <w:pStyle w:val="NoSpacing"/>
        <w:ind w:left="1440"/>
        <w:rPr>
          <w:rFonts w:cs="Times New Roman"/>
        </w:rPr>
      </w:pPr>
    </w:p>
    <w:p w14:paraId="678A7D8B" w14:textId="53924776" w:rsidR="0076264A" w:rsidRPr="00997CAD" w:rsidRDefault="0076264A" w:rsidP="0076264A">
      <w:pPr>
        <w:pStyle w:val="NoSpacing"/>
        <w:numPr>
          <w:ilvl w:val="1"/>
          <w:numId w:val="34"/>
        </w:numPr>
        <w:rPr>
          <w:rFonts w:cs="Times New Roman"/>
          <w:b/>
          <w:u w:val="single"/>
        </w:rPr>
      </w:pPr>
      <w:r w:rsidRPr="00997CAD">
        <w:rPr>
          <w:rFonts w:cs="Times New Roman"/>
          <w:b/>
          <w:u w:val="single"/>
        </w:rPr>
        <w:t xml:space="preserve">Establishing Additional </w:t>
      </w:r>
      <w:r w:rsidR="006919D0">
        <w:rPr>
          <w:rFonts w:cs="Times New Roman"/>
          <w:b/>
          <w:u w:val="single"/>
        </w:rPr>
        <w:t xml:space="preserve">Program </w:t>
      </w:r>
      <w:r>
        <w:rPr>
          <w:rFonts w:cs="Times New Roman"/>
          <w:b/>
          <w:u w:val="single"/>
        </w:rPr>
        <w:t>Eligibility</w:t>
      </w:r>
      <w:r w:rsidRPr="00997CAD">
        <w:rPr>
          <w:rFonts w:cs="Times New Roman"/>
          <w:b/>
          <w:u w:val="single"/>
        </w:rPr>
        <w:t xml:space="preserve"> </w:t>
      </w:r>
      <w:r w:rsidR="009807E5">
        <w:rPr>
          <w:rFonts w:cs="Times New Roman"/>
          <w:b/>
          <w:u w:val="single"/>
        </w:rPr>
        <w:t>Criteria</w:t>
      </w:r>
    </w:p>
    <w:p w14:paraId="3E60B0B8" w14:textId="69160B8E" w:rsidR="0076264A" w:rsidRDefault="009735E0" w:rsidP="00DA098E">
      <w:pPr>
        <w:pStyle w:val="NoSpacing"/>
        <w:ind w:left="720"/>
        <w:rPr>
          <w:rFonts w:cs="Times New Roman"/>
        </w:rPr>
      </w:pPr>
      <w:r w:rsidRPr="00AA771E">
        <w:rPr>
          <w:rFonts w:cs="Times New Roman"/>
        </w:rPr>
        <w:t xml:space="preserve">HUD permits </w:t>
      </w:r>
      <w:r w:rsidR="0076264A" w:rsidRPr="008026D4">
        <w:rPr>
          <w:rFonts w:cs="Times New Roman"/>
        </w:rPr>
        <w:t xml:space="preserve">Project Sponsors </w:t>
      </w:r>
      <w:r>
        <w:rPr>
          <w:rFonts w:cs="Times New Roman"/>
        </w:rPr>
        <w:t>to</w:t>
      </w:r>
      <w:r w:rsidRPr="008026D4">
        <w:rPr>
          <w:rFonts w:cs="Times New Roman"/>
        </w:rPr>
        <w:t xml:space="preserve"> </w:t>
      </w:r>
      <w:r w:rsidR="0076264A" w:rsidRPr="008026D4">
        <w:rPr>
          <w:rFonts w:cs="Times New Roman"/>
        </w:rPr>
        <w:t xml:space="preserve">establish additional </w:t>
      </w:r>
      <w:r w:rsidR="006919D0">
        <w:rPr>
          <w:rFonts w:cs="Times New Roman"/>
        </w:rPr>
        <w:t>program eligibility criteria</w:t>
      </w:r>
      <w:r w:rsidR="0076264A" w:rsidRPr="008026D4">
        <w:rPr>
          <w:rFonts w:cs="Times New Roman"/>
        </w:rPr>
        <w:t xml:space="preserve"> </w:t>
      </w:r>
      <w:r w:rsidR="0076264A" w:rsidRPr="00AA771E">
        <w:rPr>
          <w:rFonts w:cs="Times New Roman"/>
        </w:rPr>
        <w:t xml:space="preserve">as a means of prioritizing benefits to those </w:t>
      </w:r>
      <w:r w:rsidR="00D34186">
        <w:rPr>
          <w:rFonts w:cs="Times New Roman"/>
        </w:rPr>
        <w:t>with the greatest need</w:t>
      </w:r>
      <w:r w:rsidR="0076264A" w:rsidRPr="00AA771E">
        <w:rPr>
          <w:rFonts w:cs="Times New Roman"/>
        </w:rPr>
        <w:t xml:space="preserve">. </w:t>
      </w:r>
      <w:r w:rsidR="00D22435" w:rsidRPr="00AA771E">
        <w:rPr>
          <w:rFonts w:cs="Times New Roman"/>
        </w:rPr>
        <w:t>HUD's Office of Fair Housing and Equal Opportunity (FHEO)</w:t>
      </w:r>
      <w:r w:rsidR="00D22435">
        <w:rPr>
          <w:rFonts w:cs="Times New Roman"/>
        </w:rPr>
        <w:t xml:space="preserve"> </w:t>
      </w:r>
      <w:r w:rsidR="0076264A" w:rsidRPr="00AA771E">
        <w:rPr>
          <w:rFonts w:cs="Times New Roman"/>
        </w:rPr>
        <w:t>must approve</w:t>
      </w:r>
      <w:r w:rsidR="00D22435">
        <w:rPr>
          <w:rFonts w:cs="Times New Roman"/>
        </w:rPr>
        <w:t xml:space="preserve"> local preferences</w:t>
      </w:r>
      <w:r w:rsidR="0076264A" w:rsidRPr="00AA771E">
        <w:rPr>
          <w:rFonts w:cs="Times New Roman"/>
        </w:rPr>
        <w:t xml:space="preserve"> to ensure such practices do not discriminate or inadvertently exclude any persons by design or omission.</w:t>
      </w:r>
      <w:r w:rsidR="0076264A">
        <w:rPr>
          <w:rFonts w:cs="Times New Roman"/>
        </w:rPr>
        <w:t xml:space="preserve"> </w:t>
      </w:r>
      <w:r w:rsidR="0076264A" w:rsidRPr="008026D4">
        <w:rPr>
          <w:rFonts w:cs="Times New Roman"/>
        </w:rPr>
        <w:t xml:space="preserve">If a Project Sponsor establishes additional </w:t>
      </w:r>
      <w:r w:rsidR="006919D0">
        <w:rPr>
          <w:rFonts w:cs="Times New Roman"/>
        </w:rPr>
        <w:t xml:space="preserve">program </w:t>
      </w:r>
      <w:r w:rsidR="009807E5">
        <w:rPr>
          <w:rFonts w:cs="Times New Roman"/>
        </w:rPr>
        <w:t>eligibility criteria</w:t>
      </w:r>
      <w:r w:rsidR="0076264A" w:rsidRPr="008026D4">
        <w:rPr>
          <w:rFonts w:cs="Times New Roman"/>
        </w:rPr>
        <w:t xml:space="preserve">, they must collaborate with </w:t>
      </w:r>
      <w:r w:rsidR="00570DA0">
        <w:rPr>
          <w:rFonts w:cs="Times New Roman"/>
        </w:rPr>
        <w:t>their AA</w:t>
      </w:r>
      <w:r w:rsidR="0076264A" w:rsidRPr="008026D4">
        <w:rPr>
          <w:rFonts w:cs="Times New Roman"/>
        </w:rPr>
        <w:t xml:space="preserve"> to develop a local program policy</w:t>
      </w:r>
      <w:r w:rsidR="0076264A">
        <w:rPr>
          <w:rFonts w:cs="Times New Roman"/>
        </w:rPr>
        <w:t xml:space="preserve">. </w:t>
      </w:r>
      <w:r w:rsidR="00570DA0">
        <w:rPr>
          <w:rFonts w:cs="Times New Roman"/>
        </w:rPr>
        <w:t>Their AA</w:t>
      </w:r>
      <w:r w:rsidR="0076264A" w:rsidRPr="008026D4">
        <w:rPr>
          <w:rFonts w:cs="Times New Roman"/>
        </w:rPr>
        <w:t xml:space="preserve"> must </w:t>
      </w:r>
      <w:r w:rsidR="0076264A">
        <w:rPr>
          <w:rFonts w:cs="Times New Roman"/>
        </w:rPr>
        <w:t xml:space="preserve">consult with DSHS and DSHS must consult with HUD before </w:t>
      </w:r>
      <w:r w:rsidR="008C271C">
        <w:rPr>
          <w:rFonts w:cs="Times New Roman"/>
        </w:rPr>
        <w:t>DSHS approves the policy</w:t>
      </w:r>
      <w:r w:rsidR="0076264A" w:rsidRPr="008026D4">
        <w:rPr>
          <w:rFonts w:cs="Times New Roman"/>
        </w:rPr>
        <w:t xml:space="preserve">. For example, a Project Sponsor could </w:t>
      </w:r>
      <w:r w:rsidR="006B3988">
        <w:rPr>
          <w:rFonts w:cs="Times New Roman"/>
        </w:rPr>
        <w:t>prioritize</w:t>
      </w:r>
      <w:r w:rsidR="006B3988" w:rsidRPr="008026D4">
        <w:rPr>
          <w:rFonts w:cs="Times New Roman"/>
        </w:rPr>
        <w:t xml:space="preserve"> </w:t>
      </w:r>
      <w:r w:rsidR="0076264A" w:rsidRPr="008026D4">
        <w:rPr>
          <w:rFonts w:cs="Times New Roman"/>
        </w:rPr>
        <w:t xml:space="preserve">households at or below 30 percent of area median income per the household’s county of residence. </w:t>
      </w:r>
      <w:r w:rsidR="009C621C" w:rsidRPr="008026D4">
        <w:rPr>
          <w:rFonts w:cs="Times New Roman"/>
        </w:rPr>
        <w:t>Or</w:t>
      </w:r>
      <w:r w:rsidR="0076264A" w:rsidRPr="008026D4">
        <w:rPr>
          <w:rFonts w:cs="Times New Roman"/>
        </w:rPr>
        <w:t xml:space="preserve"> a Project Sponsor could </w:t>
      </w:r>
      <w:r w:rsidR="006B3988">
        <w:rPr>
          <w:rFonts w:cs="Times New Roman"/>
        </w:rPr>
        <w:t>prioritize</w:t>
      </w:r>
      <w:r w:rsidR="0076264A" w:rsidRPr="008026D4">
        <w:rPr>
          <w:rFonts w:cs="Times New Roman"/>
        </w:rPr>
        <w:t xml:space="preserve"> households </w:t>
      </w:r>
      <w:r w:rsidR="001A2676">
        <w:rPr>
          <w:rFonts w:cs="Times New Roman"/>
        </w:rPr>
        <w:t>with a member</w:t>
      </w:r>
      <w:r w:rsidR="00CF2F22">
        <w:rPr>
          <w:rFonts w:cs="Times New Roman"/>
        </w:rPr>
        <w:t xml:space="preserve"> </w:t>
      </w:r>
      <w:r w:rsidR="001A2676">
        <w:rPr>
          <w:rFonts w:cs="Times New Roman"/>
        </w:rPr>
        <w:t>recently</w:t>
      </w:r>
      <w:r w:rsidR="0076264A">
        <w:rPr>
          <w:rFonts w:cs="Times New Roman"/>
        </w:rPr>
        <w:t xml:space="preserve"> discharged from an institution</w:t>
      </w:r>
      <w:r w:rsidR="001A2676">
        <w:rPr>
          <w:rFonts w:cs="Times New Roman"/>
        </w:rPr>
        <w:t>,</w:t>
      </w:r>
      <w:r w:rsidR="0076264A">
        <w:rPr>
          <w:rFonts w:cs="Times New Roman"/>
        </w:rPr>
        <w:t xml:space="preserve"> or </w:t>
      </w:r>
      <w:r w:rsidR="0076264A" w:rsidRPr="008026D4">
        <w:rPr>
          <w:rFonts w:cs="Times New Roman"/>
        </w:rPr>
        <w:t>some other specific situation.</w:t>
      </w:r>
    </w:p>
    <w:p w14:paraId="66F16155" w14:textId="77777777" w:rsidR="0076264A" w:rsidRPr="002A61C8" w:rsidRDefault="0076264A" w:rsidP="00DA098E">
      <w:pPr>
        <w:pStyle w:val="NoSpacing"/>
        <w:ind w:left="720"/>
        <w:rPr>
          <w:rFonts w:cs="Times New Roman"/>
          <w:bCs/>
        </w:rPr>
      </w:pPr>
    </w:p>
    <w:p w14:paraId="557D5423" w14:textId="2752B69B" w:rsidR="00E14F77" w:rsidRPr="00357ADA" w:rsidRDefault="00E14F77" w:rsidP="00754E9B">
      <w:pPr>
        <w:pStyle w:val="NoSpacing"/>
        <w:numPr>
          <w:ilvl w:val="1"/>
          <w:numId w:val="34"/>
        </w:numPr>
        <w:rPr>
          <w:rFonts w:cs="Times New Roman"/>
          <w:b/>
          <w:u w:val="single"/>
        </w:rPr>
      </w:pPr>
      <w:r w:rsidRPr="00357ADA">
        <w:rPr>
          <w:rFonts w:cs="Times New Roman"/>
          <w:b/>
          <w:u w:val="single"/>
        </w:rPr>
        <w:t>Eligibility Confirmation and Documentation Requirements</w:t>
      </w:r>
    </w:p>
    <w:p w14:paraId="44119968" w14:textId="6A6FC4FD" w:rsidR="00E14F77" w:rsidRPr="008026D4" w:rsidRDefault="00030C28" w:rsidP="008F5CBC">
      <w:pPr>
        <w:pStyle w:val="NoSpacing"/>
        <w:ind w:left="720"/>
        <w:rPr>
          <w:rFonts w:cs="Times New Roman"/>
        </w:rPr>
      </w:pPr>
      <w:r>
        <w:rPr>
          <w:rFonts w:cs="Times New Roman"/>
        </w:rPr>
        <w:t xml:space="preserve">Before </w:t>
      </w:r>
      <w:r w:rsidR="001A2676">
        <w:rPr>
          <w:rFonts w:cs="Times New Roman"/>
        </w:rPr>
        <w:t xml:space="preserve">enrolling an </w:t>
      </w:r>
      <w:r>
        <w:rPr>
          <w:rFonts w:cs="Times New Roman"/>
        </w:rPr>
        <w:t xml:space="preserve">applicant household in the program, Project Sponsors confirm </w:t>
      </w:r>
      <w:r w:rsidR="00354BE7">
        <w:rPr>
          <w:rFonts w:cs="Times New Roman"/>
        </w:rPr>
        <w:t>household eligibility</w:t>
      </w:r>
      <w:r w:rsidR="008F5CBC">
        <w:rPr>
          <w:rFonts w:cs="Times New Roman"/>
        </w:rPr>
        <w:t xml:space="preserve"> by</w:t>
      </w:r>
      <w:r>
        <w:rPr>
          <w:rFonts w:cs="Times New Roman"/>
        </w:rPr>
        <w:t xml:space="preserve"> obtaining </w:t>
      </w:r>
      <w:r w:rsidR="00E14F77" w:rsidRPr="008026D4">
        <w:rPr>
          <w:rFonts w:cs="Times New Roman"/>
        </w:rPr>
        <w:t xml:space="preserve">complete </w:t>
      </w:r>
      <w:r w:rsidR="009D0036">
        <w:rPr>
          <w:rFonts w:cs="Times New Roman"/>
        </w:rPr>
        <w:t xml:space="preserve">and acceptable </w:t>
      </w:r>
      <w:r w:rsidR="00BE6FC1">
        <w:rPr>
          <w:rFonts w:cs="Times New Roman"/>
        </w:rPr>
        <w:t>eligibility documentation</w:t>
      </w:r>
      <w:r w:rsidR="006A0FE5">
        <w:rPr>
          <w:rFonts w:cs="Times New Roman"/>
        </w:rPr>
        <w:t xml:space="preserve"> as outlined below</w:t>
      </w:r>
      <w:r w:rsidR="009D0036">
        <w:rPr>
          <w:rFonts w:cs="Times New Roman"/>
        </w:rPr>
        <w:t>.</w:t>
      </w:r>
      <w:r w:rsidR="00464CA3">
        <w:rPr>
          <w:rFonts w:cs="Times New Roman"/>
        </w:rPr>
        <w:t xml:space="preserve"> Project Sponsors </w:t>
      </w:r>
      <w:r w:rsidR="00175397">
        <w:rPr>
          <w:rFonts w:cs="Times New Roman"/>
        </w:rPr>
        <w:t>maintain</w:t>
      </w:r>
      <w:r w:rsidR="00FF6CAA">
        <w:rPr>
          <w:rFonts w:cs="Times New Roman"/>
        </w:rPr>
        <w:t xml:space="preserve"> eligibility documentation in each household’s record. Project Sponsors </w:t>
      </w:r>
      <w:r w:rsidR="00464CA3">
        <w:rPr>
          <w:rFonts w:cs="Times New Roman"/>
        </w:rPr>
        <w:t>notify h</w:t>
      </w:r>
      <w:r w:rsidR="00D57684">
        <w:rPr>
          <w:rFonts w:cs="Times New Roman"/>
        </w:rPr>
        <w:t>ousehold</w:t>
      </w:r>
      <w:r w:rsidR="009D0036">
        <w:rPr>
          <w:rFonts w:cs="Times New Roman"/>
        </w:rPr>
        <w:t>s</w:t>
      </w:r>
      <w:r w:rsidR="00D57684">
        <w:rPr>
          <w:rFonts w:cs="Times New Roman"/>
        </w:rPr>
        <w:t xml:space="preserve"> of their eligibility</w:t>
      </w:r>
      <w:r w:rsidR="00B63A86">
        <w:rPr>
          <w:rFonts w:cs="Times New Roman"/>
        </w:rPr>
        <w:t xml:space="preserve"> or ineligibility</w:t>
      </w:r>
      <w:r w:rsidR="00464CA3">
        <w:rPr>
          <w:rFonts w:cs="Times New Roman"/>
        </w:rPr>
        <w:t xml:space="preserve"> in writing</w:t>
      </w:r>
      <w:r w:rsidR="00636B06">
        <w:rPr>
          <w:rFonts w:cs="Times New Roman"/>
        </w:rPr>
        <w:t>.</w:t>
      </w:r>
    </w:p>
    <w:p w14:paraId="72370AB0" w14:textId="77777777" w:rsidR="00E14F77" w:rsidRDefault="00E14F77" w:rsidP="00754E9B">
      <w:pPr>
        <w:pStyle w:val="NoSpacing"/>
        <w:numPr>
          <w:ilvl w:val="2"/>
          <w:numId w:val="34"/>
        </w:numPr>
        <w:rPr>
          <w:rFonts w:cs="Times New Roman"/>
          <w:b/>
        </w:rPr>
      </w:pPr>
      <w:r w:rsidRPr="00357ADA">
        <w:rPr>
          <w:rFonts w:cs="Times New Roman"/>
          <w:b/>
        </w:rPr>
        <w:t>Proof of HIV seropositivity for at least one household member</w:t>
      </w:r>
    </w:p>
    <w:p w14:paraId="1899D31A" w14:textId="5BC2710A" w:rsidR="001F55B7" w:rsidRPr="00BE6FC1" w:rsidRDefault="001F55B7" w:rsidP="000B43DF">
      <w:pPr>
        <w:pStyle w:val="NoSpacing"/>
        <w:ind w:left="1440"/>
        <w:rPr>
          <w:rFonts w:cs="Times New Roman"/>
          <w:i/>
          <w:sz w:val="18"/>
        </w:rPr>
      </w:pPr>
      <w:r w:rsidRPr="00BE6FC1">
        <w:rPr>
          <w:rFonts w:cs="Times New Roman"/>
          <w:i/>
          <w:sz w:val="18"/>
        </w:rPr>
        <w:t>(</w:t>
      </w:r>
      <w:r w:rsidR="00C421A1">
        <w:rPr>
          <w:rFonts w:cs="Times New Roman"/>
          <w:i/>
          <w:sz w:val="18"/>
        </w:rPr>
        <w:t>This d</w:t>
      </w:r>
      <w:r w:rsidRPr="00BE6FC1">
        <w:rPr>
          <w:rFonts w:cs="Times New Roman"/>
          <w:i/>
          <w:sz w:val="18"/>
        </w:rPr>
        <w:t xml:space="preserve">ocumentation must predate the </w:t>
      </w:r>
      <w:r w:rsidR="003B4657">
        <w:rPr>
          <w:rFonts w:cs="Times New Roman"/>
          <w:i/>
          <w:sz w:val="18"/>
        </w:rPr>
        <w:t xml:space="preserve">initial </w:t>
      </w:r>
      <w:r w:rsidR="002151EE" w:rsidRPr="00BE6FC1">
        <w:rPr>
          <w:rFonts w:cs="Times New Roman"/>
          <w:i/>
          <w:sz w:val="18"/>
        </w:rPr>
        <w:t xml:space="preserve">eligibility </w:t>
      </w:r>
      <w:r w:rsidR="00263F06" w:rsidRPr="00BE6FC1">
        <w:rPr>
          <w:rFonts w:cs="Times New Roman"/>
          <w:i/>
          <w:sz w:val="18"/>
        </w:rPr>
        <w:t>certification</w:t>
      </w:r>
      <w:r w:rsidRPr="00BE6FC1">
        <w:rPr>
          <w:rFonts w:cs="Times New Roman"/>
          <w:i/>
          <w:sz w:val="18"/>
        </w:rPr>
        <w:t xml:space="preserve"> date.)</w:t>
      </w:r>
    </w:p>
    <w:p w14:paraId="6A0804BB" w14:textId="1DEA057C" w:rsidR="00AA71EA" w:rsidRDefault="00455D31" w:rsidP="00AA71EA">
      <w:pPr>
        <w:pStyle w:val="NoSpacing"/>
        <w:ind w:left="1440"/>
        <w:rPr>
          <w:rFonts w:cs="Times New Roman"/>
        </w:rPr>
      </w:pPr>
      <w:r>
        <w:rPr>
          <w:rFonts w:cs="Times New Roman"/>
        </w:rPr>
        <w:t>Project Sponsors may document that a person lives with HIV using one of several options</w:t>
      </w:r>
      <w:r w:rsidR="002250C4">
        <w:rPr>
          <w:rFonts w:cs="Times New Roman"/>
        </w:rPr>
        <w:t xml:space="preserve">, including </w:t>
      </w:r>
      <w:r w:rsidR="002250C4" w:rsidRPr="00AA71EA">
        <w:rPr>
          <w:rFonts w:cs="Times New Roman"/>
        </w:rPr>
        <w:t xml:space="preserve">laboratory test results </w:t>
      </w:r>
      <w:r w:rsidR="002250C4">
        <w:rPr>
          <w:rFonts w:cs="Times New Roman"/>
        </w:rPr>
        <w:t>or other medical records bearing</w:t>
      </w:r>
      <w:r w:rsidR="002250C4" w:rsidRPr="00AA71EA">
        <w:rPr>
          <w:rFonts w:cs="Times New Roman"/>
        </w:rPr>
        <w:t xml:space="preserve"> the </w:t>
      </w:r>
      <w:r w:rsidR="003522C0">
        <w:rPr>
          <w:rFonts w:cs="Times New Roman"/>
        </w:rPr>
        <w:t>eligible individual</w:t>
      </w:r>
      <w:r w:rsidR="002250C4" w:rsidRPr="00AA71EA">
        <w:rPr>
          <w:rFonts w:cs="Times New Roman"/>
        </w:rPr>
        <w:t>’s name</w:t>
      </w:r>
      <w:r w:rsidR="002250C4">
        <w:rPr>
          <w:rFonts w:cs="Times New Roman"/>
        </w:rPr>
        <w:t>.</w:t>
      </w:r>
      <w:r w:rsidR="002250C4" w:rsidRPr="00AA71EA" w:rsidDel="00455D31">
        <w:rPr>
          <w:rFonts w:cs="Times New Roman"/>
        </w:rPr>
        <w:t xml:space="preserve"> </w:t>
      </w:r>
      <w:r w:rsidR="000A379F">
        <w:rPr>
          <w:rFonts w:cs="Times New Roman"/>
        </w:rPr>
        <w:t>The following list provides examples of acceptable eligibility documents.</w:t>
      </w:r>
    </w:p>
    <w:p w14:paraId="2F4334BF" w14:textId="1B721A6A" w:rsidR="00AA71EA" w:rsidRPr="00AA71EA" w:rsidRDefault="00AA71EA" w:rsidP="00AA71EA">
      <w:pPr>
        <w:pStyle w:val="NoSpacing"/>
        <w:ind w:left="1440"/>
        <w:rPr>
          <w:rFonts w:cs="Times New Roman"/>
        </w:rPr>
      </w:pPr>
      <w:r w:rsidRPr="00AA71EA">
        <w:rPr>
          <w:rFonts w:cs="Times New Roman"/>
          <w:b/>
          <w:color w:val="C00000"/>
        </w:rPr>
        <w:t>NOTE:</w:t>
      </w:r>
      <w:r w:rsidRPr="00AA71EA">
        <w:rPr>
          <w:rFonts w:cs="Times New Roman"/>
          <w:color w:val="C00000"/>
        </w:rPr>
        <w:t xml:space="preserve"> HIV testing technology </w:t>
      </w:r>
      <w:r>
        <w:rPr>
          <w:rFonts w:cs="Times New Roman"/>
          <w:color w:val="C00000"/>
        </w:rPr>
        <w:t>changes rapidly</w:t>
      </w:r>
      <w:r w:rsidRPr="00AA71EA">
        <w:rPr>
          <w:rFonts w:cs="Times New Roman"/>
          <w:color w:val="C00000"/>
        </w:rPr>
        <w:t xml:space="preserve"> and </w:t>
      </w:r>
      <w:r>
        <w:rPr>
          <w:rFonts w:cs="Times New Roman"/>
          <w:color w:val="C00000"/>
        </w:rPr>
        <w:t>standards for</w:t>
      </w:r>
      <w:r w:rsidRPr="00AA71EA">
        <w:rPr>
          <w:rFonts w:cs="Times New Roman"/>
          <w:color w:val="C00000"/>
        </w:rPr>
        <w:t xml:space="preserve"> HIV confirmation </w:t>
      </w:r>
      <w:r w:rsidR="00703344">
        <w:rPr>
          <w:rFonts w:cs="Times New Roman"/>
          <w:color w:val="C00000"/>
        </w:rPr>
        <w:t>continually</w:t>
      </w:r>
      <w:r w:rsidR="00703344" w:rsidRPr="00AA71EA">
        <w:rPr>
          <w:rFonts w:cs="Times New Roman"/>
          <w:color w:val="C00000"/>
        </w:rPr>
        <w:t xml:space="preserve"> </w:t>
      </w:r>
      <w:r w:rsidRPr="00AA71EA">
        <w:rPr>
          <w:rFonts w:cs="Times New Roman"/>
          <w:color w:val="C00000"/>
        </w:rPr>
        <w:t xml:space="preserve">evolve. </w:t>
      </w:r>
      <w:r>
        <w:rPr>
          <w:rFonts w:cs="Times New Roman"/>
          <w:color w:val="C00000"/>
        </w:rPr>
        <w:t>Project Sponsors</w:t>
      </w:r>
      <w:r w:rsidRPr="00AA71EA">
        <w:rPr>
          <w:rFonts w:cs="Times New Roman"/>
          <w:color w:val="C00000"/>
        </w:rPr>
        <w:t xml:space="preserve"> </w:t>
      </w:r>
      <w:r w:rsidR="006F4193">
        <w:rPr>
          <w:rFonts w:cs="Times New Roman"/>
          <w:color w:val="C00000"/>
        </w:rPr>
        <w:t>should</w:t>
      </w:r>
      <w:r w:rsidR="006F4193" w:rsidRPr="00AA71EA">
        <w:rPr>
          <w:rFonts w:cs="Times New Roman"/>
          <w:color w:val="C00000"/>
        </w:rPr>
        <w:t xml:space="preserve"> </w:t>
      </w:r>
      <w:r w:rsidRPr="00AA71EA">
        <w:rPr>
          <w:rFonts w:cs="Times New Roman"/>
          <w:color w:val="C00000"/>
        </w:rPr>
        <w:t>stay informed of advances as newer tests may also provide proof of HIV.</w:t>
      </w:r>
    </w:p>
    <w:p w14:paraId="44A1EEF5" w14:textId="51402271" w:rsidR="00E14F77" w:rsidRDefault="00AA71EA" w:rsidP="003A5712">
      <w:pPr>
        <w:pStyle w:val="NoSpacing"/>
        <w:numPr>
          <w:ilvl w:val="3"/>
          <w:numId w:val="34"/>
        </w:numPr>
        <w:ind w:left="1890" w:hanging="450"/>
        <w:rPr>
          <w:rFonts w:cs="Times New Roman"/>
        </w:rPr>
      </w:pPr>
      <w:r w:rsidRPr="00AA71EA">
        <w:rPr>
          <w:rFonts w:cs="Times New Roman"/>
        </w:rPr>
        <w:t>Positive result from HIV screening test (M</w:t>
      </w:r>
      <w:r>
        <w:rPr>
          <w:rFonts w:cs="Times New Roman"/>
        </w:rPr>
        <w:t>ulti-Spot, HIV 1/2 Combo Ab/Ag Enzyme I</w:t>
      </w:r>
      <w:r w:rsidRPr="00AA71EA">
        <w:rPr>
          <w:rFonts w:cs="Times New Roman"/>
        </w:rPr>
        <w:t>mmunoassay [EIA])</w:t>
      </w:r>
      <w:r w:rsidR="00E14F77" w:rsidRPr="008026D4">
        <w:rPr>
          <w:rFonts w:cs="Times New Roman"/>
        </w:rPr>
        <w:t>;</w:t>
      </w:r>
    </w:p>
    <w:p w14:paraId="4FF231F7" w14:textId="1C8231AC" w:rsidR="00AA71EA" w:rsidRDefault="00AA71EA" w:rsidP="003A5712">
      <w:pPr>
        <w:pStyle w:val="NoSpacing"/>
        <w:numPr>
          <w:ilvl w:val="3"/>
          <w:numId w:val="34"/>
        </w:numPr>
        <w:ind w:left="1890" w:hanging="450"/>
        <w:rPr>
          <w:rFonts w:cs="Times New Roman"/>
        </w:rPr>
      </w:pPr>
      <w:r w:rsidRPr="00AA71EA">
        <w:rPr>
          <w:rFonts w:cs="Times New Roman"/>
        </w:rPr>
        <w:t>Positive result from an HIV 1 RNA qualitative virologic test such as a HIV 1 Nucleic Acid Amplification Test (NAAT);</w:t>
      </w:r>
    </w:p>
    <w:p w14:paraId="49B84EC1" w14:textId="69A4D862" w:rsidR="00AA71EA" w:rsidRPr="008026D4" w:rsidRDefault="00AA71EA" w:rsidP="003A5712">
      <w:pPr>
        <w:pStyle w:val="NoSpacing"/>
        <w:numPr>
          <w:ilvl w:val="3"/>
          <w:numId w:val="34"/>
        </w:numPr>
        <w:ind w:left="1890" w:hanging="450"/>
        <w:rPr>
          <w:rFonts w:cs="Times New Roman"/>
        </w:rPr>
      </w:pPr>
      <w:r w:rsidRPr="00AA71EA">
        <w:rPr>
          <w:rFonts w:cs="Times New Roman"/>
        </w:rPr>
        <w:t>Detectable quantity from an HIV 1 RNA quantitative virologic test (</w:t>
      </w:r>
      <w:r w:rsidR="009C621C">
        <w:rPr>
          <w:rFonts w:cs="Times New Roman"/>
        </w:rPr>
        <w:t>e</w:t>
      </w:r>
      <w:r w:rsidR="009C621C" w:rsidRPr="00AA71EA">
        <w:rPr>
          <w:rFonts w:cs="Times New Roman"/>
        </w:rPr>
        <w:t>.g.,</w:t>
      </w:r>
      <w:r w:rsidRPr="00AA71EA">
        <w:rPr>
          <w:rFonts w:cs="Times New Roman"/>
        </w:rPr>
        <w:t xml:space="preserve"> viral load test)</w:t>
      </w:r>
      <w:r>
        <w:rPr>
          <w:rFonts w:cs="Times New Roman"/>
        </w:rPr>
        <w:t>;</w:t>
      </w:r>
    </w:p>
    <w:p w14:paraId="135911EF" w14:textId="6FE226BD" w:rsidR="00E14F77" w:rsidRDefault="00E14F77" w:rsidP="003A5712">
      <w:pPr>
        <w:pStyle w:val="NoSpacing"/>
        <w:numPr>
          <w:ilvl w:val="3"/>
          <w:numId w:val="34"/>
        </w:numPr>
        <w:ind w:left="1890" w:hanging="450"/>
        <w:rPr>
          <w:rFonts w:cs="Times New Roman"/>
        </w:rPr>
      </w:pPr>
      <w:r w:rsidRPr="008026D4">
        <w:rPr>
          <w:rFonts w:cs="Times New Roman"/>
        </w:rPr>
        <w:t xml:space="preserve">Report of detectable HIV “viral load” that includes the name of the </w:t>
      </w:r>
      <w:r w:rsidR="003522C0">
        <w:rPr>
          <w:rFonts w:cs="Times New Roman"/>
        </w:rPr>
        <w:t>eligible individual</w:t>
      </w:r>
      <w:r w:rsidRPr="008026D4">
        <w:rPr>
          <w:rFonts w:cs="Times New Roman"/>
        </w:rPr>
        <w:t>;</w:t>
      </w:r>
    </w:p>
    <w:p w14:paraId="6DF1C361" w14:textId="51F5060A" w:rsidR="00AA71EA" w:rsidRDefault="00AA71EA" w:rsidP="003A5712">
      <w:pPr>
        <w:pStyle w:val="NoSpacing"/>
        <w:numPr>
          <w:ilvl w:val="3"/>
          <w:numId w:val="34"/>
        </w:numPr>
        <w:ind w:left="1890" w:hanging="450"/>
        <w:rPr>
          <w:rFonts w:cs="Times New Roman"/>
        </w:rPr>
      </w:pPr>
      <w:r w:rsidRPr="00AA71EA">
        <w:rPr>
          <w:rFonts w:cs="Times New Roman"/>
        </w:rPr>
        <w:t xml:space="preserve">A signed statement from a physician, physician’s assistant, advanced practice nurse, or registered nurse attesting to the HIV-positive status of the </w:t>
      </w:r>
      <w:r w:rsidR="003522C0">
        <w:rPr>
          <w:rFonts w:cs="Times New Roman"/>
        </w:rPr>
        <w:t>eligible individual</w:t>
      </w:r>
      <w:r w:rsidRPr="00AA71EA">
        <w:rPr>
          <w:rFonts w:cs="Times New Roman"/>
        </w:rPr>
        <w:t>;</w:t>
      </w:r>
    </w:p>
    <w:p w14:paraId="1BA48353" w14:textId="5D406039" w:rsidR="00AA71EA" w:rsidRDefault="00AA71EA" w:rsidP="003A5712">
      <w:pPr>
        <w:pStyle w:val="NoSpacing"/>
        <w:numPr>
          <w:ilvl w:val="3"/>
          <w:numId w:val="34"/>
        </w:numPr>
        <w:ind w:left="1890" w:hanging="450"/>
        <w:rPr>
          <w:rFonts w:cs="Times New Roman"/>
        </w:rPr>
      </w:pPr>
      <w:r w:rsidRPr="00AA71EA">
        <w:rPr>
          <w:rFonts w:cs="Times New Roman"/>
        </w:rPr>
        <w:t>A completed THMP Medical Certification Form signed by the physician; or</w:t>
      </w:r>
    </w:p>
    <w:p w14:paraId="09B85230" w14:textId="47FC4E68" w:rsidR="00AA71EA" w:rsidRPr="008026D4" w:rsidRDefault="00AA71EA" w:rsidP="003A5712">
      <w:pPr>
        <w:pStyle w:val="NoSpacing"/>
        <w:numPr>
          <w:ilvl w:val="3"/>
          <w:numId w:val="34"/>
        </w:numPr>
        <w:ind w:left="1890" w:hanging="450"/>
        <w:rPr>
          <w:rFonts w:cs="Times New Roman"/>
        </w:rPr>
      </w:pPr>
      <w:r w:rsidRPr="00AA71EA">
        <w:rPr>
          <w:rFonts w:cs="Times New Roman"/>
        </w:rPr>
        <w:t xml:space="preserve">A hospital discharge summary documenting </w:t>
      </w:r>
      <w:r w:rsidR="0076705A">
        <w:rPr>
          <w:rFonts w:cs="Times New Roman"/>
        </w:rPr>
        <w:t xml:space="preserve">that </w:t>
      </w:r>
      <w:r w:rsidR="003522C0">
        <w:rPr>
          <w:rFonts w:cs="Times New Roman"/>
        </w:rPr>
        <w:t>the eligible individual</w:t>
      </w:r>
      <w:r w:rsidR="0076705A">
        <w:rPr>
          <w:rFonts w:cs="Times New Roman"/>
        </w:rPr>
        <w:t xml:space="preserve"> </w:t>
      </w:r>
      <w:r w:rsidR="008E2805">
        <w:rPr>
          <w:rFonts w:cs="Times New Roman"/>
        </w:rPr>
        <w:t>lives</w:t>
      </w:r>
      <w:r w:rsidR="0076705A">
        <w:rPr>
          <w:rFonts w:cs="Times New Roman"/>
        </w:rPr>
        <w:t xml:space="preserve"> with HIV</w:t>
      </w:r>
      <w:r w:rsidRPr="00AA71EA">
        <w:rPr>
          <w:rFonts w:cs="Times New Roman"/>
        </w:rPr>
        <w:t>.</w:t>
      </w:r>
    </w:p>
    <w:p w14:paraId="79F72F0A" w14:textId="77777777" w:rsidR="00A441C1" w:rsidRDefault="00A441C1" w:rsidP="00850524">
      <w:pPr>
        <w:pStyle w:val="NoSpacing"/>
        <w:ind w:left="1440"/>
        <w:rPr>
          <w:rFonts w:cs="Times New Roman"/>
        </w:rPr>
      </w:pPr>
    </w:p>
    <w:p w14:paraId="01BC9935" w14:textId="78A4E0C1" w:rsidR="00E14F77" w:rsidRDefault="00E14F77" w:rsidP="00754E9B">
      <w:pPr>
        <w:pStyle w:val="NoSpacing"/>
        <w:numPr>
          <w:ilvl w:val="2"/>
          <w:numId w:val="34"/>
        </w:numPr>
        <w:rPr>
          <w:rFonts w:cs="Times New Roman"/>
          <w:b/>
        </w:rPr>
      </w:pPr>
      <w:r w:rsidRPr="00357ADA">
        <w:rPr>
          <w:rFonts w:cs="Times New Roman"/>
          <w:b/>
        </w:rPr>
        <w:t xml:space="preserve">Proof of income for all household members </w:t>
      </w:r>
      <w:r w:rsidR="00D93C6D">
        <w:rPr>
          <w:rFonts w:cs="Times New Roman"/>
          <w:b/>
        </w:rPr>
        <w:t>aged</w:t>
      </w:r>
      <w:r w:rsidR="00903020">
        <w:rPr>
          <w:rFonts w:cs="Times New Roman"/>
          <w:b/>
        </w:rPr>
        <w:t xml:space="preserve"> </w:t>
      </w:r>
      <w:r w:rsidRPr="00357ADA">
        <w:rPr>
          <w:rFonts w:cs="Times New Roman"/>
          <w:b/>
        </w:rPr>
        <w:t xml:space="preserve">18 years </w:t>
      </w:r>
      <w:r w:rsidR="00903020">
        <w:rPr>
          <w:rFonts w:cs="Times New Roman"/>
          <w:b/>
        </w:rPr>
        <w:t>old or</w:t>
      </w:r>
      <w:r w:rsidRPr="00357ADA">
        <w:rPr>
          <w:rFonts w:cs="Times New Roman"/>
          <w:b/>
        </w:rPr>
        <w:t xml:space="preserve"> older</w:t>
      </w:r>
    </w:p>
    <w:p w14:paraId="3B4E2A12" w14:textId="75D18B03" w:rsidR="00E14F77" w:rsidRPr="00066B7E" w:rsidRDefault="00E14F77" w:rsidP="00850524">
      <w:pPr>
        <w:pStyle w:val="NoSpacing"/>
        <w:ind w:left="1440"/>
        <w:rPr>
          <w:rFonts w:cs="Times New Roman"/>
          <w:i/>
          <w:sz w:val="18"/>
        </w:rPr>
      </w:pPr>
      <w:r w:rsidRPr="00066B7E">
        <w:rPr>
          <w:rFonts w:cs="Times New Roman"/>
          <w:i/>
          <w:sz w:val="18"/>
        </w:rPr>
        <w:t>(</w:t>
      </w:r>
      <w:r w:rsidR="001F55B7" w:rsidRPr="00066B7E">
        <w:rPr>
          <w:rFonts w:cs="Times New Roman"/>
          <w:i/>
          <w:sz w:val="18"/>
        </w:rPr>
        <w:t>The DSHS HOPWA Determining Household Annual Income Guide outlines acceptable forms of documentation, whose income</w:t>
      </w:r>
      <w:r w:rsidR="00B63A86">
        <w:rPr>
          <w:rFonts w:cs="Times New Roman"/>
          <w:i/>
          <w:sz w:val="18"/>
        </w:rPr>
        <w:t xml:space="preserve"> </w:t>
      </w:r>
      <w:r w:rsidR="00490272">
        <w:rPr>
          <w:rFonts w:cs="Times New Roman"/>
          <w:i/>
          <w:sz w:val="18"/>
        </w:rPr>
        <w:t>count</w:t>
      </w:r>
      <w:r w:rsidR="00B63A86">
        <w:rPr>
          <w:rFonts w:cs="Times New Roman"/>
          <w:i/>
          <w:sz w:val="18"/>
        </w:rPr>
        <w:t>s</w:t>
      </w:r>
      <w:r w:rsidR="001F55B7" w:rsidRPr="00066B7E">
        <w:rPr>
          <w:rFonts w:cs="Times New Roman"/>
          <w:i/>
          <w:sz w:val="18"/>
        </w:rPr>
        <w:t xml:space="preserve">, and income inclusions and exclusions. </w:t>
      </w:r>
      <w:r w:rsidR="00C421A1">
        <w:rPr>
          <w:rFonts w:cs="Times New Roman"/>
          <w:i/>
          <w:sz w:val="18"/>
        </w:rPr>
        <w:t>This d</w:t>
      </w:r>
      <w:r w:rsidR="001F55B7" w:rsidRPr="00066B7E">
        <w:rPr>
          <w:rFonts w:cs="Times New Roman"/>
          <w:i/>
          <w:sz w:val="18"/>
        </w:rPr>
        <w:t xml:space="preserve">ocumentation must be complete and cover the 30 days </w:t>
      </w:r>
      <w:r w:rsidR="00C421A1">
        <w:rPr>
          <w:rFonts w:cs="Times New Roman"/>
          <w:i/>
          <w:sz w:val="18"/>
        </w:rPr>
        <w:t xml:space="preserve">immediately </w:t>
      </w:r>
      <w:r w:rsidR="00347AB0">
        <w:rPr>
          <w:rFonts w:cs="Times New Roman"/>
          <w:i/>
          <w:sz w:val="18"/>
        </w:rPr>
        <w:t>preceding</w:t>
      </w:r>
      <w:r w:rsidR="00C421A1">
        <w:rPr>
          <w:rFonts w:cs="Times New Roman"/>
          <w:i/>
          <w:sz w:val="18"/>
        </w:rPr>
        <w:t xml:space="preserve"> the</w:t>
      </w:r>
      <w:r w:rsidR="00263F06" w:rsidRPr="00066B7E">
        <w:rPr>
          <w:rFonts w:cs="Times New Roman"/>
          <w:i/>
          <w:sz w:val="18"/>
        </w:rPr>
        <w:t xml:space="preserve"> eligibility certification or recertification</w:t>
      </w:r>
      <w:r w:rsidR="00263F06" w:rsidRPr="00066B7E" w:rsidDel="00263F06">
        <w:rPr>
          <w:rFonts w:cs="Times New Roman"/>
          <w:i/>
          <w:sz w:val="18"/>
        </w:rPr>
        <w:t xml:space="preserve"> </w:t>
      </w:r>
      <w:r w:rsidR="001F55B7" w:rsidRPr="00066B7E">
        <w:rPr>
          <w:rFonts w:cs="Times New Roman"/>
          <w:i/>
          <w:sz w:val="18"/>
        </w:rPr>
        <w:t>date.</w:t>
      </w:r>
      <w:r w:rsidRPr="00066B7E">
        <w:rPr>
          <w:rFonts w:cs="Times New Roman"/>
          <w:i/>
          <w:sz w:val="18"/>
        </w:rPr>
        <w:t>)</w:t>
      </w:r>
    </w:p>
    <w:p w14:paraId="40B0C7A3" w14:textId="33E7F1EE" w:rsidR="00E14F77" w:rsidRPr="008026D4" w:rsidRDefault="00E14F77" w:rsidP="003A5712">
      <w:pPr>
        <w:pStyle w:val="NoSpacing"/>
        <w:numPr>
          <w:ilvl w:val="3"/>
          <w:numId w:val="34"/>
        </w:numPr>
        <w:ind w:left="1890" w:hanging="450"/>
        <w:rPr>
          <w:rFonts w:cs="Times New Roman"/>
        </w:rPr>
      </w:pPr>
      <w:r w:rsidRPr="008026D4">
        <w:rPr>
          <w:rFonts w:cs="Times New Roman"/>
        </w:rPr>
        <w:t>Per 24 CFR §5.609, income i</w:t>
      </w:r>
      <w:r w:rsidR="002E608F">
        <w:rPr>
          <w:rFonts w:cs="Times New Roman"/>
        </w:rPr>
        <w:t>ncludes, but is not limited to:</w:t>
      </w:r>
    </w:p>
    <w:p w14:paraId="58E7938D" w14:textId="77777777" w:rsidR="00E14F77" w:rsidRPr="008026D4" w:rsidRDefault="00E14F77" w:rsidP="00754E9B">
      <w:pPr>
        <w:pStyle w:val="NoSpacing"/>
        <w:numPr>
          <w:ilvl w:val="4"/>
          <w:numId w:val="34"/>
        </w:numPr>
        <w:rPr>
          <w:rFonts w:cs="Times New Roman"/>
        </w:rPr>
      </w:pPr>
      <w:r w:rsidRPr="008026D4">
        <w:rPr>
          <w:rFonts w:cs="Times New Roman"/>
        </w:rPr>
        <w:t>Gross wages, salaries, overtime pay, commissions, fees, tips, bonuses, and other compensation for personal services</w:t>
      </w:r>
    </w:p>
    <w:p w14:paraId="4714722C" w14:textId="77777777" w:rsidR="00E14F77" w:rsidRPr="008026D4" w:rsidRDefault="00E14F77" w:rsidP="00754E9B">
      <w:pPr>
        <w:pStyle w:val="NoSpacing"/>
        <w:numPr>
          <w:ilvl w:val="4"/>
          <w:numId w:val="34"/>
        </w:numPr>
        <w:rPr>
          <w:rFonts w:cs="Times New Roman"/>
        </w:rPr>
      </w:pPr>
      <w:r w:rsidRPr="008026D4">
        <w:rPr>
          <w:rFonts w:cs="Times New Roman"/>
        </w:rPr>
        <w:t>Net income from operation of a business or from rental or real personal property</w:t>
      </w:r>
    </w:p>
    <w:p w14:paraId="766CD5AD" w14:textId="0E50C0E8" w:rsidR="00E14F77" w:rsidRPr="008026D4" w:rsidRDefault="00E14F77" w:rsidP="00754E9B">
      <w:pPr>
        <w:pStyle w:val="NoSpacing"/>
        <w:numPr>
          <w:ilvl w:val="4"/>
          <w:numId w:val="34"/>
        </w:numPr>
        <w:rPr>
          <w:rFonts w:cs="Times New Roman"/>
        </w:rPr>
      </w:pPr>
      <w:r w:rsidRPr="008026D4">
        <w:rPr>
          <w:rFonts w:cs="Times New Roman"/>
        </w:rPr>
        <w:t xml:space="preserve">Interest, </w:t>
      </w:r>
      <w:r w:rsidR="009C621C" w:rsidRPr="008026D4">
        <w:rPr>
          <w:rFonts w:cs="Times New Roman"/>
        </w:rPr>
        <w:t>dividends,</w:t>
      </w:r>
      <w:r w:rsidRPr="008026D4">
        <w:rPr>
          <w:rFonts w:cs="Times New Roman"/>
        </w:rPr>
        <w:t xml:space="preserve"> and other net income of any kind for real personal property</w:t>
      </w:r>
    </w:p>
    <w:p w14:paraId="484E49EE" w14:textId="3EA0CCCB" w:rsidR="00E14F77" w:rsidRPr="008026D4" w:rsidRDefault="00E14F77" w:rsidP="00754E9B">
      <w:pPr>
        <w:pStyle w:val="NoSpacing"/>
        <w:numPr>
          <w:ilvl w:val="4"/>
          <w:numId w:val="34"/>
        </w:numPr>
        <w:rPr>
          <w:rFonts w:cs="Times New Roman"/>
        </w:rPr>
      </w:pPr>
      <w:r w:rsidRPr="008026D4">
        <w:rPr>
          <w:rFonts w:cs="Times New Roman"/>
        </w:rPr>
        <w:lastRenderedPageBreak/>
        <w:t>Full amount of periodic payments received from Social Security, annuities, insurance policies, retirement funds, pensions, disability or death benefits and other similar types of period</w:t>
      </w:r>
      <w:r w:rsidR="00375F8B">
        <w:rPr>
          <w:rFonts w:cs="Times New Roman"/>
        </w:rPr>
        <w:t>ic</w:t>
      </w:r>
      <w:r w:rsidRPr="008026D4">
        <w:rPr>
          <w:rFonts w:cs="Times New Roman"/>
        </w:rPr>
        <w:t xml:space="preserve"> receipts except as provided in line 14 of Annual Income Exclusions</w:t>
      </w:r>
    </w:p>
    <w:p w14:paraId="7E770181" w14:textId="77777777" w:rsidR="00E14F77" w:rsidRPr="008026D4" w:rsidRDefault="00E14F77" w:rsidP="00754E9B">
      <w:pPr>
        <w:pStyle w:val="NoSpacing"/>
        <w:numPr>
          <w:ilvl w:val="4"/>
          <w:numId w:val="34"/>
        </w:numPr>
        <w:rPr>
          <w:rFonts w:cs="Times New Roman"/>
        </w:rPr>
      </w:pPr>
      <w:r w:rsidRPr="008026D4">
        <w:rPr>
          <w:rFonts w:cs="Times New Roman"/>
        </w:rPr>
        <w:t>Payments in lieu of earnings, such as unemployment and disability compensation, worker's compensation and severance pay except as provided in line 3 of Annual Income Exclusions</w:t>
      </w:r>
    </w:p>
    <w:p w14:paraId="3681AE18" w14:textId="77777777" w:rsidR="00E14F77" w:rsidRPr="008026D4" w:rsidRDefault="00E14F77" w:rsidP="00754E9B">
      <w:pPr>
        <w:pStyle w:val="NoSpacing"/>
        <w:numPr>
          <w:ilvl w:val="4"/>
          <w:numId w:val="34"/>
        </w:numPr>
        <w:rPr>
          <w:rFonts w:cs="Times New Roman"/>
        </w:rPr>
      </w:pPr>
      <w:r w:rsidRPr="008026D4">
        <w:rPr>
          <w:rFonts w:cs="Times New Roman"/>
        </w:rPr>
        <w:t>Temporary Assistance for Needy Families (TANF), including amounts designated for shelter and utilities</w:t>
      </w:r>
    </w:p>
    <w:p w14:paraId="2800AEDB" w14:textId="77777777" w:rsidR="00E14F77" w:rsidRPr="008026D4" w:rsidRDefault="00E14F77" w:rsidP="00754E9B">
      <w:pPr>
        <w:pStyle w:val="NoSpacing"/>
        <w:numPr>
          <w:ilvl w:val="4"/>
          <w:numId w:val="34"/>
        </w:numPr>
        <w:rPr>
          <w:rFonts w:cs="Times New Roman"/>
        </w:rPr>
      </w:pPr>
      <w:r w:rsidRPr="008026D4">
        <w:rPr>
          <w:rFonts w:cs="Times New Roman"/>
        </w:rPr>
        <w:t>Alimony, child support payments, and regular contributions from organizations or from persons not residing in the dwelling</w:t>
      </w:r>
    </w:p>
    <w:p w14:paraId="3D40BCC2" w14:textId="39A3E1F3" w:rsidR="00E14F77" w:rsidRPr="008026D4" w:rsidRDefault="00E14F77" w:rsidP="00754E9B">
      <w:pPr>
        <w:pStyle w:val="NoSpacing"/>
        <w:numPr>
          <w:ilvl w:val="4"/>
          <w:numId w:val="34"/>
        </w:numPr>
        <w:rPr>
          <w:rFonts w:cs="Times New Roman"/>
        </w:rPr>
      </w:pPr>
      <w:r w:rsidRPr="008026D4">
        <w:rPr>
          <w:rFonts w:cs="Times New Roman"/>
        </w:rPr>
        <w:t xml:space="preserve">All regular pay, special </w:t>
      </w:r>
      <w:r w:rsidR="009C621C" w:rsidRPr="008026D4">
        <w:rPr>
          <w:rFonts w:cs="Times New Roman"/>
        </w:rPr>
        <w:t>pay,</w:t>
      </w:r>
      <w:r w:rsidRPr="008026D4">
        <w:rPr>
          <w:rFonts w:cs="Times New Roman"/>
        </w:rPr>
        <w:t xml:space="preserve"> and allowances of a member of the Armed Forces except as provided in line 7 of Annual Income Exclusions.</w:t>
      </w:r>
    </w:p>
    <w:p w14:paraId="1D8D61E4" w14:textId="1018884B" w:rsidR="00952D14" w:rsidRDefault="00E14F77" w:rsidP="003A5712">
      <w:pPr>
        <w:pStyle w:val="NoSpacing"/>
        <w:numPr>
          <w:ilvl w:val="3"/>
          <w:numId w:val="34"/>
        </w:numPr>
        <w:ind w:left="1890" w:hanging="450"/>
        <w:rPr>
          <w:rFonts w:cs="Times New Roman"/>
        </w:rPr>
      </w:pPr>
      <w:r w:rsidRPr="008026D4">
        <w:rPr>
          <w:rFonts w:cs="Times New Roman"/>
        </w:rPr>
        <w:t xml:space="preserve">Project Sponsors use </w:t>
      </w:r>
      <w:r w:rsidRPr="003F5DA4">
        <w:rPr>
          <w:rFonts w:cs="Times New Roman"/>
          <w:b/>
          <w:color w:val="5B9BD5" w:themeColor="accent1"/>
        </w:rPr>
        <w:t>Form C: Household Income Eligibility Worksheet</w:t>
      </w:r>
      <w:r w:rsidRPr="003F5DA4">
        <w:rPr>
          <w:rFonts w:cs="Times New Roman"/>
          <w:color w:val="5B9BD5" w:themeColor="accent1"/>
        </w:rPr>
        <w:t xml:space="preserve"> </w:t>
      </w:r>
      <w:r w:rsidRPr="008026D4">
        <w:rPr>
          <w:rFonts w:cs="Times New Roman"/>
        </w:rPr>
        <w:t xml:space="preserve">to document </w:t>
      </w:r>
      <w:r w:rsidR="00C12F4F">
        <w:rPr>
          <w:rFonts w:cs="Times New Roman"/>
        </w:rPr>
        <w:t xml:space="preserve">and annualize </w:t>
      </w:r>
      <w:r w:rsidRPr="008026D4">
        <w:rPr>
          <w:rFonts w:cs="Times New Roman"/>
        </w:rPr>
        <w:t>household income</w:t>
      </w:r>
      <w:r w:rsidR="00C57DE3" w:rsidRPr="00C57DE3">
        <w:t xml:space="preserve"> </w:t>
      </w:r>
      <w:r w:rsidR="00C57DE3">
        <w:t xml:space="preserve">and </w:t>
      </w:r>
      <w:r w:rsidR="00C57DE3" w:rsidRPr="00C57DE3">
        <w:rPr>
          <w:rFonts w:cs="Times New Roman"/>
        </w:rPr>
        <w:t>determine household income eligibility for the program</w:t>
      </w:r>
      <w:r w:rsidRPr="008026D4">
        <w:rPr>
          <w:rFonts w:cs="Times New Roman"/>
        </w:rPr>
        <w:t xml:space="preserve">. </w:t>
      </w:r>
      <w:r w:rsidR="003522C0">
        <w:rPr>
          <w:rFonts w:cs="Times New Roman"/>
        </w:rPr>
        <w:t>Project Sponsors complete Form C</w:t>
      </w:r>
      <w:r w:rsidRPr="008026D4">
        <w:rPr>
          <w:rFonts w:cs="Times New Roman"/>
        </w:rPr>
        <w:t xml:space="preserve"> before </w:t>
      </w:r>
      <w:r w:rsidR="00BF6BB2">
        <w:rPr>
          <w:rFonts w:cs="Times New Roman"/>
        </w:rPr>
        <w:t xml:space="preserve">initial </w:t>
      </w:r>
      <w:r w:rsidR="00F30CC3" w:rsidRPr="00F30CC3">
        <w:rPr>
          <w:rFonts w:cs="Times New Roman"/>
        </w:rPr>
        <w:t>eligibility certifications and</w:t>
      </w:r>
      <w:r w:rsidR="00BF6BB2">
        <w:rPr>
          <w:rFonts w:cs="Times New Roman"/>
        </w:rPr>
        <w:t xml:space="preserve"> annual eligibility</w:t>
      </w:r>
      <w:r w:rsidR="00F30CC3" w:rsidRPr="00F30CC3">
        <w:rPr>
          <w:rFonts w:cs="Times New Roman"/>
        </w:rPr>
        <w:t xml:space="preserve"> recertifications</w:t>
      </w:r>
      <w:r w:rsidR="00263F06" w:rsidRPr="00263F06">
        <w:rPr>
          <w:rFonts w:cs="Times New Roman"/>
        </w:rPr>
        <w:t>.</w:t>
      </w:r>
      <w:r w:rsidRPr="008026D4">
        <w:rPr>
          <w:rFonts w:cs="Times New Roman"/>
        </w:rPr>
        <w:t xml:space="preserve"> </w:t>
      </w:r>
      <w:r w:rsidR="006318BB">
        <w:rPr>
          <w:rFonts w:cs="Times New Roman"/>
        </w:rPr>
        <w:t>Also, they</w:t>
      </w:r>
      <w:r w:rsidR="003522C0">
        <w:rPr>
          <w:rFonts w:cs="Times New Roman"/>
        </w:rPr>
        <w:t xml:space="preserve"> complete Form C</w:t>
      </w:r>
      <w:r w:rsidR="00263F06" w:rsidRPr="00263F06">
        <w:rPr>
          <w:rFonts w:cs="Times New Roman"/>
        </w:rPr>
        <w:t xml:space="preserve"> if household </w:t>
      </w:r>
      <w:r w:rsidR="002102D5">
        <w:rPr>
          <w:rFonts w:cs="Times New Roman"/>
        </w:rPr>
        <w:t>eligibility factors</w:t>
      </w:r>
      <w:r w:rsidR="00263F06">
        <w:rPr>
          <w:rFonts w:cs="Times New Roman"/>
        </w:rPr>
        <w:t xml:space="preserve"> have changed</w:t>
      </w:r>
      <w:r w:rsidR="00C12F4F">
        <w:rPr>
          <w:rFonts w:cs="Times New Roman"/>
        </w:rPr>
        <w:t>.</w:t>
      </w:r>
    </w:p>
    <w:p w14:paraId="779636F7" w14:textId="7195F66C" w:rsidR="00E14F77" w:rsidRPr="008026D4" w:rsidRDefault="00E14F77" w:rsidP="003A5712">
      <w:pPr>
        <w:pStyle w:val="NoSpacing"/>
        <w:numPr>
          <w:ilvl w:val="3"/>
          <w:numId w:val="34"/>
        </w:numPr>
        <w:ind w:left="1890" w:hanging="450"/>
        <w:rPr>
          <w:rFonts w:cs="Times New Roman"/>
        </w:rPr>
      </w:pPr>
      <w:r w:rsidRPr="008026D4">
        <w:rPr>
          <w:rFonts w:cs="Times New Roman"/>
        </w:rPr>
        <w:t>If a</w:t>
      </w:r>
      <w:r w:rsidR="00952D14">
        <w:rPr>
          <w:rFonts w:cs="Times New Roman"/>
        </w:rPr>
        <w:t>ny</w:t>
      </w:r>
      <w:r w:rsidRPr="008026D4">
        <w:rPr>
          <w:rFonts w:cs="Times New Roman"/>
        </w:rPr>
        <w:t xml:space="preserve"> household member </w:t>
      </w:r>
      <w:r w:rsidR="00D93C6D">
        <w:rPr>
          <w:rFonts w:cs="Times New Roman"/>
        </w:rPr>
        <w:t>aged</w:t>
      </w:r>
      <w:r w:rsidR="00903020">
        <w:rPr>
          <w:rFonts w:cs="Times New Roman"/>
        </w:rPr>
        <w:t xml:space="preserve"> </w:t>
      </w:r>
      <w:r w:rsidR="00271B89">
        <w:rPr>
          <w:rFonts w:cs="Times New Roman"/>
        </w:rPr>
        <w:t xml:space="preserve">18 years </w:t>
      </w:r>
      <w:r w:rsidR="00903020">
        <w:rPr>
          <w:rFonts w:cs="Times New Roman"/>
        </w:rPr>
        <w:t>old or</w:t>
      </w:r>
      <w:r w:rsidR="00271B89">
        <w:rPr>
          <w:rFonts w:cs="Times New Roman"/>
        </w:rPr>
        <w:t xml:space="preserve"> older </w:t>
      </w:r>
      <w:r w:rsidRPr="008026D4">
        <w:rPr>
          <w:rFonts w:cs="Times New Roman"/>
        </w:rPr>
        <w:t>reports</w:t>
      </w:r>
      <w:r w:rsidR="00A167DB">
        <w:rPr>
          <w:rFonts w:cs="Times New Roman"/>
        </w:rPr>
        <w:t xml:space="preserve"> that they </w:t>
      </w:r>
      <w:r w:rsidR="005A7C1B">
        <w:rPr>
          <w:rFonts w:cs="Times New Roman"/>
        </w:rPr>
        <w:t>do not have</w:t>
      </w:r>
      <w:r w:rsidR="00F224F5" w:rsidRPr="008026D4">
        <w:rPr>
          <w:rFonts w:cs="Times New Roman"/>
        </w:rPr>
        <w:t xml:space="preserve"> </w:t>
      </w:r>
      <w:r w:rsidRPr="008026D4">
        <w:rPr>
          <w:rFonts w:cs="Times New Roman"/>
        </w:rPr>
        <w:t xml:space="preserve">income or </w:t>
      </w:r>
      <w:r w:rsidR="00A167DB">
        <w:rPr>
          <w:rFonts w:cs="Times New Roman"/>
        </w:rPr>
        <w:t>have</w:t>
      </w:r>
      <w:r w:rsidRPr="008026D4">
        <w:rPr>
          <w:rFonts w:cs="Times New Roman"/>
        </w:rPr>
        <w:t xml:space="preserve"> attempted but </w:t>
      </w:r>
      <w:r w:rsidRPr="008026D4">
        <w:rPr>
          <w:rFonts w:cs="Times New Roman"/>
          <w:u w:val="single"/>
        </w:rPr>
        <w:t>cannot obtain</w:t>
      </w:r>
      <w:r w:rsidRPr="008026D4">
        <w:rPr>
          <w:rFonts w:cs="Times New Roman"/>
        </w:rPr>
        <w:t xml:space="preserve"> third</w:t>
      </w:r>
      <w:r w:rsidR="006A1462">
        <w:rPr>
          <w:rFonts w:cs="Times New Roman"/>
        </w:rPr>
        <w:t>-</w:t>
      </w:r>
      <w:r w:rsidRPr="008026D4">
        <w:rPr>
          <w:rFonts w:cs="Times New Roman"/>
        </w:rPr>
        <w:t xml:space="preserve">party proof of income, </w:t>
      </w:r>
      <w:r w:rsidR="00490272">
        <w:rPr>
          <w:rFonts w:cs="Times New Roman"/>
        </w:rPr>
        <w:t>they</w:t>
      </w:r>
      <w:r w:rsidR="00CF326E">
        <w:rPr>
          <w:rFonts w:cs="Times New Roman"/>
        </w:rPr>
        <w:t xml:space="preserve"> complete and sign </w:t>
      </w:r>
      <w:r w:rsidRPr="003F5DA4">
        <w:rPr>
          <w:rFonts w:cs="Times New Roman"/>
          <w:b/>
          <w:color w:val="5B9BD5" w:themeColor="accent1"/>
        </w:rPr>
        <w:t>Form A: Self-Declaration of Income</w:t>
      </w:r>
      <w:r w:rsidRPr="008026D4">
        <w:rPr>
          <w:rFonts w:cs="Times New Roman"/>
        </w:rPr>
        <w:t>.</w:t>
      </w:r>
    </w:p>
    <w:p w14:paraId="58C78F6D" w14:textId="7B36EE1F" w:rsidR="00E14F77" w:rsidRDefault="00015247" w:rsidP="003A5712">
      <w:pPr>
        <w:pStyle w:val="NoSpacing"/>
        <w:numPr>
          <w:ilvl w:val="3"/>
          <w:numId w:val="34"/>
        </w:numPr>
        <w:ind w:left="1890" w:hanging="450"/>
        <w:rPr>
          <w:rFonts w:cs="Times New Roman"/>
        </w:rPr>
      </w:pPr>
      <w:r>
        <w:rPr>
          <w:rFonts w:cs="Times New Roman"/>
        </w:rPr>
        <w:t>T</w:t>
      </w:r>
      <w:r w:rsidR="005207C0">
        <w:rPr>
          <w:rFonts w:cs="Times New Roman"/>
        </w:rPr>
        <w:t xml:space="preserve">he </w:t>
      </w:r>
      <w:r w:rsidR="00E14F77" w:rsidRPr="00015247">
        <w:rPr>
          <w:rFonts w:cs="Times New Roman"/>
          <w:b/>
          <w:color w:val="ED7D31" w:themeColor="accent2"/>
        </w:rPr>
        <w:t>Determining Household Annual Income</w:t>
      </w:r>
      <w:r w:rsidRPr="00015247">
        <w:rPr>
          <w:rFonts w:cs="Times New Roman"/>
          <w:b/>
          <w:color w:val="ED7D31" w:themeColor="accent2"/>
        </w:rPr>
        <w:t xml:space="preserve"> Guide</w:t>
      </w:r>
      <w:r>
        <w:rPr>
          <w:rFonts w:cs="Times New Roman"/>
        </w:rPr>
        <w:t xml:space="preserve"> outlines </w:t>
      </w:r>
      <w:r w:rsidR="001F55B7" w:rsidRPr="001F55B7">
        <w:rPr>
          <w:rFonts w:cs="Times New Roman"/>
        </w:rPr>
        <w:t xml:space="preserve">acceptable forms of documentation, whose income </w:t>
      </w:r>
      <w:r w:rsidR="008B79AB">
        <w:rPr>
          <w:rFonts w:cs="Times New Roman"/>
        </w:rPr>
        <w:t>count</w:t>
      </w:r>
      <w:r w:rsidR="00B63A86">
        <w:rPr>
          <w:rFonts w:cs="Times New Roman"/>
        </w:rPr>
        <w:t>s</w:t>
      </w:r>
      <w:r w:rsidR="001F55B7" w:rsidRPr="001F55B7">
        <w:rPr>
          <w:rFonts w:cs="Times New Roman"/>
        </w:rPr>
        <w:t>, and income inclusions and exclusions</w:t>
      </w:r>
      <w:r w:rsidR="001F55B7">
        <w:rPr>
          <w:rFonts w:cs="Times New Roman"/>
        </w:rPr>
        <w:t>.</w:t>
      </w:r>
    </w:p>
    <w:p w14:paraId="4D4305C9" w14:textId="77777777" w:rsidR="00BE4BAB" w:rsidRPr="008026D4" w:rsidRDefault="00BE4BAB" w:rsidP="00ED208F">
      <w:pPr>
        <w:pStyle w:val="NoSpacing"/>
        <w:ind w:left="1800"/>
        <w:rPr>
          <w:rFonts w:cs="Times New Roman"/>
        </w:rPr>
      </w:pPr>
    </w:p>
    <w:p w14:paraId="7AD61F70" w14:textId="45AF9283" w:rsidR="00E14F77" w:rsidRDefault="00E14F77" w:rsidP="00754E9B">
      <w:pPr>
        <w:pStyle w:val="NoSpacing"/>
        <w:numPr>
          <w:ilvl w:val="2"/>
          <w:numId w:val="34"/>
        </w:numPr>
        <w:rPr>
          <w:rFonts w:cs="Times New Roman"/>
          <w:b/>
        </w:rPr>
      </w:pPr>
      <w:r w:rsidRPr="00662999">
        <w:rPr>
          <w:rFonts w:cs="Times New Roman"/>
          <w:b/>
        </w:rPr>
        <w:t>Proof of</w:t>
      </w:r>
      <w:r w:rsidRPr="00357ADA">
        <w:rPr>
          <w:rFonts w:cs="Times New Roman"/>
          <w:b/>
        </w:rPr>
        <w:t xml:space="preserve"> current residency for all household members </w:t>
      </w:r>
      <w:r w:rsidR="00D93C6D">
        <w:rPr>
          <w:rFonts w:cs="Times New Roman"/>
          <w:b/>
        </w:rPr>
        <w:t>aged</w:t>
      </w:r>
      <w:r w:rsidR="00903020">
        <w:rPr>
          <w:rFonts w:cs="Times New Roman"/>
          <w:b/>
        </w:rPr>
        <w:t xml:space="preserve"> </w:t>
      </w:r>
      <w:r w:rsidRPr="00357ADA">
        <w:rPr>
          <w:rFonts w:cs="Times New Roman"/>
          <w:b/>
        </w:rPr>
        <w:t xml:space="preserve">18 years </w:t>
      </w:r>
      <w:r w:rsidR="00903020">
        <w:rPr>
          <w:rFonts w:cs="Times New Roman"/>
          <w:b/>
        </w:rPr>
        <w:t>old or</w:t>
      </w:r>
      <w:r w:rsidRPr="00357ADA">
        <w:rPr>
          <w:rFonts w:cs="Times New Roman"/>
          <w:b/>
        </w:rPr>
        <w:t xml:space="preserve"> older</w:t>
      </w:r>
    </w:p>
    <w:p w14:paraId="68D15B0F" w14:textId="7B94758A" w:rsidR="003855DF" w:rsidRPr="00066B7E" w:rsidRDefault="003855DF" w:rsidP="003855DF">
      <w:pPr>
        <w:pStyle w:val="NoSpacing"/>
        <w:ind w:left="1440"/>
        <w:rPr>
          <w:rFonts w:cs="Times New Roman"/>
          <w:i/>
          <w:sz w:val="18"/>
        </w:rPr>
      </w:pPr>
      <w:r w:rsidRPr="00066B7E">
        <w:rPr>
          <w:rFonts w:cs="Times New Roman"/>
          <w:i/>
          <w:sz w:val="18"/>
        </w:rPr>
        <w:t>(</w:t>
      </w:r>
      <w:r w:rsidR="001F55B7" w:rsidRPr="00066B7E">
        <w:rPr>
          <w:rFonts w:cs="Times New Roman"/>
          <w:i/>
          <w:sz w:val="18"/>
        </w:rPr>
        <w:t xml:space="preserve">The household must reside in the Project Sponsor’s HSDA. </w:t>
      </w:r>
      <w:r w:rsidR="00C421A1">
        <w:rPr>
          <w:rFonts w:cs="Times New Roman"/>
          <w:i/>
          <w:sz w:val="18"/>
        </w:rPr>
        <w:t>This documentation</w:t>
      </w:r>
      <w:r w:rsidR="00C421A1" w:rsidRPr="00066B7E">
        <w:rPr>
          <w:rFonts w:cs="Times New Roman"/>
          <w:i/>
          <w:sz w:val="18"/>
        </w:rPr>
        <w:t xml:space="preserve"> </w:t>
      </w:r>
      <w:r w:rsidR="001F55B7" w:rsidRPr="00066B7E">
        <w:rPr>
          <w:rFonts w:cs="Times New Roman"/>
          <w:i/>
          <w:sz w:val="18"/>
        </w:rPr>
        <w:t xml:space="preserve">must be current as of the </w:t>
      </w:r>
      <w:r w:rsidR="00263F06" w:rsidRPr="00066B7E">
        <w:rPr>
          <w:rFonts w:cs="Times New Roman"/>
          <w:i/>
          <w:sz w:val="18"/>
        </w:rPr>
        <w:t xml:space="preserve">eligibility certification or recertification </w:t>
      </w:r>
      <w:r w:rsidR="001F55B7" w:rsidRPr="00066B7E">
        <w:rPr>
          <w:rFonts w:cs="Times New Roman"/>
          <w:i/>
          <w:sz w:val="18"/>
        </w:rPr>
        <w:t>date.</w:t>
      </w:r>
      <w:r w:rsidRPr="00066B7E">
        <w:rPr>
          <w:rFonts w:cs="Times New Roman"/>
          <w:i/>
          <w:sz w:val="18"/>
        </w:rPr>
        <w:t>)</w:t>
      </w:r>
    </w:p>
    <w:p w14:paraId="0A63E57E" w14:textId="64B5D592" w:rsidR="003855DF" w:rsidRDefault="003855DF" w:rsidP="003A5712">
      <w:pPr>
        <w:pStyle w:val="NoSpacing"/>
        <w:numPr>
          <w:ilvl w:val="3"/>
          <w:numId w:val="34"/>
        </w:numPr>
        <w:ind w:left="1890" w:hanging="450"/>
        <w:rPr>
          <w:rFonts w:cs="Times New Roman"/>
        </w:rPr>
      </w:pPr>
      <w:r>
        <w:rPr>
          <w:rFonts w:cs="Times New Roman"/>
        </w:rPr>
        <w:t>Documentation evidencing</w:t>
      </w:r>
      <w:r w:rsidRPr="003855DF">
        <w:rPr>
          <w:rFonts w:cs="Times New Roman"/>
        </w:rPr>
        <w:t xml:space="preserve"> tenancy includes a lease naming the </w:t>
      </w:r>
      <w:r w:rsidR="00271B89">
        <w:rPr>
          <w:rFonts w:cs="Times New Roman"/>
        </w:rPr>
        <w:t>household member</w:t>
      </w:r>
      <w:r w:rsidRPr="003855DF">
        <w:rPr>
          <w:rFonts w:cs="Times New Roman"/>
        </w:rPr>
        <w:t xml:space="preserve"> as the leaseholder or occupant</w:t>
      </w:r>
      <w:r>
        <w:rPr>
          <w:rFonts w:cs="Times New Roman"/>
        </w:rPr>
        <w:t>.</w:t>
      </w:r>
      <w:r w:rsidR="00271B89">
        <w:rPr>
          <w:rFonts w:cs="Times New Roman"/>
        </w:rPr>
        <w:t xml:space="preserve"> </w:t>
      </w:r>
      <w:r w:rsidR="00F224F5">
        <w:rPr>
          <w:rFonts w:cs="Times New Roman"/>
        </w:rPr>
        <w:t>This d</w:t>
      </w:r>
      <w:r w:rsidR="00271B89">
        <w:rPr>
          <w:rFonts w:cs="Times New Roman"/>
        </w:rPr>
        <w:t xml:space="preserve">ocumentation must </w:t>
      </w:r>
      <w:r w:rsidR="008B79AB">
        <w:rPr>
          <w:rFonts w:cs="Times New Roman"/>
        </w:rPr>
        <w:t xml:space="preserve">bear </w:t>
      </w:r>
      <w:r w:rsidR="00271B89">
        <w:rPr>
          <w:rFonts w:cs="Times New Roman"/>
        </w:rPr>
        <w:t>an address in the Project Sponsor’s HSDA.</w:t>
      </w:r>
    </w:p>
    <w:p w14:paraId="65C1976F" w14:textId="596E114E" w:rsidR="003855DF" w:rsidRDefault="003855DF" w:rsidP="003A5712">
      <w:pPr>
        <w:pStyle w:val="NoSpacing"/>
        <w:numPr>
          <w:ilvl w:val="3"/>
          <w:numId w:val="34"/>
        </w:numPr>
        <w:ind w:left="1890" w:hanging="450"/>
        <w:rPr>
          <w:rFonts w:cs="Times New Roman"/>
        </w:rPr>
      </w:pPr>
      <w:r>
        <w:rPr>
          <w:rFonts w:cs="Times New Roman"/>
        </w:rPr>
        <w:t>Documentation evidencing</w:t>
      </w:r>
      <w:r w:rsidRPr="003855DF">
        <w:rPr>
          <w:rFonts w:cs="Times New Roman"/>
        </w:rPr>
        <w:t xml:space="preserve"> ownership </w:t>
      </w:r>
      <w:r w:rsidR="005207C0">
        <w:rPr>
          <w:rFonts w:cs="Times New Roman"/>
        </w:rPr>
        <w:t>of encumbered property includes</w:t>
      </w:r>
      <w:r w:rsidRPr="003855DF">
        <w:rPr>
          <w:rFonts w:cs="Times New Roman"/>
        </w:rPr>
        <w:t xml:space="preserve"> </w:t>
      </w:r>
      <w:r w:rsidR="005207C0">
        <w:rPr>
          <w:rFonts w:cs="Times New Roman"/>
        </w:rPr>
        <w:t>a</w:t>
      </w:r>
      <w:r w:rsidRPr="003855DF">
        <w:rPr>
          <w:rFonts w:cs="Times New Roman"/>
        </w:rPr>
        <w:t xml:space="preserve"> deed accompanied by a mortgage or a deed of trust; a mortgage or deed of trust default/late payment notice which identifies the </w:t>
      </w:r>
      <w:r w:rsidR="00490272">
        <w:rPr>
          <w:rFonts w:cs="Times New Roman"/>
        </w:rPr>
        <w:t>household member</w:t>
      </w:r>
      <w:r w:rsidR="00397B70" w:rsidRPr="003855DF">
        <w:rPr>
          <w:rFonts w:cs="Times New Roman"/>
        </w:rPr>
        <w:t xml:space="preserve"> </w:t>
      </w:r>
      <w:r w:rsidRPr="003855DF">
        <w:rPr>
          <w:rFonts w:cs="Times New Roman"/>
        </w:rPr>
        <w:t xml:space="preserve">as the property owner/debtor; </w:t>
      </w:r>
      <w:r w:rsidR="009C621C" w:rsidRPr="003855DF">
        <w:rPr>
          <w:rFonts w:cs="Times New Roman"/>
        </w:rPr>
        <w:t>or</w:t>
      </w:r>
      <w:r w:rsidRPr="003855DF">
        <w:rPr>
          <w:rFonts w:cs="Times New Roman"/>
        </w:rPr>
        <w:t xml:space="preserve"> a valid, </w:t>
      </w:r>
      <w:proofErr w:type="gramStart"/>
      <w:r w:rsidRPr="003855DF">
        <w:rPr>
          <w:rFonts w:cs="Times New Roman"/>
        </w:rPr>
        <w:t>currently-dated</w:t>
      </w:r>
      <w:proofErr w:type="gramEnd"/>
      <w:r w:rsidRPr="003855DF">
        <w:rPr>
          <w:rFonts w:cs="Times New Roman"/>
        </w:rPr>
        <w:t xml:space="preserve"> title insurance policy identifying the </w:t>
      </w:r>
      <w:r w:rsidR="00490272">
        <w:rPr>
          <w:rFonts w:cs="Times New Roman"/>
        </w:rPr>
        <w:t>household member</w:t>
      </w:r>
      <w:r w:rsidR="00397B70" w:rsidRPr="003855DF">
        <w:rPr>
          <w:rFonts w:cs="Times New Roman"/>
        </w:rPr>
        <w:t xml:space="preserve"> </w:t>
      </w:r>
      <w:r w:rsidRPr="003855DF">
        <w:rPr>
          <w:rFonts w:cs="Times New Roman"/>
        </w:rPr>
        <w:t>as the property owner/debtor.</w:t>
      </w:r>
      <w:r w:rsidR="00271B89">
        <w:rPr>
          <w:rFonts w:cs="Times New Roman"/>
        </w:rPr>
        <w:t xml:space="preserve"> </w:t>
      </w:r>
      <w:r w:rsidR="00490272">
        <w:rPr>
          <w:rFonts w:cs="Times New Roman"/>
        </w:rPr>
        <w:t>This d</w:t>
      </w:r>
      <w:r w:rsidR="00271B89">
        <w:rPr>
          <w:rFonts w:cs="Times New Roman"/>
        </w:rPr>
        <w:t xml:space="preserve">ocumentation must </w:t>
      </w:r>
      <w:r w:rsidR="00490272">
        <w:rPr>
          <w:rFonts w:cs="Times New Roman"/>
        </w:rPr>
        <w:t xml:space="preserve">bear </w:t>
      </w:r>
      <w:r w:rsidR="00271B89">
        <w:rPr>
          <w:rFonts w:cs="Times New Roman"/>
        </w:rPr>
        <w:t>an address in the Project Sponsor’s HSDA</w:t>
      </w:r>
      <w:r w:rsidR="00952D14">
        <w:rPr>
          <w:rFonts w:cs="Times New Roman"/>
        </w:rPr>
        <w:t>.</w:t>
      </w:r>
    </w:p>
    <w:p w14:paraId="5C956A8C" w14:textId="1CB98540" w:rsidR="003855DF" w:rsidRDefault="003855DF" w:rsidP="003A5712">
      <w:pPr>
        <w:pStyle w:val="NoSpacing"/>
        <w:numPr>
          <w:ilvl w:val="3"/>
          <w:numId w:val="34"/>
        </w:numPr>
        <w:ind w:left="1890" w:hanging="450"/>
        <w:rPr>
          <w:rFonts w:cs="Times New Roman"/>
        </w:rPr>
      </w:pPr>
      <w:r>
        <w:rPr>
          <w:rFonts w:cs="Times New Roman"/>
        </w:rPr>
        <w:t xml:space="preserve">Documentation evidencing </w:t>
      </w:r>
      <w:r w:rsidR="00271B89">
        <w:rPr>
          <w:rFonts w:cs="Times New Roman"/>
        </w:rPr>
        <w:t xml:space="preserve">a utility </w:t>
      </w:r>
      <w:r w:rsidR="00271B89" w:rsidRPr="00271B89">
        <w:rPr>
          <w:rFonts w:cs="Times New Roman"/>
        </w:rPr>
        <w:t xml:space="preserve">account in </w:t>
      </w:r>
      <w:r w:rsidR="00271B89">
        <w:rPr>
          <w:rFonts w:cs="Times New Roman"/>
        </w:rPr>
        <w:t>a household member’s</w:t>
      </w:r>
      <w:r w:rsidR="00271B89" w:rsidRPr="00271B89">
        <w:rPr>
          <w:rFonts w:cs="Times New Roman"/>
        </w:rPr>
        <w:t xml:space="preserve"> name with a utility </w:t>
      </w:r>
      <w:r w:rsidR="00952D14">
        <w:rPr>
          <w:rFonts w:cs="Times New Roman"/>
        </w:rPr>
        <w:t>vendor</w:t>
      </w:r>
      <w:r w:rsidR="00271B89">
        <w:rPr>
          <w:rFonts w:cs="Times New Roman"/>
        </w:rPr>
        <w:t xml:space="preserve">. </w:t>
      </w:r>
      <w:r w:rsidR="00F224F5">
        <w:rPr>
          <w:rFonts w:cs="Times New Roman"/>
        </w:rPr>
        <w:t>This d</w:t>
      </w:r>
      <w:r w:rsidR="00271B89">
        <w:rPr>
          <w:rFonts w:cs="Times New Roman"/>
        </w:rPr>
        <w:t xml:space="preserve">ocumentation must </w:t>
      </w:r>
      <w:r w:rsidR="008B79AB">
        <w:rPr>
          <w:rFonts w:cs="Times New Roman"/>
        </w:rPr>
        <w:t xml:space="preserve">bear </w:t>
      </w:r>
      <w:r w:rsidR="00271B89">
        <w:rPr>
          <w:rFonts w:cs="Times New Roman"/>
        </w:rPr>
        <w:t>an address in the Project Sponsor’s HSDA</w:t>
      </w:r>
      <w:r w:rsidR="00952D14">
        <w:rPr>
          <w:rFonts w:cs="Times New Roman"/>
        </w:rPr>
        <w:t>.</w:t>
      </w:r>
    </w:p>
    <w:p w14:paraId="3715FE01" w14:textId="1408CA40" w:rsidR="00271B89" w:rsidRDefault="00271B89" w:rsidP="003A5712">
      <w:pPr>
        <w:pStyle w:val="NoSpacing"/>
        <w:numPr>
          <w:ilvl w:val="3"/>
          <w:numId w:val="34"/>
        </w:numPr>
        <w:ind w:left="1890" w:hanging="450"/>
        <w:rPr>
          <w:rFonts w:cs="Times New Roman"/>
        </w:rPr>
      </w:pPr>
      <w:r w:rsidRPr="00271B89">
        <w:rPr>
          <w:rFonts w:cs="Times New Roman"/>
        </w:rPr>
        <w:t>If a</w:t>
      </w:r>
      <w:r w:rsidR="00952D14">
        <w:rPr>
          <w:rFonts w:cs="Times New Roman"/>
        </w:rPr>
        <w:t>ny</w:t>
      </w:r>
      <w:r w:rsidRPr="00271B89">
        <w:rPr>
          <w:rFonts w:cs="Times New Roman"/>
        </w:rPr>
        <w:t xml:space="preserve"> household member</w:t>
      </w:r>
      <w:r w:rsidR="00903020">
        <w:rPr>
          <w:rFonts w:cs="Times New Roman"/>
        </w:rPr>
        <w:t xml:space="preserve"> </w:t>
      </w:r>
      <w:r w:rsidR="00D93C6D">
        <w:rPr>
          <w:rFonts w:cs="Times New Roman"/>
        </w:rPr>
        <w:t>aged</w:t>
      </w:r>
      <w:r w:rsidRPr="00271B89">
        <w:rPr>
          <w:rFonts w:cs="Times New Roman"/>
        </w:rPr>
        <w:t xml:space="preserve"> 18 years </w:t>
      </w:r>
      <w:r w:rsidR="00903020">
        <w:rPr>
          <w:rFonts w:cs="Times New Roman"/>
        </w:rPr>
        <w:t>old or</w:t>
      </w:r>
      <w:r w:rsidRPr="00271B89">
        <w:rPr>
          <w:rFonts w:cs="Times New Roman"/>
        </w:rPr>
        <w:t xml:space="preserve"> older </w:t>
      </w:r>
      <w:r>
        <w:rPr>
          <w:rFonts w:cs="Times New Roman"/>
        </w:rPr>
        <w:t xml:space="preserve">reports that they </w:t>
      </w:r>
      <w:r w:rsidR="005A7C1B">
        <w:rPr>
          <w:rFonts w:cs="Times New Roman"/>
        </w:rPr>
        <w:t>do not have a</w:t>
      </w:r>
      <w:r w:rsidR="00E440E9">
        <w:rPr>
          <w:rFonts w:cs="Times New Roman"/>
        </w:rPr>
        <w:t xml:space="preserve"> fixed address</w:t>
      </w:r>
      <w:r w:rsidRPr="00271B89">
        <w:rPr>
          <w:rFonts w:cs="Times New Roman"/>
        </w:rPr>
        <w:t xml:space="preserve"> or </w:t>
      </w:r>
      <w:r w:rsidR="00A167DB">
        <w:rPr>
          <w:rFonts w:cs="Times New Roman"/>
        </w:rPr>
        <w:t xml:space="preserve">have attempted but </w:t>
      </w:r>
      <w:r w:rsidRPr="00271B89">
        <w:rPr>
          <w:rFonts w:cs="Times New Roman"/>
          <w:u w:val="single"/>
        </w:rPr>
        <w:t>cannot obtain</w:t>
      </w:r>
      <w:r w:rsidRPr="00271B89">
        <w:rPr>
          <w:rFonts w:cs="Times New Roman"/>
        </w:rPr>
        <w:t xml:space="preserve"> third</w:t>
      </w:r>
      <w:r w:rsidR="006A1462">
        <w:rPr>
          <w:rFonts w:cs="Times New Roman"/>
        </w:rPr>
        <w:t>-</w:t>
      </w:r>
      <w:r w:rsidRPr="00271B89">
        <w:rPr>
          <w:rFonts w:cs="Times New Roman"/>
        </w:rPr>
        <w:t>party proof of current residency,</w:t>
      </w:r>
      <w:r w:rsidR="00CF326E">
        <w:rPr>
          <w:rFonts w:cs="Times New Roman"/>
        </w:rPr>
        <w:t xml:space="preserve"> </w:t>
      </w:r>
      <w:r w:rsidR="00F224F5">
        <w:rPr>
          <w:rFonts w:cs="Times New Roman"/>
        </w:rPr>
        <w:t>they</w:t>
      </w:r>
      <w:r w:rsidR="00CF326E">
        <w:rPr>
          <w:rFonts w:cs="Times New Roman"/>
        </w:rPr>
        <w:t xml:space="preserve"> complete and sign</w:t>
      </w:r>
      <w:r w:rsidRPr="00271B89">
        <w:rPr>
          <w:rFonts w:cs="Times New Roman"/>
        </w:rPr>
        <w:t xml:space="preserve"> </w:t>
      </w:r>
      <w:r w:rsidRPr="003F5DA4">
        <w:rPr>
          <w:rFonts w:cs="Times New Roman"/>
          <w:b/>
          <w:color w:val="5B9BD5" w:themeColor="accent1"/>
        </w:rPr>
        <w:t>Form B: Self-Declaration of Residency</w:t>
      </w:r>
      <w:r w:rsidR="00952D14">
        <w:rPr>
          <w:rFonts w:cs="Times New Roman"/>
        </w:rPr>
        <w:t>.</w:t>
      </w:r>
    </w:p>
    <w:p w14:paraId="221AA364" w14:textId="79EF7C33" w:rsidR="00AD2426" w:rsidRPr="000B43DF" w:rsidRDefault="004A1376" w:rsidP="003A5712">
      <w:pPr>
        <w:pStyle w:val="NoSpacing"/>
        <w:ind w:left="1890"/>
        <w:rPr>
          <w:rFonts w:cs="Times New Roman"/>
          <w:color w:val="C00000"/>
        </w:rPr>
      </w:pPr>
      <w:r w:rsidRPr="004A1376">
        <w:rPr>
          <w:rFonts w:cs="Times New Roman"/>
          <w:b/>
          <w:color w:val="C00000"/>
        </w:rPr>
        <w:t>NOTE:</w:t>
      </w:r>
      <w:r w:rsidRPr="004A1376">
        <w:rPr>
          <w:rFonts w:cs="Times New Roman"/>
          <w:color w:val="C00000"/>
        </w:rPr>
        <w:t xml:space="preserve"> Form B </w:t>
      </w:r>
      <w:r w:rsidR="007764D8">
        <w:rPr>
          <w:rFonts w:cs="Times New Roman"/>
          <w:color w:val="C00000"/>
        </w:rPr>
        <w:t xml:space="preserve">does not serve as a </w:t>
      </w:r>
      <w:r w:rsidRPr="004A1376">
        <w:rPr>
          <w:rFonts w:cs="Times New Roman"/>
          <w:color w:val="C00000"/>
        </w:rPr>
        <w:t xml:space="preserve">supporting </w:t>
      </w:r>
      <w:r w:rsidR="007764D8">
        <w:rPr>
          <w:rFonts w:cs="Times New Roman"/>
          <w:color w:val="C00000"/>
        </w:rPr>
        <w:t>document</w:t>
      </w:r>
      <w:r w:rsidR="007764D8" w:rsidRPr="004A1376">
        <w:rPr>
          <w:rFonts w:cs="Times New Roman"/>
          <w:color w:val="C00000"/>
        </w:rPr>
        <w:t xml:space="preserve"> </w:t>
      </w:r>
      <w:r w:rsidRPr="004A1376">
        <w:rPr>
          <w:rFonts w:cs="Times New Roman"/>
          <w:color w:val="C00000"/>
        </w:rPr>
        <w:t>for housing assistance payments.</w:t>
      </w:r>
      <w:r w:rsidR="001F55B7">
        <w:rPr>
          <w:rFonts w:cs="Times New Roman"/>
          <w:color w:val="C00000"/>
        </w:rPr>
        <w:t xml:space="preserve"> </w:t>
      </w:r>
      <w:r w:rsidR="00AD2426" w:rsidRPr="00AD2426">
        <w:rPr>
          <w:rFonts w:cs="Times New Roman"/>
          <w:color w:val="C00000"/>
        </w:rPr>
        <w:t xml:space="preserve">Households must receive services in the </w:t>
      </w:r>
      <w:r w:rsidR="00DA3F3E">
        <w:rPr>
          <w:rFonts w:cs="Times New Roman"/>
          <w:color w:val="C00000"/>
        </w:rPr>
        <w:t>HSDA</w:t>
      </w:r>
      <w:r w:rsidR="00AD2426" w:rsidRPr="00AD2426">
        <w:rPr>
          <w:rFonts w:cs="Times New Roman"/>
          <w:color w:val="C00000"/>
        </w:rPr>
        <w:t xml:space="preserve"> in which they reside per their proof of residency. </w:t>
      </w:r>
      <w:r w:rsidR="00AD2426">
        <w:rPr>
          <w:rFonts w:cs="Times New Roman"/>
          <w:color w:val="C00000"/>
        </w:rPr>
        <w:t>However, DSHS may make e</w:t>
      </w:r>
      <w:r w:rsidR="00AD2426" w:rsidRPr="00AD2426">
        <w:rPr>
          <w:rFonts w:cs="Times New Roman"/>
          <w:color w:val="C00000"/>
        </w:rPr>
        <w:t>xceptions on a case-by-case basis, if justified and with advance written approval from DSHS.</w:t>
      </w:r>
    </w:p>
    <w:p w14:paraId="7CE4AC1F" w14:textId="5E422527" w:rsidR="00D2024E" w:rsidRDefault="00D2024E" w:rsidP="00D2024E">
      <w:pPr>
        <w:pStyle w:val="NoSpacing"/>
        <w:rPr>
          <w:rFonts w:cs="Times New Roman"/>
        </w:rPr>
      </w:pPr>
    </w:p>
    <w:p w14:paraId="279B7687" w14:textId="737CBC6A" w:rsidR="007D3CA3" w:rsidRDefault="005654CB" w:rsidP="00754E9B">
      <w:pPr>
        <w:pStyle w:val="NoSpacing"/>
        <w:numPr>
          <w:ilvl w:val="1"/>
          <w:numId w:val="34"/>
        </w:numPr>
        <w:rPr>
          <w:rFonts w:cs="Times New Roman"/>
          <w:b/>
          <w:u w:val="single"/>
        </w:rPr>
      </w:pPr>
      <w:r>
        <w:rPr>
          <w:rFonts w:cs="Times New Roman"/>
          <w:b/>
          <w:u w:val="single"/>
        </w:rPr>
        <w:t>Annual and Interim</w:t>
      </w:r>
      <w:r w:rsidR="00E14F77">
        <w:rPr>
          <w:rFonts w:cs="Times New Roman"/>
          <w:b/>
          <w:u w:val="single"/>
        </w:rPr>
        <w:t xml:space="preserve"> </w:t>
      </w:r>
      <w:r w:rsidR="00F94405">
        <w:rPr>
          <w:rFonts w:cs="Times New Roman"/>
          <w:b/>
          <w:u w:val="single"/>
        </w:rPr>
        <w:t xml:space="preserve">Eligibility </w:t>
      </w:r>
      <w:r w:rsidR="00E14F77">
        <w:rPr>
          <w:rFonts w:cs="Times New Roman"/>
          <w:b/>
          <w:u w:val="single"/>
        </w:rPr>
        <w:t>Recertification</w:t>
      </w:r>
      <w:r w:rsidR="00397CCC">
        <w:rPr>
          <w:rFonts w:cs="Times New Roman"/>
          <w:b/>
          <w:u w:val="single"/>
        </w:rPr>
        <w:t>s</w:t>
      </w:r>
    </w:p>
    <w:p w14:paraId="1DA449B3" w14:textId="0EB7025E" w:rsidR="00556AAD" w:rsidRDefault="00556AAD" w:rsidP="00754E9B">
      <w:pPr>
        <w:pStyle w:val="NoSpacing"/>
        <w:numPr>
          <w:ilvl w:val="2"/>
          <w:numId w:val="34"/>
        </w:numPr>
        <w:rPr>
          <w:rFonts w:cs="Times New Roman"/>
          <w:b/>
        </w:rPr>
      </w:pPr>
      <w:r w:rsidRPr="00556AAD">
        <w:rPr>
          <w:rFonts w:cs="Times New Roman"/>
          <w:b/>
        </w:rPr>
        <w:t xml:space="preserve">Annual </w:t>
      </w:r>
      <w:r w:rsidR="00F94405">
        <w:rPr>
          <w:rFonts w:cs="Times New Roman"/>
          <w:b/>
        </w:rPr>
        <w:t xml:space="preserve">Eligibility </w:t>
      </w:r>
      <w:r w:rsidRPr="00556AAD">
        <w:rPr>
          <w:rFonts w:cs="Times New Roman"/>
          <w:b/>
        </w:rPr>
        <w:t>Recertification</w:t>
      </w:r>
      <w:r>
        <w:rPr>
          <w:rFonts w:cs="Times New Roman"/>
          <w:b/>
        </w:rPr>
        <w:t>s</w:t>
      </w:r>
    </w:p>
    <w:p w14:paraId="61E27040" w14:textId="2CEEE5FB" w:rsidR="00556AAD" w:rsidRDefault="006C2E77" w:rsidP="00850524">
      <w:pPr>
        <w:pStyle w:val="NoSpacing"/>
        <w:ind w:left="1440"/>
        <w:rPr>
          <w:rFonts w:cs="Times New Roman"/>
        </w:rPr>
      </w:pPr>
      <w:r>
        <w:rPr>
          <w:rFonts w:cs="Times New Roman"/>
        </w:rPr>
        <w:t xml:space="preserve">After an initial </w:t>
      </w:r>
      <w:r w:rsidR="00617113">
        <w:rPr>
          <w:rFonts w:cs="Times New Roman"/>
        </w:rPr>
        <w:t xml:space="preserve">eligibility </w:t>
      </w:r>
      <w:r>
        <w:rPr>
          <w:rFonts w:cs="Times New Roman"/>
        </w:rPr>
        <w:t xml:space="preserve">certification, </w:t>
      </w:r>
      <w:r w:rsidR="007021B5">
        <w:rPr>
          <w:rFonts w:cs="Times New Roman"/>
        </w:rPr>
        <w:t xml:space="preserve">Project Sponsors must </w:t>
      </w:r>
      <w:r w:rsidR="001A0F3C">
        <w:rPr>
          <w:rFonts w:cs="Times New Roman"/>
        </w:rPr>
        <w:t>complete an annual eligibility recertification s</w:t>
      </w:r>
      <w:r w:rsidR="00556AAD" w:rsidRPr="00556AAD">
        <w:rPr>
          <w:rFonts w:cs="Times New Roman"/>
        </w:rPr>
        <w:t xml:space="preserve">o housing assistance and supportive services may continue. For annual </w:t>
      </w:r>
      <w:r w:rsidR="00220C09">
        <w:rPr>
          <w:rFonts w:cs="Times New Roman"/>
        </w:rPr>
        <w:t xml:space="preserve">eligibility </w:t>
      </w:r>
      <w:r w:rsidR="00556AAD" w:rsidRPr="00556AAD">
        <w:rPr>
          <w:rFonts w:cs="Times New Roman"/>
        </w:rPr>
        <w:t xml:space="preserve">recertifications, households must provide proof </w:t>
      </w:r>
      <w:r w:rsidR="009735E0">
        <w:rPr>
          <w:rFonts w:cs="Times New Roman"/>
        </w:rPr>
        <w:t xml:space="preserve">of </w:t>
      </w:r>
      <w:r w:rsidR="00556AAD" w:rsidRPr="00556AAD">
        <w:rPr>
          <w:rFonts w:cs="Times New Roman"/>
        </w:rPr>
        <w:t xml:space="preserve">income and current residency per the Eligibility Confirmation and Documentation Requirements above. </w:t>
      </w:r>
      <w:r w:rsidR="00D14638">
        <w:rPr>
          <w:rFonts w:cs="Times New Roman"/>
        </w:rPr>
        <w:t>Also</w:t>
      </w:r>
      <w:r w:rsidR="00556AAD" w:rsidRPr="00556AAD">
        <w:rPr>
          <w:rFonts w:cs="Times New Roman"/>
        </w:rPr>
        <w:t xml:space="preserve">, </w:t>
      </w:r>
      <w:r w:rsidR="007021B5">
        <w:rPr>
          <w:rFonts w:cs="Times New Roman"/>
        </w:rPr>
        <w:t>households must complete all applicable p</w:t>
      </w:r>
      <w:r w:rsidR="00556AAD" w:rsidRPr="00556AAD">
        <w:rPr>
          <w:rFonts w:cs="Times New Roman"/>
        </w:rPr>
        <w:t xml:space="preserve">rogram </w:t>
      </w:r>
      <w:r w:rsidR="007021B5">
        <w:rPr>
          <w:rFonts w:cs="Times New Roman"/>
        </w:rPr>
        <w:t>e</w:t>
      </w:r>
      <w:r w:rsidR="004F060F">
        <w:rPr>
          <w:rFonts w:cs="Times New Roman"/>
        </w:rPr>
        <w:t>nrollment</w:t>
      </w:r>
      <w:r w:rsidR="004F060F" w:rsidRPr="00556AAD">
        <w:rPr>
          <w:rFonts w:cs="Times New Roman"/>
        </w:rPr>
        <w:t xml:space="preserve"> </w:t>
      </w:r>
      <w:r w:rsidR="00556AAD" w:rsidRPr="00556AAD">
        <w:rPr>
          <w:rFonts w:cs="Times New Roman"/>
        </w:rPr>
        <w:t xml:space="preserve">and </w:t>
      </w:r>
      <w:r w:rsidR="007021B5">
        <w:rPr>
          <w:rFonts w:cs="Times New Roman"/>
        </w:rPr>
        <w:t>s</w:t>
      </w:r>
      <w:r w:rsidR="00556AAD" w:rsidRPr="00556AAD">
        <w:rPr>
          <w:rFonts w:cs="Times New Roman"/>
        </w:rPr>
        <w:t>ervice forms again.</w:t>
      </w:r>
    </w:p>
    <w:p w14:paraId="0DBEBC96" w14:textId="77777777" w:rsidR="00495AE2" w:rsidRPr="00495AE2" w:rsidRDefault="00495AE2" w:rsidP="00495AE2">
      <w:pPr>
        <w:pStyle w:val="NoSpacing"/>
        <w:ind w:left="1440"/>
        <w:rPr>
          <w:rFonts w:cs="Times New Roman"/>
          <w:b/>
        </w:rPr>
      </w:pPr>
    </w:p>
    <w:p w14:paraId="00C2DECA" w14:textId="716012D0" w:rsidR="00556AAD" w:rsidRDefault="00556AAD" w:rsidP="00754E9B">
      <w:pPr>
        <w:pStyle w:val="NoSpacing"/>
        <w:numPr>
          <w:ilvl w:val="2"/>
          <w:numId w:val="34"/>
        </w:numPr>
        <w:rPr>
          <w:rFonts w:cs="Times New Roman"/>
          <w:b/>
        </w:rPr>
      </w:pPr>
      <w:r w:rsidRPr="00556AAD">
        <w:rPr>
          <w:rFonts w:cs="Times New Roman"/>
          <w:b/>
        </w:rPr>
        <w:t xml:space="preserve">Interim </w:t>
      </w:r>
      <w:r w:rsidR="00F94405">
        <w:rPr>
          <w:rFonts w:cs="Times New Roman"/>
          <w:b/>
        </w:rPr>
        <w:t xml:space="preserve">Eligibility </w:t>
      </w:r>
      <w:r w:rsidRPr="00556AAD">
        <w:rPr>
          <w:rFonts w:cs="Times New Roman"/>
          <w:b/>
        </w:rPr>
        <w:t>Recertifications</w:t>
      </w:r>
    </w:p>
    <w:p w14:paraId="69EA4623" w14:textId="54C6AAC7" w:rsidR="00941682" w:rsidRDefault="007021B5" w:rsidP="00941682">
      <w:pPr>
        <w:pStyle w:val="NoSpacing"/>
        <w:ind w:left="1440"/>
        <w:rPr>
          <w:rFonts w:cs="Times New Roman"/>
        </w:rPr>
      </w:pPr>
      <w:r>
        <w:rPr>
          <w:rFonts w:cs="Times New Roman"/>
        </w:rPr>
        <w:t xml:space="preserve">When </w:t>
      </w:r>
      <w:r w:rsidR="00CB31BE">
        <w:rPr>
          <w:rFonts w:cs="Times New Roman"/>
        </w:rPr>
        <w:t>household</w:t>
      </w:r>
      <w:r>
        <w:rPr>
          <w:rFonts w:cs="Times New Roman"/>
        </w:rPr>
        <w:t xml:space="preserve"> </w:t>
      </w:r>
      <w:r w:rsidR="00CB31BE" w:rsidRPr="003E1DAC">
        <w:rPr>
          <w:rFonts w:cs="Times New Roman"/>
        </w:rPr>
        <w:t xml:space="preserve">income, residency, or composition </w:t>
      </w:r>
      <w:r>
        <w:rPr>
          <w:rFonts w:cs="Times New Roman"/>
        </w:rPr>
        <w:t xml:space="preserve">change during an annual eligibility period, Project Sponsors must </w:t>
      </w:r>
      <w:r w:rsidR="00BC727B">
        <w:rPr>
          <w:rFonts w:cs="Times New Roman"/>
        </w:rPr>
        <w:t>complete an interim eligibility recertification</w:t>
      </w:r>
      <w:r w:rsidR="001A0F3C">
        <w:rPr>
          <w:rFonts w:cs="Times New Roman"/>
        </w:rPr>
        <w:t xml:space="preserve">. </w:t>
      </w:r>
      <w:r w:rsidR="00CB31BE">
        <w:rPr>
          <w:rFonts w:cs="Times New Roman"/>
        </w:rPr>
        <w:t>Changes</w:t>
      </w:r>
      <w:r w:rsidR="00CB31BE" w:rsidRPr="003E1DAC">
        <w:rPr>
          <w:rFonts w:cs="Times New Roman"/>
        </w:rPr>
        <w:t xml:space="preserve"> in household</w:t>
      </w:r>
      <w:r w:rsidR="00CB31BE">
        <w:rPr>
          <w:rFonts w:cs="Times New Roman"/>
        </w:rPr>
        <w:t xml:space="preserve"> eligibility factors</w:t>
      </w:r>
      <w:r w:rsidR="00CB31BE" w:rsidRPr="003E1DAC">
        <w:rPr>
          <w:rFonts w:cs="Times New Roman"/>
        </w:rPr>
        <w:t xml:space="preserve"> </w:t>
      </w:r>
      <w:r w:rsidR="00CB31BE">
        <w:rPr>
          <w:rFonts w:cs="Times New Roman"/>
        </w:rPr>
        <w:t xml:space="preserve">may </w:t>
      </w:r>
      <w:r w:rsidR="00CB31BE" w:rsidRPr="003E1DAC">
        <w:rPr>
          <w:rFonts w:cs="Times New Roman"/>
        </w:rPr>
        <w:t xml:space="preserve">affect </w:t>
      </w:r>
      <w:r w:rsidR="00520EFF">
        <w:rPr>
          <w:rFonts w:cs="Times New Roman"/>
        </w:rPr>
        <w:t xml:space="preserve">1) whether the household remains eligible for the program and 2) </w:t>
      </w:r>
      <w:r w:rsidR="003742F6">
        <w:rPr>
          <w:rFonts w:cs="Times New Roman"/>
        </w:rPr>
        <w:t>their</w:t>
      </w:r>
      <w:r w:rsidR="00520EFF">
        <w:rPr>
          <w:rFonts w:cs="Times New Roman"/>
        </w:rPr>
        <w:t xml:space="preserve"> rental assistance </w:t>
      </w:r>
      <w:r w:rsidR="00520EFF">
        <w:rPr>
          <w:rFonts w:cs="Times New Roman"/>
        </w:rPr>
        <w:lastRenderedPageBreak/>
        <w:t>calculation</w:t>
      </w:r>
      <w:r w:rsidR="003742F6">
        <w:rPr>
          <w:rFonts w:cs="Times New Roman"/>
        </w:rPr>
        <w:t xml:space="preserve"> if applicable</w:t>
      </w:r>
      <w:r w:rsidR="00CB31BE" w:rsidRPr="003E1DAC">
        <w:rPr>
          <w:rFonts w:cs="Times New Roman"/>
        </w:rPr>
        <w:t>.</w:t>
      </w:r>
      <w:r w:rsidR="00CB31BE">
        <w:rPr>
          <w:rFonts w:cs="Times New Roman"/>
        </w:rPr>
        <w:t xml:space="preserve"> </w:t>
      </w:r>
      <w:r w:rsidR="00941682">
        <w:rPr>
          <w:rFonts w:cs="Times New Roman"/>
        </w:rPr>
        <w:t>Project Sponsors</w:t>
      </w:r>
      <w:r w:rsidR="00941682" w:rsidRPr="00941682">
        <w:rPr>
          <w:rFonts w:cs="Times New Roman"/>
        </w:rPr>
        <w:t xml:space="preserve"> </w:t>
      </w:r>
      <w:r w:rsidR="00941682">
        <w:rPr>
          <w:rFonts w:cs="Times New Roman"/>
        </w:rPr>
        <w:t>complete interim</w:t>
      </w:r>
      <w:r w:rsidR="00BC727B">
        <w:rPr>
          <w:rFonts w:cs="Times New Roman"/>
        </w:rPr>
        <w:t xml:space="preserve"> eligibility recertifications</w:t>
      </w:r>
      <w:r w:rsidR="00941682" w:rsidRPr="00941682">
        <w:rPr>
          <w:rFonts w:cs="Times New Roman"/>
        </w:rPr>
        <w:t xml:space="preserve"> within a reasonable </w:t>
      </w:r>
      <w:r w:rsidR="00BC727B">
        <w:rPr>
          <w:rFonts w:cs="Times New Roman"/>
        </w:rPr>
        <w:t>timeframe</w:t>
      </w:r>
      <w:r w:rsidR="00B42A5C">
        <w:rPr>
          <w:rFonts w:cs="Times New Roman"/>
        </w:rPr>
        <w:t xml:space="preserve"> </w:t>
      </w:r>
      <w:r w:rsidR="0091068E">
        <w:rPr>
          <w:rFonts w:cs="Times New Roman"/>
        </w:rPr>
        <w:t>from the date</w:t>
      </w:r>
      <w:r w:rsidR="00B42A5C">
        <w:rPr>
          <w:rFonts w:cs="Times New Roman"/>
        </w:rPr>
        <w:t xml:space="preserve"> the household </w:t>
      </w:r>
      <w:r w:rsidR="0091068E">
        <w:rPr>
          <w:rFonts w:cs="Times New Roman"/>
        </w:rPr>
        <w:t>reports</w:t>
      </w:r>
      <w:r w:rsidR="00F65655">
        <w:rPr>
          <w:rFonts w:cs="Times New Roman"/>
        </w:rPr>
        <w:t xml:space="preserve"> or</w:t>
      </w:r>
      <w:r w:rsidR="00B42A5C">
        <w:rPr>
          <w:rFonts w:cs="Times New Roman"/>
        </w:rPr>
        <w:t xml:space="preserve"> </w:t>
      </w:r>
      <w:r w:rsidR="00941682" w:rsidRPr="00941682">
        <w:rPr>
          <w:rFonts w:cs="Times New Roman"/>
        </w:rPr>
        <w:t xml:space="preserve">the </w:t>
      </w:r>
      <w:r w:rsidR="00BC727B">
        <w:rPr>
          <w:rFonts w:cs="Times New Roman"/>
        </w:rPr>
        <w:t>Project Sponsor</w:t>
      </w:r>
      <w:r w:rsidR="00941682" w:rsidRPr="00941682">
        <w:rPr>
          <w:rFonts w:cs="Times New Roman"/>
        </w:rPr>
        <w:t xml:space="preserve"> becomes aware of </w:t>
      </w:r>
      <w:r w:rsidR="0091068E">
        <w:rPr>
          <w:rFonts w:cs="Times New Roman"/>
        </w:rPr>
        <w:t>such changes</w:t>
      </w:r>
      <w:r w:rsidR="00941682" w:rsidRPr="00941682">
        <w:rPr>
          <w:rFonts w:cs="Times New Roman"/>
        </w:rPr>
        <w:t xml:space="preserve">. </w:t>
      </w:r>
      <w:r w:rsidR="0091068E">
        <w:rPr>
          <w:rFonts w:cs="Times New Roman"/>
        </w:rPr>
        <w:t>While the</w:t>
      </w:r>
      <w:r w:rsidR="00BC727B">
        <w:rPr>
          <w:rFonts w:cs="Times New Roman"/>
        </w:rPr>
        <w:t xml:space="preserve"> timeframe </w:t>
      </w:r>
      <w:r w:rsidR="00941682" w:rsidRPr="00941682">
        <w:rPr>
          <w:rFonts w:cs="Times New Roman"/>
        </w:rPr>
        <w:t xml:space="preserve">may vary based on the amount of time it takes to verify information, </w:t>
      </w:r>
      <w:r w:rsidR="0091068E">
        <w:rPr>
          <w:rFonts w:cs="Times New Roman"/>
        </w:rPr>
        <w:t>it</w:t>
      </w:r>
      <w:r w:rsidR="00941682" w:rsidRPr="00941682">
        <w:rPr>
          <w:rFonts w:cs="Times New Roman"/>
        </w:rPr>
        <w:t xml:space="preserve"> generally should not exceed 30 days</w:t>
      </w:r>
      <w:r w:rsidR="0091068E">
        <w:rPr>
          <w:rFonts w:cs="Times New Roman"/>
        </w:rPr>
        <w:t>.</w:t>
      </w:r>
    </w:p>
    <w:p w14:paraId="25DE8CA2" w14:textId="77777777" w:rsidR="00941682" w:rsidRDefault="00941682" w:rsidP="00941682">
      <w:pPr>
        <w:pStyle w:val="NoSpacing"/>
        <w:ind w:left="1440"/>
        <w:rPr>
          <w:rFonts w:cs="Times New Roman"/>
        </w:rPr>
      </w:pPr>
    </w:p>
    <w:p w14:paraId="4748FBC8" w14:textId="7F36871C" w:rsidR="00941682" w:rsidRDefault="00556AAD" w:rsidP="00850524">
      <w:pPr>
        <w:pStyle w:val="NoSpacing"/>
        <w:ind w:left="1440"/>
        <w:rPr>
          <w:rFonts w:cs="Times New Roman"/>
        </w:rPr>
      </w:pPr>
      <w:r w:rsidRPr="00556AAD">
        <w:rPr>
          <w:rFonts w:cs="Times New Roman"/>
        </w:rPr>
        <w:t xml:space="preserve">Project Sponsors complete </w:t>
      </w:r>
      <w:r w:rsidRPr="003F5DA4">
        <w:rPr>
          <w:rFonts w:cs="Times New Roman"/>
          <w:b/>
          <w:color w:val="5B9BD5" w:themeColor="accent1"/>
        </w:rPr>
        <w:t>Form O: Interim Recertification Worksheet</w:t>
      </w:r>
      <w:r w:rsidRPr="00556AAD">
        <w:rPr>
          <w:rFonts w:cs="Times New Roman"/>
        </w:rPr>
        <w:t xml:space="preserve"> if </w:t>
      </w:r>
      <w:r w:rsidR="00BA0E5E">
        <w:rPr>
          <w:rFonts w:cs="Times New Roman"/>
        </w:rPr>
        <w:t>household</w:t>
      </w:r>
      <w:r w:rsidRPr="00556AAD">
        <w:rPr>
          <w:rFonts w:cs="Times New Roman"/>
        </w:rPr>
        <w:t xml:space="preserve"> income, residency, and/or composition </w:t>
      </w:r>
      <w:r w:rsidR="00BA0E5E">
        <w:rPr>
          <w:rFonts w:cs="Times New Roman"/>
        </w:rPr>
        <w:t xml:space="preserve">change </w:t>
      </w:r>
      <w:r w:rsidRPr="00556AAD">
        <w:rPr>
          <w:rFonts w:cs="Times New Roman"/>
        </w:rPr>
        <w:t>and</w:t>
      </w:r>
      <w:r w:rsidR="00BA0E5E">
        <w:rPr>
          <w:rFonts w:cs="Times New Roman"/>
        </w:rPr>
        <w:t xml:space="preserve"> </w:t>
      </w:r>
      <w:r w:rsidR="00776B9B">
        <w:rPr>
          <w:rFonts w:cs="Times New Roman"/>
        </w:rPr>
        <w:t>the household</w:t>
      </w:r>
      <w:r w:rsidRPr="00556AAD">
        <w:rPr>
          <w:rFonts w:cs="Times New Roman"/>
        </w:rPr>
        <w:t xml:space="preserve"> will remain in the program. </w:t>
      </w:r>
      <w:r w:rsidR="009808E1">
        <w:rPr>
          <w:rFonts w:cs="Times New Roman"/>
        </w:rPr>
        <w:t>Form O</w:t>
      </w:r>
      <w:r w:rsidRPr="00556AAD">
        <w:rPr>
          <w:rFonts w:cs="Times New Roman"/>
        </w:rPr>
        <w:t xml:space="preserve"> provides instructions for documenting changes</w:t>
      </w:r>
      <w:r w:rsidR="0091673D">
        <w:rPr>
          <w:rFonts w:cs="Times New Roman"/>
        </w:rPr>
        <w:t xml:space="preserve">, describes how changes affect household eligibility, </w:t>
      </w:r>
      <w:r w:rsidRPr="00556AAD">
        <w:rPr>
          <w:rFonts w:cs="Times New Roman"/>
        </w:rPr>
        <w:t xml:space="preserve">and </w:t>
      </w:r>
      <w:r w:rsidR="00B20C39">
        <w:rPr>
          <w:rFonts w:cs="Times New Roman"/>
        </w:rPr>
        <w:t xml:space="preserve">indicates </w:t>
      </w:r>
      <w:r w:rsidR="00B543E2">
        <w:rPr>
          <w:rFonts w:cs="Times New Roman"/>
        </w:rPr>
        <w:t>which</w:t>
      </w:r>
      <w:r w:rsidRPr="00556AAD">
        <w:rPr>
          <w:rFonts w:cs="Times New Roman"/>
        </w:rPr>
        <w:t xml:space="preserve"> program forms </w:t>
      </w:r>
      <w:r w:rsidR="007021B5">
        <w:rPr>
          <w:rFonts w:cs="Times New Roman"/>
        </w:rPr>
        <w:t>require updates</w:t>
      </w:r>
      <w:r w:rsidR="00B20C39">
        <w:rPr>
          <w:rFonts w:cs="Times New Roman"/>
        </w:rPr>
        <w:t xml:space="preserve"> </w:t>
      </w:r>
      <w:r w:rsidR="00DC2C6D">
        <w:rPr>
          <w:rFonts w:cs="Times New Roman"/>
        </w:rPr>
        <w:t>because of</w:t>
      </w:r>
      <w:r w:rsidR="00B20C39">
        <w:rPr>
          <w:rFonts w:cs="Times New Roman"/>
        </w:rPr>
        <w:t xml:space="preserve"> changes</w:t>
      </w:r>
      <w:r w:rsidRPr="00556AAD">
        <w:rPr>
          <w:rFonts w:cs="Times New Roman"/>
        </w:rPr>
        <w:t>.</w:t>
      </w:r>
      <w:r w:rsidR="003E1DAC">
        <w:rPr>
          <w:rFonts w:cs="Times New Roman"/>
        </w:rPr>
        <w:t xml:space="preserve"> </w:t>
      </w:r>
      <w:r w:rsidR="003E1DAC" w:rsidRPr="003E1DAC">
        <w:rPr>
          <w:rFonts w:cs="Times New Roman"/>
        </w:rPr>
        <w:t xml:space="preserve">Project Sponsors </w:t>
      </w:r>
      <w:r w:rsidR="006F4193">
        <w:rPr>
          <w:rFonts w:cs="Times New Roman"/>
        </w:rPr>
        <w:t xml:space="preserve">carefully </w:t>
      </w:r>
      <w:r w:rsidR="003E1DAC" w:rsidRPr="003E1DAC">
        <w:rPr>
          <w:rFonts w:cs="Times New Roman"/>
        </w:rPr>
        <w:t>follow the instructions o</w:t>
      </w:r>
      <w:r w:rsidR="004C2020">
        <w:rPr>
          <w:rFonts w:cs="Times New Roman"/>
        </w:rPr>
        <w:t xml:space="preserve">n </w:t>
      </w:r>
      <w:r w:rsidR="003E1DAC" w:rsidRPr="003E1DAC">
        <w:rPr>
          <w:rFonts w:cs="Times New Roman"/>
        </w:rPr>
        <w:t xml:space="preserve">Form O to ensure </w:t>
      </w:r>
      <w:r w:rsidR="006F4193">
        <w:rPr>
          <w:rFonts w:cs="Times New Roman"/>
        </w:rPr>
        <w:t>they thoroughly document</w:t>
      </w:r>
      <w:r w:rsidR="003742F6">
        <w:rPr>
          <w:rFonts w:cs="Times New Roman"/>
        </w:rPr>
        <w:t xml:space="preserve"> each </w:t>
      </w:r>
      <w:r w:rsidR="003E1DAC" w:rsidRPr="003E1DAC">
        <w:rPr>
          <w:rFonts w:cs="Times New Roman"/>
        </w:rPr>
        <w:t>change.</w:t>
      </w:r>
      <w:r w:rsidR="00615275">
        <w:rPr>
          <w:rFonts w:cs="Times New Roman"/>
        </w:rPr>
        <w:t xml:space="preserve"> </w:t>
      </w:r>
    </w:p>
    <w:p w14:paraId="288E6F93" w14:textId="3C345407" w:rsidR="00556AAD" w:rsidRPr="00556AAD" w:rsidRDefault="00556AAD" w:rsidP="003A5712">
      <w:pPr>
        <w:pStyle w:val="NoSpacing"/>
        <w:numPr>
          <w:ilvl w:val="3"/>
          <w:numId w:val="34"/>
        </w:numPr>
        <w:ind w:left="1890" w:hanging="450"/>
        <w:rPr>
          <w:rFonts w:cs="Times New Roman"/>
        </w:rPr>
      </w:pPr>
      <w:r w:rsidRPr="004771E2">
        <w:rPr>
          <w:rFonts w:cs="Times New Roman"/>
          <w:i/>
        </w:rPr>
        <w:t>Change in Household Income.</w:t>
      </w:r>
      <w:r>
        <w:rPr>
          <w:rFonts w:cs="Times New Roman"/>
        </w:rPr>
        <w:t xml:space="preserve"> </w:t>
      </w:r>
      <w:r w:rsidR="004771E2">
        <w:rPr>
          <w:rFonts w:cs="Times New Roman"/>
        </w:rPr>
        <w:t xml:space="preserve">The DSHS HOPWA Program defines a change in income as $200.00 or more per month to align </w:t>
      </w:r>
      <w:r w:rsidR="00D754AB">
        <w:rPr>
          <w:rFonts w:cs="Times New Roman"/>
        </w:rPr>
        <w:t xml:space="preserve">with HUD’s </w:t>
      </w:r>
      <w:hyperlink r:id="rId75" w:history="1">
        <w:r w:rsidR="00D754AB" w:rsidRPr="00484700">
          <w:rPr>
            <w:rStyle w:val="Hyperlink"/>
            <w:rFonts w:cs="Times New Roman"/>
          </w:rPr>
          <w:t>Occupancy Requirements of Subsidized Multifamily Housing Programs</w:t>
        </w:r>
      </w:hyperlink>
      <w:r w:rsidR="00484700">
        <w:rPr>
          <w:rFonts w:cs="Times New Roman"/>
        </w:rPr>
        <w:t xml:space="preserve">, </w:t>
      </w:r>
      <w:r w:rsidR="00484700" w:rsidRPr="008026D4">
        <w:rPr>
          <w:rFonts w:cs="Times New Roman"/>
        </w:rPr>
        <w:t>(</w:t>
      </w:r>
      <w:r w:rsidR="00484700">
        <w:rPr>
          <w:rFonts w:cs="Times New Roman"/>
        </w:rPr>
        <w:t xml:space="preserve">see </w:t>
      </w:r>
      <w:r w:rsidR="00484700" w:rsidRPr="008026D4">
        <w:rPr>
          <w:rFonts w:cs="Times New Roman"/>
        </w:rPr>
        <w:t xml:space="preserve">Chapter </w:t>
      </w:r>
      <w:r w:rsidR="00484700">
        <w:rPr>
          <w:rFonts w:cs="Times New Roman"/>
        </w:rPr>
        <w:t>7</w:t>
      </w:r>
      <w:r w:rsidR="00484700" w:rsidRPr="008026D4">
        <w:rPr>
          <w:rFonts w:cs="Times New Roman"/>
        </w:rPr>
        <w:t xml:space="preserve">: </w:t>
      </w:r>
      <w:r w:rsidR="00484700">
        <w:rPr>
          <w:rFonts w:cs="Times New Roman"/>
        </w:rPr>
        <w:t>Recertification, Unit Transfers, and Gross Rent Changes, Section 2</w:t>
      </w:r>
      <w:r w:rsidR="00484700" w:rsidRPr="008026D4">
        <w:rPr>
          <w:rFonts w:cs="Times New Roman"/>
        </w:rPr>
        <w:t>:</w:t>
      </w:r>
      <w:r w:rsidR="00484700">
        <w:rPr>
          <w:rFonts w:cs="Times New Roman"/>
        </w:rPr>
        <w:t xml:space="preserve"> Interim Recertification</w:t>
      </w:r>
      <w:r w:rsidR="00484700" w:rsidRPr="008026D4">
        <w:rPr>
          <w:rFonts w:cs="Times New Roman"/>
        </w:rPr>
        <w:t>)</w:t>
      </w:r>
      <w:r w:rsidR="00484700">
        <w:rPr>
          <w:rFonts w:cs="Times New Roman"/>
        </w:rPr>
        <w:t>.</w:t>
      </w:r>
      <w:r w:rsidR="003E1DAC">
        <w:rPr>
          <w:rFonts w:cs="Times New Roman"/>
        </w:rPr>
        <w:t xml:space="preserve"> </w:t>
      </w:r>
      <w:r w:rsidR="0063551F">
        <w:rPr>
          <w:rFonts w:cs="Times New Roman"/>
        </w:rPr>
        <w:t>Nonetheless</w:t>
      </w:r>
      <w:r w:rsidR="00BC6E60">
        <w:rPr>
          <w:rFonts w:cs="Times New Roman"/>
        </w:rPr>
        <w:t xml:space="preserve">, households may request an interim recertification for </w:t>
      </w:r>
      <w:r w:rsidR="0063551F">
        <w:rPr>
          <w:rFonts w:cs="Times New Roman"/>
        </w:rPr>
        <w:t>a</w:t>
      </w:r>
      <w:r w:rsidR="00BC6E60">
        <w:rPr>
          <w:rFonts w:cs="Times New Roman"/>
        </w:rPr>
        <w:t xml:space="preserve"> change in income</w:t>
      </w:r>
      <w:r w:rsidR="0063551F">
        <w:rPr>
          <w:rFonts w:cs="Times New Roman"/>
        </w:rPr>
        <w:t xml:space="preserve"> of any amount </w:t>
      </w:r>
      <w:r w:rsidR="00776B9B">
        <w:rPr>
          <w:rFonts w:cs="Times New Roman"/>
        </w:rPr>
        <w:t xml:space="preserve">at any time </w:t>
      </w:r>
      <w:r w:rsidR="00BC6E60">
        <w:rPr>
          <w:rFonts w:cs="Times New Roman"/>
        </w:rPr>
        <w:t xml:space="preserve">during </w:t>
      </w:r>
      <w:r w:rsidR="0063551F">
        <w:rPr>
          <w:rFonts w:cs="Times New Roman"/>
        </w:rPr>
        <w:t>an</w:t>
      </w:r>
      <w:r w:rsidR="00BC6E60">
        <w:rPr>
          <w:rFonts w:cs="Times New Roman"/>
        </w:rPr>
        <w:t xml:space="preserve"> annual eligibility period. </w:t>
      </w:r>
      <w:r w:rsidRPr="00556AAD">
        <w:rPr>
          <w:rFonts w:cs="Times New Roman"/>
        </w:rPr>
        <w:t>Attach documentation of</w:t>
      </w:r>
      <w:r w:rsidR="00E34275">
        <w:rPr>
          <w:rFonts w:cs="Times New Roman"/>
        </w:rPr>
        <w:t xml:space="preserve"> the</w:t>
      </w:r>
      <w:r w:rsidRPr="00556AAD">
        <w:rPr>
          <w:rFonts w:cs="Times New Roman"/>
        </w:rPr>
        <w:t xml:space="preserve"> change in income </w:t>
      </w:r>
      <w:r w:rsidR="00E34275">
        <w:rPr>
          <w:rFonts w:cs="Times New Roman"/>
        </w:rPr>
        <w:t>to Form O</w:t>
      </w:r>
      <w:r w:rsidR="00347AB0">
        <w:rPr>
          <w:rFonts w:cs="Times New Roman"/>
        </w:rPr>
        <w:t>. T</w:t>
      </w:r>
      <w:r w:rsidR="00C421A1">
        <w:rPr>
          <w:rFonts w:cs="Times New Roman"/>
        </w:rPr>
        <w:t xml:space="preserve">his </w:t>
      </w:r>
      <w:r w:rsidR="00DA3F3E" w:rsidRPr="00DA3F3E">
        <w:rPr>
          <w:rFonts w:cs="Times New Roman"/>
        </w:rPr>
        <w:t xml:space="preserve">documentation must be complete and cover the 30 days </w:t>
      </w:r>
      <w:r w:rsidR="00347AB0">
        <w:rPr>
          <w:rFonts w:cs="Times New Roman"/>
        </w:rPr>
        <w:t xml:space="preserve">immediately </w:t>
      </w:r>
      <w:r w:rsidR="00DA3F3E" w:rsidRPr="00DA3F3E">
        <w:rPr>
          <w:rFonts w:cs="Times New Roman"/>
        </w:rPr>
        <w:t xml:space="preserve">preceding the </w:t>
      </w:r>
      <w:r w:rsidR="00BC6E60">
        <w:rPr>
          <w:rFonts w:cs="Times New Roman"/>
        </w:rPr>
        <w:t xml:space="preserve">interim </w:t>
      </w:r>
      <w:r w:rsidR="00DA3F3E" w:rsidRPr="00DA3F3E">
        <w:rPr>
          <w:rFonts w:cs="Times New Roman"/>
        </w:rPr>
        <w:t>recertification date</w:t>
      </w:r>
      <w:r w:rsidRPr="00556AAD">
        <w:rPr>
          <w:rFonts w:cs="Times New Roman"/>
        </w:rPr>
        <w:t xml:space="preserve">. </w:t>
      </w:r>
      <w:r w:rsidR="005E061C" w:rsidRPr="005E061C">
        <w:rPr>
          <w:rFonts w:cs="Times New Roman"/>
        </w:rPr>
        <w:t>If household annual income exceeds 80</w:t>
      </w:r>
      <w:r w:rsidR="00C85469">
        <w:rPr>
          <w:rFonts w:cs="Times New Roman"/>
        </w:rPr>
        <w:t xml:space="preserve"> percent</w:t>
      </w:r>
      <w:r w:rsidR="005E061C" w:rsidRPr="005E061C">
        <w:rPr>
          <w:rFonts w:cs="Times New Roman"/>
        </w:rPr>
        <w:t xml:space="preserve"> of AMI, </w:t>
      </w:r>
      <w:r w:rsidR="00FC74B9">
        <w:rPr>
          <w:rFonts w:cs="Times New Roman"/>
        </w:rPr>
        <w:t xml:space="preserve">the </w:t>
      </w:r>
      <w:r w:rsidR="005E061C" w:rsidRPr="005E061C">
        <w:rPr>
          <w:rFonts w:cs="Times New Roman"/>
        </w:rPr>
        <w:t xml:space="preserve">household </w:t>
      </w:r>
      <w:r w:rsidR="00316473">
        <w:rPr>
          <w:rFonts w:cs="Times New Roman"/>
        </w:rPr>
        <w:t xml:space="preserve">no longer meets </w:t>
      </w:r>
      <w:r w:rsidR="003042D4">
        <w:rPr>
          <w:rFonts w:cs="Times New Roman"/>
        </w:rPr>
        <w:t xml:space="preserve">the </w:t>
      </w:r>
      <w:r w:rsidR="0006360E">
        <w:rPr>
          <w:rFonts w:cs="Times New Roman"/>
        </w:rPr>
        <w:t xml:space="preserve">program </w:t>
      </w:r>
      <w:r w:rsidR="00316473">
        <w:rPr>
          <w:rFonts w:cs="Times New Roman"/>
        </w:rPr>
        <w:t>eligibility</w:t>
      </w:r>
      <w:r w:rsidR="00A41FEB">
        <w:rPr>
          <w:rFonts w:cs="Times New Roman"/>
        </w:rPr>
        <w:t xml:space="preserve"> criteria</w:t>
      </w:r>
      <w:r w:rsidR="005E061C" w:rsidRPr="005E061C">
        <w:rPr>
          <w:rFonts w:cs="Times New Roman"/>
        </w:rPr>
        <w:t>. Complete and attach Form I for TBRA</w:t>
      </w:r>
      <w:r w:rsidR="00484700">
        <w:rPr>
          <w:rFonts w:cs="Times New Roman"/>
        </w:rPr>
        <w:t xml:space="preserve"> or TSH</w:t>
      </w:r>
      <w:r w:rsidR="005E061C" w:rsidRPr="005E061C">
        <w:rPr>
          <w:rFonts w:cs="Times New Roman"/>
        </w:rPr>
        <w:t xml:space="preserve"> households and Form C for all households.</w:t>
      </w:r>
    </w:p>
    <w:p w14:paraId="60D49BD6" w14:textId="708D74F6" w:rsidR="00556AAD" w:rsidRPr="004771E2" w:rsidRDefault="00556AAD" w:rsidP="003A5712">
      <w:pPr>
        <w:pStyle w:val="NoSpacing"/>
        <w:numPr>
          <w:ilvl w:val="3"/>
          <w:numId w:val="34"/>
        </w:numPr>
        <w:ind w:left="1890" w:hanging="450"/>
        <w:rPr>
          <w:rFonts w:cs="Times New Roman"/>
        </w:rPr>
      </w:pPr>
      <w:r w:rsidRPr="004771E2">
        <w:rPr>
          <w:rFonts w:cs="Times New Roman"/>
          <w:i/>
        </w:rPr>
        <w:t>Change in Household Residency</w:t>
      </w:r>
      <w:r w:rsidR="004771E2" w:rsidRPr="004771E2">
        <w:rPr>
          <w:rFonts w:cs="Times New Roman"/>
          <w:i/>
        </w:rPr>
        <w:t>.</w:t>
      </w:r>
      <w:r w:rsidR="004771E2">
        <w:rPr>
          <w:rFonts w:cs="Times New Roman"/>
          <w:i/>
        </w:rPr>
        <w:t xml:space="preserve"> </w:t>
      </w:r>
      <w:r w:rsidRPr="004771E2">
        <w:rPr>
          <w:rFonts w:cs="Times New Roman"/>
        </w:rPr>
        <w:t xml:space="preserve">Attach documentation of </w:t>
      </w:r>
      <w:r w:rsidR="00BC6E60">
        <w:rPr>
          <w:rFonts w:cs="Times New Roman"/>
        </w:rPr>
        <w:t xml:space="preserve">the </w:t>
      </w:r>
      <w:r w:rsidRPr="004771E2">
        <w:rPr>
          <w:rFonts w:cs="Times New Roman"/>
        </w:rPr>
        <w:t>change in residency</w:t>
      </w:r>
      <w:r w:rsidR="00E34275">
        <w:rPr>
          <w:rFonts w:cs="Times New Roman"/>
        </w:rPr>
        <w:t xml:space="preserve"> to Form O</w:t>
      </w:r>
      <w:r w:rsidR="00347AB0">
        <w:rPr>
          <w:rFonts w:cs="Times New Roman"/>
        </w:rPr>
        <w:t xml:space="preserve">. This </w:t>
      </w:r>
      <w:r w:rsidR="00DA3F3E">
        <w:rPr>
          <w:rFonts w:cs="Times New Roman"/>
        </w:rPr>
        <w:t>d</w:t>
      </w:r>
      <w:r w:rsidR="00DA3F3E" w:rsidRPr="00DA3F3E">
        <w:rPr>
          <w:rFonts w:cs="Times New Roman"/>
        </w:rPr>
        <w:t xml:space="preserve">ocumentation must be current as of the </w:t>
      </w:r>
      <w:r w:rsidR="00BC6E60">
        <w:rPr>
          <w:rFonts w:cs="Times New Roman"/>
        </w:rPr>
        <w:t xml:space="preserve">interim </w:t>
      </w:r>
      <w:r w:rsidR="00DA3F3E" w:rsidRPr="00DA3F3E">
        <w:rPr>
          <w:rFonts w:cs="Times New Roman"/>
        </w:rPr>
        <w:t>recertification date</w:t>
      </w:r>
      <w:r w:rsidRPr="004771E2">
        <w:rPr>
          <w:rFonts w:cs="Times New Roman"/>
        </w:rPr>
        <w:t xml:space="preserve">. </w:t>
      </w:r>
      <w:r w:rsidR="005E061C" w:rsidRPr="005E061C">
        <w:rPr>
          <w:rFonts w:cs="Times New Roman"/>
        </w:rPr>
        <w:t xml:space="preserve">If </w:t>
      </w:r>
      <w:r w:rsidR="00BC6E60">
        <w:rPr>
          <w:rFonts w:cs="Times New Roman"/>
        </w:rPr>
        <w:t xml:space="preserve">the </w:t>
      </w:r>
      <w:r w:rsidR="005E061C" w:rsidRPr="005E061C">
        <w:rPr>
          <w:rFonts w:cs="Times New Roman"/>
        </w:rPr>
        <w:t xml:space="preserve">household </w:t>
      </w:r>
      <w:r w:rsidR="00511DE9">
        <w:rPr>
          <w:rFonts w:cs="Times New Roman"/>
        </w:rPr>
        <w:t>relocates</w:t>
      </w:r>
      <w:r w:rsidR="005E061C" w:rsidRPr="005E061C">
        <w:rPr>
          <w:rFonts w:cs="Times New Roman"/>
        </w:rPr>
        <w:t xml:space="preserve"> outside of the Project Sponsor’s HSDA, program services will end immediately and </w:t>
      </w:r>
      <w:r w:rsidR="00BC6E60">
        <w:rPr>
          <w:rFonts w:cs="Times New Roman"/>
        </w:rPr>
        <w:t xml:space="preserve">the </w:t>
      </w:r>
      <w:r w:rsidR="005E061C" w:rsidRPr="005E061C">
        <w:rPr>
          <w:rFonts w:cs="Times New Roman"/>
        </w:rPr>
        <w:t>household may seek services from the HOPWA provider in their new HSDA. If household annual income exceeds 80</w:t>
      </w:r>
      <w:r w:rsidR="00C85469">
        <w:rPr>
          <w:rFonts w:cs="Times New Roman"/>
        </w:rPr>
        <w:t xml:space="preserve"> percent</w:t>
      </w:r>
      <w:r w:rsidR="005E061C" w:rsidRPr="005E061C">
        <w:rPr>
          <w:rFonts w:cs="Times New Roman"/>
        </w:rPr>
        <w:t xml:space="preserve"> of AMI, </w:t>
      </w:r>
      <w:r w:rsidR="00FC74B9">
        <w:rPr>
          <w:rFonts w:cs="Times New Roman"/>
        </w:rPr>
        <w:t xml:space="preserve">the </w:t>
      </w:r>
      <w:r w:rsidR="005E061C" w:rsidRPr="005E061C">
        <w:rPr>
          <w:rFonts w:cs="Times New Roman"/>
        </w:rPr>
        <w:t xml:space="preserve">household no longer </w:t>
      </w:r>
      <w:r w:rsidR="00316473">
        <w:rPr>
          <w:rFonts w:cs="Times New Roman"/>
        </w:rPr>
        <w:t xml:space="preserve">meets </w:t>
      </w:r>
      <w:r w:rsidR="003042D4">
        <w:rPr>
          <w:rFonts w:cs="Times New Roman"/>
        </w:rPr>
        <w:t xml:space="preserve">the </w:t>
      </w:r>
      <w:r w:rsidR="0006360E">
        <w:rPr>
          <w:rFonts w:cs="Times New Roman"/>
        </w:rPr>
        <w:t xml:space="preserve">program </w:t>
      </w:r>
      <w:r w:rsidR="00316473">
        <w:rPr>
          <w:rFonts w:cs="Times New Roman"/>
        </w:rPr>
        <w:t>eligibility</w:t>
      </w:r>
      <w:r w:rsidR="00A41FEB">
        <w:rPr>
          <w:rFonts w:cs="Times New Roman"/>
        </w:rPr>
        <w:t xml:space="preserve"> criteria</w:t>
      </w:r>
      <w:r w:rsidR="005E061C" w:rsidRPr="005E061C">
        <w:rPr>
          <w:rFonts w:cs="Times New Roman"/>
        </w:rPr>
        <w:t xml:space="preserve">. Complete and attach Forms H and I for TBRA </w:t>
      </w:r>
      <w:r w:rsidR="00484700">
        <w:rPr>
          <w:rFonts w:cs="Times New Roman"/>
        </w:rPr>
        <w:t xml:space="preserve">or TSH </w:t>
      </w:r>
      <w:r w:rsidR="005E061C" w:rsidRPr="005E061C">
        <w:rPr>
          <w:rFonts w:cs="Times New Roman"/>
        </w:rPr>
        <w:t>households and Forms C and G for all households.</w:t>
      </w:r>
    </w:p>
    <w:p w14:paraId="254AD167" w14:textId="0FEEF7B9" w:rsidR="00397CCC" w:rsidRDefault="00556AAD" w:rsidP="003A5712">
      <w:pPr>
        <w:pStyle w:val="NoSpacing"/>
        <w:numPr>
          <w:ilvl w:val="3"/>
          <w:numId w:val="34"/>
        </w:numPr>
        <w:ind w:left="1890" w:hanging="450"/>
        <w:rPr>
          <w:rFonts w:cs="Times New Roman"/>
        </w:rPr>
      </w:pPr>
      <w:r w:rsidRPr="004771E2">
        <w:rPr>
          <w:rFonts w:cs="Times New Roman"/>
          <w:i/>
        </w:rPr>
        <w:t>Change in Household Composition</w:t>
      </w:r>
      <w:r w:rsidR="004771E2" w:rsidRPr="004771E2">
        <w:rPr>
          <w:rFonts w:cs="Times New Roman"/>
          <w:i/>
        </w:rPr>
        <w:t>.</w:t>
      </w:r>
      <w:r w:rsidR="004771E2">
        <w:rPr>
          <w:rFonts w:cs="Times New Roman"/>
          <w:i/>
        </w:rPr>
        <w:t xml:space="preserve"> </w:t>
      </w:r>
      <w:r w:rsidRPr="004771E2">
        <w:rPr>
          <w:rFonts w:cs="Times New Roman"/>
        </w:rPr>
        <w:t xml:space="preserve">Attach eligibility documents for all new household members </w:t>
      </w:r>
      <w:r w:rsidR="00D93C6D">
        <w:rPr>
          <w:rFonts w:cs="Times New Roman"/>
        </w:rPr>
        <w:t>aged</w:t>
      </w:r>
      <w:r w:rsidR="00903020">
        <w:rPr>
          <w:rFonts w:cs="Times New Roman"/>
        </w:rPr>
        <w:t xml:space="preserve"> </w:t>
      </w:r>
      <w:r w:rsidRPr="004771E2">
        <w:rPr>
          <w:rFonts w:cs="Times New Roman"/>
        </w:rPr>
        <w:t xml:space="preserve">18 years </w:t>
      </w:r>
      <w:r w:rsidR="00903020">
        <w:rPr>
          <w:rFonts w:cs="Times New Roman"/>
        </w:rPr>
        <w:t>old or</w:t>
      </w:r>
      <w:r w:rsidRPr="004771E2">
        <w:rPr>
          <w:rFonts w:cs="Times New Roman"/>
        </w:rPr>
        <w:t xml:space="preserve"> older</w:t>
      </w:r>
      <w:r w:rsidR="00E34275">
        <w:rPr>
          <w:rFonts w:cs="Times New Roman"/>
        </w:rPr>
        <w:t xml:space="preserve"> to Form O</w:t>
      </w:r>
      <w:r w:rsidRPr="004771E2">
        <w:rPr>
          <w:rFonts w:cs="Times New Roman"/>
        </w:rPr>
        <w:t xml:space="preserve">. </w:t>
      </w:r>
      <w:r w:rsidR="00FF2B94" w:rsidRPr="00FF2B94">
        <w:t xml:space="preserve">If </w:t>
      </w:r>
      <w:r w:rsidR="00FC74B9">
        <w:t xml:space="preserve">the </w:t>
      </w:r>
      <w:r w:rsidR="00FF2B94" w:rsidRPr="00FF2B94">
        <w:t xml:space="preserve">household does not include a household member </w:t>
      </w:r>
      <w:r w:rsidR="00FF38DC">
        <w:t xml:space="preserve">living </w:t>
      </w:r>
      <w:r w:rsidR="008E2805">
        <w:t>with</w:t>
      </w:r>
      <w:r w:rsidR="00FF2B94" w:rsidRPr="00FF2B94">
        <w:t xml:space="preserve"> HIV, </w:t>
      </w:r>
      <w:r w:rsidR="00FC74B9">
        <w:t xml:space="preserve">the </w:t>
      </w:r>
      <w:r w:rsidR="00FF2B94" w:rsidRPr="00FF2B94">
        <w:t xml:space="preserve">household </w:t>
      </w:r>
      <w:r w:rsidR="00316473">
        <w:t xml:space="preserve">no longer meets </w:t>
      </w:r>
      <w:r w:rsidR="003042D4">
        <w:t xml:space="preserve">the </w:t>
      </w:r>
      <w:r w:rsidR="0006360E">
        <w:t xml:space="preserve">program </w:t>
      </w:r>
      <w:r w:rsidR="00316473">
        <w:t>eligibility</w:t>
      </w:r>
      <w:r w:rsidR="00A41FEB">
        <w:t xml:space="preserve"> criteria</w:t>
      </w:r>
      <w:r w:rsidR="00FF2B94" w:rsidRPr="00FF2B94">
        <w:t xml:space="preserve"> unless </w:t>
      </w:r>
      <w:r w:rsidR="00FC74B9">
        <w:t xml:space="preserve">the </w:t>
      </w:r>
      <w:r w:rsidR="00FF2B94" w:rsidRPr="00FF2B94">
        <w:t>household qualifies for the Project Sponsor’s grace period.</w:t>
      </w:r>
      <w:r w:rsidR="00FF2B94">
        <w:t xml:space="preserve"> </w:t>
      </w:r>
      <w:r w:rsidR="005E061C" w:rsidRPr="005E061C">
        <w:rPr>
          <w:rFonts w:cs="Times New Roman"/>
        </w:rPr>
        <w:t>If household annual income exceeds 80</w:t>
      </w:r>
      <w:r w:rsidR="00C85469">
        <w:rPr>
          <w:rFonts w:cs="Times New Roman"/>
        </w:rPr>
        <w:t xml:space="preserve"> percent</w:t>
      </w:r>
      <w:r w:rsidR="005E061C" w:rsidRPr="005E061C">
        <w:rPr>
          <w:rFonts w:cs="Times New Roman"/>
        </w:rPr>
        <w:t xml:space="preserve"> of AMI, </w:t>
      </w:r>
      <w:r w:rsidR="00FC74B9">
        <w:rPr>
          <w:rFonts w:cs="Times New Roman"/>
        </w:rPr>
        <w:t xml:space="preserve">the </w:t>
      </w:r>
      <w:r w:rsidR="005E061C" w:rsidRPr="005E061C">
        <w:rPr>
          <w:rFonts w:cs="Times New Roman"/>
        </w:rPr>
        <w:t>household</w:t>
      </w:r>
      <w:r w:rsidR="00316473">
        <w:rPr>
          <w:rFonts w:cs="Times New Roman"/>
        </w:rPr>
        <w:t xml:space="preserve"> </w:t>
      </w:r>
      <w:r w:rsidR="005E061C" w:rsidRPr="005E061C">
        <w:rPr>
          <w:rFonts w:cs="Times New Roman"/>
        </w:rPr>
        <w:t xml:space="preserve">no longer </w:t>
      </w:r>
      <w:r w:rsidR="00316473">
        <w:rPr>
          <w:rFonts w:cs="Times New Roman"/>
        </w:rPr>
        <w:t xml:space="preserve">meets </w:t>
      </w:r>
      <w:r w:rsidR="003042D4">
        <w:rPr>
          <w:rFonts w:cs="Times New Roman"/>
        </w:rPr>
        <w:t xml:space="preserve">the </w:t>
      </w:r>
      <w:r w:rsidR="0006360E">
        <w:rPr>
          <w:rFonts w:cs="Times New Roman"/>
        </w:rPr>
        <w:t xml:space="preserve">program </w:t>
      </w:r>
      <w:r w:rsidR="00316473">
        <w:rPr>
          <w:rFonts w:cs="Times New Roman"/>
        </w:rPr>
        <w:t>eligibility</w:t>
      </w:r>
      <w:r w:rsidR="00A41FEB">
        <w:rPr>
          <w:rFonts w:cs="Times New Roman"/>
        </w:rPr>
        <w:t xml:space="preserve"> criteria</w:t>
      </w:r>
      <w:r w:rsidR="005E061C" w:rsidRPr="005E061C">
        <w:rPr>
          <w:rFonts w:cs="Times New Roman"/>
        </w:rPr>
        <w:t xml:space="preserve">. </w:t>
      </w:r>
      <w:r w:rsidR="00BF6BB2" w:rsidRPr="00BF6BB2">
        <w:rPr>
          <w:rFonts w:cs="Times New Roman"/>
        </w:rPr>
        <w:t>Complete and attach Form</w:t>
      </w:r>
      <w:r w:rsidR="00721FC8">
        <w:rPr>
          <w:rFonts w:cs="Times New Roman"/>
        </w:rPr>
        <w:t>s H and</w:t>
      </w:r>
      <w:r w:rsidR="00BF6BB2" w:rsidRPr="00BF6BB2">
        <w:rPr>
          <w:rFonts w:cs="Times New Roman"/>
        </w:rPr>
        <w:t xml:space="preserve"> I for TBRA or TSH households and Forms C and E for all households.</w:t>
      </w:r>
    </w:p>
    <w:p w14:paraId="0762565B" w14:textId="4FA1F7A3" w:rsidR="0076264A" w:rsidRDefault="0076264A" w:rsidP="00DA098E">
      <w:pPr>
        <w:pStyle w:val="NoSpacing"/>
        <w:rPr>
          <w:rFonts w:cs="Times New Roman"/>
        </w:rPr>
      </w:pPr>
    </w:p>
    <w:p w14:paraId="13A5FB63" w14:textId="609FAEB3" w:rsidR="0076264A" w:rsidRDefault="0076264A" w:rsidP="00DA098E">
      <w:pPr>
        <w:pStyle w:val="NoSpacing"/>
        <w:rPr>
          <w:rFonts w:cs="Times New Roman"/>
        </w:rPr>
      </w:pPr>
      <w:r w:rsidRPr="008026D4">
        <w:rPr>
          <w:noProof/>
        </w:rPr>
        <w:drawing>
          <wp:inline distT="0" distB="0" distL="0" distR="0" wp14:anchorId="33F3E1A8" wp14:editId="20105E34">
            <wp:extent cx="6858000" cy="3200400"/>
            <wp:effectExtent l="38100" t="19050" r="76200" b="3810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602687EF" w14:textId="4D98211C" w:rsidR="00DA3F3E" w:rsidRPr="000B43DF" w:rsidRDefault="00DA3F3E" w:rsidP="000B43DF">
      <w:pPr>
        <w:pStyle w:val="NoSpacing"/>
        <w:rPr>
          <w:sz w:val="2"/>
        </w:rPr>
      </w:pPr>
      <w:r w:rsidRPr="000B43DF">
        <w:rPr>
          <w:sz w:val="2"/>
        </w:rPr>
        <w:br w:type="page"/>
      </w:r>
    </w:p>
    <w:p w14:paraId="49769A97" w14:textId="00313E63" w:rsidR="00035FB9" w:rsidRPr="00971E01" w:rsidRDefault="00A107FE" w:rsidP="00B109D9">
      <w:pPr>
        <w:pStyle w:val="Heading1"/>
      </w:pPr>
      <w:bookmarkStart w:id="17" w:name="_Toc140755468"/>
      <w:r w:rsidRPr="00971E01">
        <w:lastRenderedPageBreak/>
        <w:t xml:space="preserve">Section </w:t>
      </w:r>
      <w:r w:rsidR="00636B06">
        <w:t>1</w:t>
      </w:r>
      <w:r w:rsidR="00332D31">
        <w:t>4</w:t>
      </w:r>
      <w:r w:rsidRPr="00971E01">
        <w:t xml:space="preserve">. </w:t>
      </w:r>
      <w:r w:rsidR="00BE0237">
        <w:t>Program Activities</w:t>
      </w:r>
      <w:bookmarkEnd w:id="17"/>
    </w:p>
    <w:p w14:paraId="34DAB1E8" w14:textId="77777777" w:rsidR="00B9419B" w:rsidRDefault="00B9419B" w:rsidP="00066B7E">
      <w:pPr>
        <w:pStyle w:val="NoSpacing"/>
      </w:pPr>
    </w:p>
    <w:p w14:paraId="426C9DA7" w14:textId="1AE3CC6E" w:rsidR="00B9419B" w:rsidRPr="00066B7E" w:rsidRDefault="00B9419B" w:rsidP="00B9419B">
      <w:pPr>
        <w:pStyle w:val="Heading2"/>
        <w:rPr>
          <w:szCs w:val="32"/>
        </w:rPr>
      </w:pPr>
      <w:bookmarkStart w:id="18" w:name="_Toc140755469"/>
      <w:r w:rsidRPr="00066B7E">
        <w:rPr>
          <w:szCs w:val="32"/>
        </w:rPr>
        <w:t xml:space="preserve">Housing Assistance </w:t>
      </w:r>
      <w:r w:rsidR="000137EB" w:rsidRPr="00066B7E">
        <w:rPr>
          <w:szCs w:val="32"/>
        </w:rPr>
        <w:t xml:space="preserve">and Supportive </w:t>
      </w:r>
      <w:r w:rsidRPr="00066B7E">
        <w:rPr>
          <w:szCs w:val="32"/>
        </w:rPr>
        <w:t>Services</w:t>
      </w:r>
      <w:bookmarkEnd w:id="18"/>
    </w:p>
    <w:p w14:paraId="7C382E61" w14:textId="0012616E" w:rsidR="009954F6" w:rsidRPr="008026D4" w:rsidRDefault="009954F6" w:rsidP="00F24BC0">
      <w:pPr>
        <w:pStyle w:val="NoSpacing"/>
        <w:rPr>
          <w:rFonts w:cs="Times New Roman"/>
        </w:rPr>
      </w:pPr>
      <w:r w:rsidRPr="008026D4">
        <w:rPr>
          <w:rFonts w:cs="Times New Roman"/>
        </w:rPr>
        <w:t xml:space="preserve">To </w:t>
      </w:r>
      <w:r w:rsidR="00A636EC">
        <w:rPr>
          <w:rFonts w:cs="Times New Roman"/>
        </w:rPr>
        <w:t>qualify for</w:t>
      </w:r>
      <w:r w:rsidRPr="008026D4">
        <w:rPr>
          <w:rFonts w:cs="Times New Roman"/>
        </w:rPr>
        <w:t xml:space="preserve"> </w:t>
      </w:r>
      <w:r w:rsidR="00987558">
        <w:rPr>
          <w:rFonts w:cs="Times New Roman"/>
        </w:rPr>
        <w:t>DSHS HOPWA Program</w:t>
      </w:r>
      <w:r w:rsidRPr="008026D4">
        <w:rPr>
          <w:rFonts w:cs="Times New Roman"/>
        </w:rPr>
        <w:t xml:space="preserve"> </w:t>
      </w:r>
      <w:r w:rsidR="000137EB">
        <w:rPr>
          <w:rFonts w:cs="Times New Roman"/>
        </w:rPr>
        <w:t>housing assistance and supportive services</w:t>
      </w:r>
      <w:r>
        <w:rPr>
          <w:rFonts w:cs="Times New Roman"/>
        </w:rPr>
        <w:t>:</w:t>
      </w:r>
    </w:p>
    <w:p w14:paraId="7B342CAA" w14:textId="6E9CD5A6" w:rsidR="00DA6E60" w:rsidRDefault="00DA6E60" w:rsidP="00D40F78">
      <w:pPr>
        <w:pStyle w:val="NoSpacing"/>
        <w:numPr>
          <w:ilvl w:val="0"/>
          <w:numId w:val="2"/>
        </w:numPr>
        <w:ind w:left="540"/>
        <w:rPr>
          <w:rFonts w:cs="Times New Roman"/>
        </w:rPr>
      </w:pPr>
      <w:r>
        <w:rPr>
          <w:rFonts w:cs="Times New Roman"/>
        </w:rPr>
        <w:t xml:space="preserve">The household must meet </w:t>
      </w:r>
      <w:r w:rsidR="003042D4">
        <w:rPr>
          <w:rFonts w:cs="Times New Roman"/>
        </w:rPr>
        <w:t xml:space="preserve">the </w:t>
      </w:r>
      <w:r w:rsidR="006919D0">
        <w:rPr>
          <w:rFonts w:cs="Times New Roman"/>
        </w:rPr>
        <w:t xml:space="preserve">program </w:t>
      </w:r>
      <w:r>
        <w:rPr>
          <w:rFonts w:cs="Times New Roman"/>
        </w:rPr>
        <w:t xml:space="preserve">eligibility </w:t>
      </w:r>
      <w:r w:rsidR="005A2088">
        <w:rPr>
          <w:rFonts w:cs="Times New Roman"/>
        </w:rPr>
        <w:t xml:space="preserve">criteria </w:t>
      </w:r>
      <w:r>
        <w:rPr>
          <w:rFonts w:cs="Times New Roman"/>
        </w:rPr>
        <w:t>(see S</w:t>
      </w:r>
      <w:r w:rsidR="00083D25">
        <w:rPr>
          <w:rFonts w:cs="Times New Roman"/>
        </w:rPr>
        <w:t>ection 13</w:t>
      </w:r>
      <w:r w:rsidR="00BE7AE5">
        <w:rPr>
          <w:rFonts w:cs="Times New Roman"/>
        </w:rPr>
        <w:t>: Program Eligibility);</w:t>
      </w:r>
    </w:p>
    <w:p w14:paraId="209989A2" w14:textId="60C2799C" w:rsidR="00D17C24" w:rsidRPr="00393FFD" w:rsidRDefault="00D17C24" w:rsidP="00393FFD">
      <w:pPr>
        <w:pStyle w:val="NoSpacing"/>
        <w:numPr>
          <w:ilvl w:val="0"/>
          <w:numId w:val="2"/>
        </w:numPr>
        <w:ind w:left="540"/>
        <w:rPr>
          <w:rFonts w:cs="Times New Roman"/>
        </w:rPr>
      </w:pPr>
      <w:r w:rsidRPr="00393FFD">
        <w:rPr>
          <w:rFonts w:cs="Times New Roman"/>
        </w:rPr>
        <w:t>The household must</w:t>
      </w:r>
      <w:r w:rsidR="007646AE" w:rsidRPr="00393FFD">
        <w:rPr>
          <w:rFonts w:cs="Times New Roman"/>
        </w:rPr>
        <w:t xml:space="preserve"> </w:t>
      </w:r>
      <w:r w:rsidR="00393FFD">
        <w:rPr>
          <w:rFonts w:cs="Times New Roman"/>
        </w:rPr>
        <w:t>consent to program enrollment by completing</w:t>
      </w:r>
      <w:r w:rsidR="00393FFD" w:rsidRPr="00393FFD">
        <w:rPr>
          <w:rFonts w:cs="Times New Roman"/>
        </w:rPr>
        <w:t xml:space="preserve"> </w:t>
      </w:r>
      <w:r w:rsidR="00393FFD" w:rsidRPr="00393FFD">
        <w:rPr>
          <w:rFonts w:cs="Times New Roman"/>
          <w:b/>
          <w:color w:val="5B9BD5" w:themeColor="accent1"/>
        </w:rPr>
        <w:t>Form D: HOPWA Program Agreement</w:t>
      </w:r>
      <w:r w:rsidR="00393FFD">
        <w:rPr>
          <w:rFonts w:cs="Times New Roman"/>
          <w:bCs/>
        </w:rPr>
        <w:t xml:space="preserve">, </w:t>
      </w:r>
      <w:r w:rsidR="002A63A5">
        <w:rPr>
          <w:rFonts w:cs="Times New Roman"/>
          <w:bCs/>
        </w:rPr>
        <w:t>which outlines the</w:t>
      </w:r>
      <w:r w:rsidR="003042D4" w:rsidRPr="00393FFD">
        <w:rPr>
          <w:rFonts w:cs="Times New Roman"/>
        </w:rPr>
        <w:t xml:space="preserve"> </w:t>
      </w:r>
      <w:r w:rsidR="007646AE" w:rsidRPr="00393FFD">
        <w:rPr>
          <w:rFonts w:cs="Times New Roman"/>
        </w:rPr>
        <w:t>pro</w:t>
      </w:r>
      <w:r w:rsidR="00997CAD" w:rsidRPr="00393FFD">
        <w:rPr>
          <w:rFonts w:cs="Times New Roman"/>
        </w:rPr>
        <w:t>gram</w:t>
      </w:r>
      <w:r w:rsidR="002A63A5">
        <w:rPr>
          <w:rFonts w:cs="Times New Roman"/>
        </w:rPr>
        <w:t>’s</w:t>
      </w:r>
      <w:r w:rsidR="00997CAD" w:rsidRPr="00393FFD">
        <w:rPr>
          <w:rFonts w:cs="Times New Roman"/>
        </w:rPr>
        <w:t xml:space="preserve"> goals</w:t>
      </w:r>
      <w:r w:rsidR="002A63A5">
        <w:rPr>
          <w:rFonts w:cs="Times New Roman"/>
        </w:rPr>
        <w:t xml:space="preserve">, </w:t>
      </w:r>
      <w:r w:rsidR="00997CAD" w:rsidRPr="00393FFD">
        <w:rPr>
          <w:rFonts w:cs="Times New Roman"/>
        </w:rPr>
        <w:t>eligibility</w:t>
      </w:r>
      <w:r w:rsidR="00226AF3" w:rsidRPr="00393FFD">
        <w:rPr>
          <w:rFonts w:cs="Times New Roman"/>
        </w:rPr>
        <w:t xml:space="preserve"> criteria</w:t>
      </w:r>
      <w:r w:rsidR="00997CAD" w:rsidRPr="00393FFD">
        <w:rPr>
          <w:rFonts w:cs="Times New Roman"/>
        </w:rPr>
        <w:t>,</w:t>
      </w:r>
      <w:r w:rsidR="00267A1E" w:rsidRPr="00393FFD">
        <w:rPr>
          <w:rFonts w:cs="Times New Roman"/>
        </w:rPr>
        <w:t xml:space="preserve"> </w:t>
      </w:r>
      <w:r w:rsidR="000847DD">
        <w:rPr>
          <w:rFonts w:cs="Times New Roman"/>
        </w:rPr>
        <w:t xml:space="preserve">and </w:t>
      </w:r>
      <w:r w:rsidR="00267A1E" w:rsidRPr="00393FFD">
        <w:rPr>
          <w:rFonts w:cs="Times New Roman"/>
        </w:rPr>
        <w:t>service requirements,</w:t>
      </w:r>
      <w:r w:rsidR="00997CAD" w:rsidRPr="00393FFD">
        <w:rPr>
          <w:rFonts w:cs="Times New Roman"/>
        </w:rPr>
        <w:t xml:space="preserve"> </w:t>
      </w:r>
      <w:r w:rsidR="000847DD">
        <w:rPr>
          <w:rFonts w:cs="Times New Roman"/>
        </w:rPr>
        <w:t xml:space="preserve">and their </w:t>
      </w:r>
      <w:r w:rsidR="00997CAD" w:rsidRPr="00393FFD">
        <w:rPr>
          <w:rFonts w:cs="Times New Roman"/>
        </w:rPr>
        <w:t>rights</w:t>
      </w:r>
      <w:r w:rsidR="000847DD">
        <w:rPr>
          <w:rFonts w:cs="Times New Roman"/>
        </w:rPr>
        <w:t xml:space="preserve"> </w:t>
      </w:r>
      <w:r w:rsidR="007646AE" w:rsidRPr="00393FFD">
        <w:rPr>
          <w:rFonts w:cs="Times New Roman"/>
        </w:rPr>
        <w:t>and responsibilities</w:t>
      </w:r>
      <w:r w:rsidR="002A63A5">
        <w:rPr>
          <w:rFonts w:cs="Times New Roman"/>
        </w:rPr>
        <w:t>;</w:t>
      </w:r>
      <w:r w:rsidR="00393FFD" w:rsidRPr="00393FFD">
        <w:rPr>
          <w:rFonts w:cs="Times New Roman"/>
        </w:rPr>
        <w:t xml:space="preserve"> </w:t>
      </w:r>
    </w:p>
    <w:p w14:paraId="4926DC49" w14:textId="69EE15A7" w:rsidR="00D17C24" w:rsidRDefault="00D17C24" w:rsidP="00D40F78">
      <w:pPr>
        <w:pStyle w:val="NoSpacing"/>
        <w:numPr>
          <w:ilvl w:val="0"/>
          <w:numId w:val="2"/>
        </w:numPr>
        <w:ind w:left="540"/>
        <w:rPr>
          <w:rFonts w:cs="Times New Roman"/>
        </w:rPr>
      </w:pPr>
      <w:r>
        <w:rPr>
          <w:rFonts w:cs="Times New Roman"/>
        </w:rPr>
        <w:t xml:space="preserve">The household must provide </w:t>
      </w:r>
      <w:r w:rsidRPr="00D17C24">
        <w:rPr>
          <w:rFonts w:cs="Times New Roman"/>
          <w:b/>
          <w:color w:val="5B9BD5" w:themeColor="accent1"/>
        </w:rPr>
        <w:t>Form E: Demographic and Statistical Data</w:t>
      </w:r>
      <w:r w:rsidR="00291410">
        <w:rPr>
          <w:rFonts w:cs="Times New Roman"/>
        </w:rPr>
        <w:t xml:space="preserve"> for all household members;</w:t>
      </w:r>
    </w:p>
    <w:p w14:paraId="1258407E" w14:textId="266DC9D9" w:rsidR="009954F6" w:rsidRPr="008026D4" w:rsidRDefault="00F105CD" w:rsidP="00D40F78">
      <w:pPr>
        <w:pStyle w:val="NoSpacing"/>
        <w:numPr>
          <w:ilvl w:val="0"/>
          <w:numId w:val="2"/>
        </w:numPr>
        <w:ind w:left="540"/>
        <w:rPr>
          <w:rFonts w:cs="Times New Roman"/>
        </w:rPr>
      </w:pPr>
      <w:r>
        <w:rPr>
          <w:rFonts w:cs="Times New Roman"/>
        </w:rPr>
        <w:t>The</w:t>
      </w:r>
      <w:r w:rsidR="00BE7AE5">
        <w:rPr>
          <w:rFonts w:cs="Times New Roman"/>
        </w:rPr>
        <w:t xml:space="preserve"> assisted unit must</w:t>
      </w:r>
      <w:r w:rsidR="009954F6" w:rsidRPr="008026D4">
        <w:rPr>
          <w:rFonts w:cs="Times New Roman"/>
        </w:rPr>
        <w:t xml:space="preserve"> meet </w:t>
      </w:r>
      <w:r w:rsidR="006C17E8">
        <w:rPr>
          <w:rFonts w:cs="Times New Roman"/>
        </w:rPr>
        <w:t>all</w:t>
      </w:r>
      <w:r w:rsidR="006C17E8" w:rsidRPr="008026D4">
        <w:rPr>
          <w:rFonts w:cs="Times New Roman"/>
        </w:rPr>
        <w:t xml:space="preserve"> </w:t>
      </w:r>
      <w:r w:rsidR="004A16AC">
        <w:rPr>
          <w:rFonts w:cs="Times New Roman"/>
        </w:rPr>
        <w:t>Housing Quality</w:t>
      </w:r>
      <w:r w:rsidR="004A16AC" w:rsidRPr="008026D4">
        <w:rPr>
          <w:rFonts w:cs="Times New Roman"/>
        </w:rPr>
        <w:t xml:space="preserve"> </w:t>
      </w:r>
      <w:r w:rsidR="009954F6" w:rsidRPr="008026D4">
        <w:rPr>
          <w:rFonts w:cs="Times New Roman"/>
        </w:rPr>
        <w:t>Standards</w:t>
      </w:r>
      <w:r w:rsidR="00083D25">
        <w:rPr>
          <w:rFonts w:cs="Times New Roman"/>
        </w:rPr>
        <w:t xml:space="preserve"> (see Section 10</w:t>
      </w:r>
      <w:r w:rsidR="009954F6">
        <w:rPr>
          <w:rFonts w:cs="Times New Roman"/>
        </w:rPr>
        <w:t xml:space="preserve">. </w:t>
      </w:r>
      <w:r w:rsidR="004A16AC">
        <w:rPr>
          <w:rFonts w:cs="Times New Roman"/>
        </w:rPr>
        <w:t xml:space="preserve">Housing Quality </w:t>
      </w:r>
      <w:r w:rsidR="009954F6">
        <w:rPr>
          <w:rFonts w:cs="Times New Roman"/>
        </w:rPr>
        <w:t>Standards)</w:t>
      </w:r>
      <w:r w:rsidR="00BE7AE5">
        <w:rPr>
          <w:rFonts w:cs="Times New Roman"/>
        </w:rPr>
        <w:t>; and</w:t>
      </w:r>
    </w:p>
    <w:p w14:paraId="5EAEE1FC" w14:textId="084A69C5" w:rsidR="009954F6" w:rsidRDefault="00F60BE9" w:rsidP="00D40F78">
      <w:pPr>
        <w:pStyle w:val="NoSpacing"/>
        <w:numPr>
          <w:ilvl w:val="0"/>
          <w:numId w:val="2"/>
        </w:numPr>
        <w:ind w:left="540"/>
        <w:rPr>
          <w:rFonts w:cs="Times New Roman"/>
        </w:rPr>
      </w:pPr>
      <w:r>
        <w:rPr>
          <w:rFonts w:cs="Times New Roman"/>
        </w:rPr>
        <w:t>The</w:t>
      </w:r>
      <w:r w:rsidR="001C263F">
        <w:rPr>
          <w:rFonts w:cs="Times New Roman"/>
        </w:rPr>
        <w:t xml:space="preserve"> </w:t>
      </w:r>
      <w:r w:rsidR="009954F6" w:rsidRPr="008026D4">
        <w:rPr>
          <w:rFonts w:cs="Times New Roman"/>
        </w:rPr>
        <w:t>Project Sponsor must obtain the</w:t>
      </w:r>
      <w:r w:rsidR="00464CA3">
        <w:rPr>
          <w:rFonts w:cs="Times New Roman"/>
        </w:rPr>
        <w:t xml:space="preserve"> owner’s</w:t>
      </w:r>
      <w:r w:rsidR="009954F6" w:rsidRPr="008026D4">
        <w:rPr>
          <w:rFonts w:cs="Times New Roman"/>
        </w:rPr>
        <w:t xml:space="preserve"> IRS Form W-9 before </w:t>
      </w:r>
      <w:r w:rsidR="008C271C">
        <w:rPr>
          <w:rFonts w:cs="Times New Roman"/>
        </w:rPr>
        <w:t>paying rent</w:t>
      </w:r>
      <w:r w:rsidR="00C400B3">
        <w:rPr>
          <w:rFonts w:cs="Times New Roman"/>
        </w:rPr>
        <w:t xml:space="preserve"> under TBRA, STRMU,</w:t>
      </w:r>
      <w:r w:rsidR="003B75AB">
        <w:rPr>
          <w:rFonts w:cs="Times New Roman"/>
        </w:rPr>
        <w:t xml:space="preserve"> FB</w:t>
      </w:r>
      <w:r w:rsidR="00AC5DC1">
        <w:rPr>
          <w:rFonts w:cs="Times New Roman"/>
        </w:rPr>
        <w:t>H</w:t>
      </w:r>
      <w:r w:rsidR="003B75AB">
        <w:rPr>
          <w:rFonts w:cs="Times New Roman"/>
        </w:rPr>
        <w:t>A,</w:t>
      </w:r>
      <w:r w:rsidR="00C400B3">
        <w:rPr>
          <w:rFonts w:cs="Times New Roman"/>
        </w:rPr>
        <w:t xml:space="preserve"> or PHP</w:t>
      </w:r>
      <w:r w:rsidR="009954F6" w:rsidRPr="008026D4">
        <w:rPr>
          <w:rFonts w:cs="Times New Roman"/>
        </w:rPr>
        <w:t>.</w:t>
      </w:r>
    </w:p>
    <w:p w14:paraId="762073EF" w14:textId="11C7B019" w:rsidR="009954F6" w:rsidRPr="00997CAD" w:rsidRDefault="009954F6" w:rsidP="00754E9B">
      <w:pPr>
        <w:pStyle w:val="NoSpacing"/>
        <w:numPr>
          <w:ilvl w:val="1"/>
          <w:numId w:val="40"/>
        </w:numPr>
        <w:rPr>
          <w:rFonts w:cs="Times New Roman"/>
          <w:b/>
          <w:u w:val="single"/>
        </w:rPr>
      </w:pPr>
      <w:r w:rsidRPr="00997CAD">
        <w:rPr>
          <w:rFonts w:cs="Times New Roman"/>
          <w:b/>
          <w:u w:val="single"/>
        </w:rPr>
        <w:t xml:space="preserve">To receive </w:t>
      </w:r>
      <w:r w:rsidR="00032EC0">
        <w:rPr>
          <w:rFonts w:cs="Times New Roman"/>
          <w:b/>
          <w:u w:val="single"/>
        </w:rPr>
        <w:t>Tenant-Based Rental Assistance (TBRA)</w:t>
      </w:r>
      <w:r w:rsidR="00032EC0" w:rsidRPr="00997CAD">
        <w:rPr>
          <w:rFonts w:cs="Times New Roman"/>
          <w:b/>
          <w:u w:val="single"/>
        </w:rPr>
        <w:t xml:space="preserve"> </w:t>
      </w:r>
      <w:r w:rsidRPr="00997CAD">
        <w:rPr>
          <w:rFonts w:cs="Times New Roman"/>
          <w:b/>
          <w:u w:val="single"/>
        </w:rPr>
        <w:t>services</w:t>
      </w:r>
    </w:p>
    <w:p w14:paraId="560C8D89" w14:textId="14115601" w:rsidR="009954F6" w:rsidRPr="008026D4" w:rsidRDefault="00015247" w:rsidP="00754E9B">
      <w:pPr>
        <w:pStyle w:val="NoSpacing"/>
        <w:numPr>
          <w:ilvl w:val="2"/>
          <w:numId w:val="40"/>
        </w:numPr>
        <w:rPr>
          <w:rFonts w:cs="Times New Roman"/>
        </w:rPr>
      </w:pPr>
      <w:r>
        <w:rPr>
          <w:rFonts w:cs="Times New Roman"/>
        </w:rPr>
        <w:t>The h</w:t>
      </w:r>
      <w:r w:rsidR="009954F6" w:rsidRPr="008026D4">
        <w:rPr>
          <w:rFonts w:cs="Times New Roman"/>
        </w:rPr>
        <w:t xml:space="preserve">ousehold </w:t>
      </w:r>
      <w:r w:rsidR="00DC7476">
        <w:rPr>
          <w:rFonts w:cs="Times New Roman"/>
        </w:rPr>
        <w:t>can be housed or homeless</w:t>
      </w:r>
      <w:r w:rsidR="009954F6" w:rsidRPr="008026D4">
        <w:rPr>
          <w:rFonts w:cs="Times New Roman"/>
        </w:rPr>
        <w:t>;</w:t>
      </w:r>
    </w:p>
    <w:p w14:paraId="6B5D1E9E" w14:textId="07385E13" w:rsidR="003B75AB" w:rsidRDefault="00015247" w:rsidP="00754E9B">
      <w:pPr>
        <w:pStyle w:val="NoSpacing"/>
        <w:numPr>
          <w:ilvl w:val="2"/>
          <w:numId w:val="40"/>
        </w:numPr>
        <w:rPr>
          <w:rFonts w:cs="Times New Roman"/>
        </w:rPr>
      </w:pPr>
      <w:r>
        <w:rPr>
          <w:rFonts w:cs="Times New Roman"/>
        </w:rPr>
        <w:t>The g</w:t>
      </w:r>
      <w:r w:rsidR="009954F6" w:rsidRPr="008026D4">
        <w:rPr>
          <w:rFonts w:cs="Times New Roman"/>
        </w:rPr>
        <w:t xml:space="preserve">ross rent </w:t>
      </w:r>
      <w:r w:rsidR="00742B08">
        <w:rPr>
          <w:rFonts w:cs="Times New Roman"/>
        </w:rPr>
        <w:t>cannot exceed</w:t>
      </w:r>
      <w:r w:rsidR="009954F6" w:rsidRPr="008026D4">
        <w:rPr>
          <w:rFonts w:cs="Times New Roman"/>
        </w:rPr>
        <w:t xml:space="preserve"> the lower of the rent standard or reasonable rent</w:t>
      </w:r>
      <w:r w:rsidR="009E5F13">
        <w:rPr>
          <w:rFonts w:cs="Times New Roman"/>
        </w:rPr>
        <w:t>;</w:t>
      </w:r>
      <w:r w:rsidR="00DD26C6">
        <w:rPr>
          <w:rFonts w:cs="Times New Roman"/>
        </w:rPr>
        <w:t xml:space="preserve"> </w:t>
      </w:r>
    </w:p>
    <w:p w14:paraId="25BEE8F2" w14:textId="0244D3C4" w:rsidR="00742B08" w:rsidRPr="00742B08" w:rsidRDefault="00742B08" w:rsidP="00742B08">
      <w:pPr>
        <w:pStyle w:val="NoSpacing"/>
        <w:numPr>
          <w:ilvl w:val="2"/>
          <w:numId w:val="40"/>
        </w:numPr>
        <w:rPr>
          <w:rFonts w:cs="Times New Roman"/>
        </w:rPr>
      </w:pPr>
      <w:r w:rsidRPr="00742B08">
        <w:rPr>
          <w:rFonts w:cs="Times New Roman"/>
        </w:rPr>
        <w:t xml:space="preserve">The lease must name at least one household member and </w:t>
      </w:r>
      <w:r w:rsidR="009E5F13" w:rsidRPr="00742B08">
        <w:rPr>
          <w:rFonts w:cs="Times New Roman"/>
        </w:rPr>
        <w:t xml:space="preserve">include a </w:t>
      </w:r>
      <w:r w:rsidR="009E5F13" w:rsidRPr="00742B08">
        <w:rPr>
          <w:rFonts w:cs="Times New Roman"/>
          <w:b/>
          <w:color w:val="9B83BF"/>
        </w:rPr>
        <w:t>VAWA Lease Addendum</w:t>
      </w:r>
      <w:r w:rsidR="009954F6" w:rsidRPr="00742B08">
        <w:rPr>
          <w:rFonts w:cs="Times New Roman"/>
        </w:rPr>
        <w:t>.</w:t>
      </w:r>
    </w:p>
    <w:p w14:paraId="247AB448" w14:textId="77777777" w:rsidR="00BE4BAB" w:rsidRPr="008026D4" w:rsidRDefault="00BE4BAB" w:rsidP="00ED208F">
      <w:pPr>
        <w:pStyle w:val="NoSpacing"/>
        <w:rPr>
          <w:rFonts w:cs="Times New Roman"/>
        </w:rPr>
      </w:pPr>
    </w:p>
    <w:p w14:paraId="1D81393E" w14:textId="0F0BA613" w:rsidR="009954F6" w:rsidRPr="00997CAD" w:rsidRDefault="009954F6" w:rsidP="00754E9B">
      <w:pPr>
        <w:pStyle w:val="ListParagraph"/>
        <w:numPr>
          <w:ilvl w:val="1"/>
          <w:numId w:val="40"/>
        </w:numPr>
        <w:spacing w:after="0"/>
        <w:rPr>
          <w:rFonts w:cs="Times New Roman"/>
          <w:b/>
          <w:u w:val="single"/>
        </w:rPr>
      </w:pPr>
      <w:r w:rsidRPr="00997CAD">
        <w:rPr>
          <w:rFonts w:cs="Times New Roman"/>
          <w:b/>
          <w:u w:val="single"/>
        </w:rPr>
        <w:t xml:space="preserve">To receive </w:t>
      </w:r>
      <w:r w:rsidR="00032EC0">
        <w:rPr>
          <w:rFonts w:cs="Times New Roman"/>
          <w:b/>
          <w:u w:val="single"/>
        </w:rPr>
        <w:t>Short-Term Rent, Mortgage, and Utility (STRMU)</w:t>
      </w:r>
      <w:r w:rsidR="00032EC0" w:rsidRPr="00997CAD">
        <w:rPr>
          <w:rFonts w:cs="Times New Roman"/>
          <w:b/>
          <w:u w:val="single"/>
        </w:rPr>
        <w:t xml:space="preserve"> </w:t>
      </w:r>
      <w:r w:rsidRPr="00997CAD">
        <w:rPr>
          <w:rFonts w:cs="Times New Roman"/>
          <w:b/>
          <w:u w:val="single"/>
        </w:rPr>
        <w:t>services</w:t>
      </w:r>
    </w:p>
    <w:p w14:paraId="017DC609" w14:textId="5AA25E30" w:rsidR="009954F6" w:rsidRPr="008026D4" w:rsidRDefault="00015247" w:rsidP="00754E9B">
      <w:pPr>
        <w:pStyle w:val="ListParagraph"/>
        <w:numPr>
          <w:ilvl w:val="2"/>
          <w:numId w:val="40"/>
        </w:numPr>
        <w:spacing w:after="0"/>
        <w:rPr>
          <w:rFonts w:cs="Times New Roman"/>
        </w:rPr>
      </w:pPr>
      <w:r>
        <w:rPr>
          <w:rFonts w:cs="Times New Roman"/>
        </w:rPr>
        <w:t>The h</w:t>
      </w:r>
      <w:r w:rsidR="009954F6" w:rsidRPr="008026D4">
        <w:rPr>
          <w:rFonts w:cs="Times New Roman"/>
        </w:rPr>
        <w:t xml:space="preserve">ousehold must already </w:t>
      </w:r>
      <w:r w:rsidR="00742B08">
        <w:rPr>
          <w:rFonts w:cs="Times New Roman"/>
        </w:rPr>
        <w:t>have</w:t>
      </w:r>
      <w:r w:rsidR="00742B08" w:rsidRPr="008026D4">
        <w:rPr>
          <w:rFonts w:cs="Times New Roman"/>
        </w:rPr>
        <w:t xml:space="preserve"> </w:t>
      </w:r>
      <w:r w:rsidR="00742B08">
        <w:rPr>
          <w:rFonts w:cs="Times New Roman"/>
        </w:rPr>
        <w:t>housing</w:t>
      </w:r>
      <w:r w:rsidR="009954F6" w:rsidRPr="008026D4">
        <w:rPr>
          <w:rFonts w:cs="Times New Roman"/>
        </w:rPr>
        <w:t>;</w:t>
      </w:r>
    </w:p>
    <w:p w14:paraId="5122F7D3" w14:textId="540F1E7D" w:rsidR="009954F6" w:rsidRPr="008026D4" w:rsidRDefault="00015247" w:rsidP="00754E9B">
      <w:pPr>
        <w:pStyle w:val="ListParagraph"/>
        <w:numPr>
          <w:ilvl w:val="2"/>
          <w:numId w:val="40"/>
        </w:numPr>
        <w:spacing w:after="0"/>
        <w:rPr>
          <w:rFonts w:cs="Times New Roman"/>
        </w:rPr>
      </w:pPr>
      <w:r>
        <w:rPr>
          <w:rFonts w:cs="Times New Roman"/>
        </w:rPr>
        <w:t>The h</w:t>
      </w:r>
      <w:r w:rsidR="009954F6" w:rsidRPr="008026D4">
        <w:rPr>
          <w:rFonts w:cs="Times New Roman"/>
        </w:rPr>
        <w:t>ousehold must provide proof of a recent short-term emergency that jeopardizes housing stability;</w:t>
      </w:r>
    </w:p>
    <w:p w14:paraId="458A281A" w14:textId="74E8BD84" w:rsidR="009954F6" w:rsidRPr="008026D4" w:rsidRDefault="00742B08" w:rsidP="00754E9B">
      <w:pPr>
        <w:pStyle w:val="ListParagraph"/>
        <w:numPr>
          <w:ilvl w:val="2"/>
          <w:numId w:val="40"/>
        </w:numPr>
        <w:spacing w:after="0"/>
        <w:rPr>
          <w:rFonts w:cs="Times New Roman"/>
        </w:rPr>
      </w:pPr>
      <w:r>
        <w:rPr>
          <w:rFonts w:cs="Times New Roman"/>
        </w:rPr>
        <w:t>The</w:t>
      </w:r>
      <w:r w:rsidR="009954F6" w:rsidRPr="008026D4">
        <w:rPr>
          <w:rFonts w:cs="Times New Roman"/>
        </w:rPr>
        <w:t xml:space="preserve"> current lease, mortgage, or utility bill</w:t>
      </w:r>
      <w:r>
        <w:rPr>
          <w:rFonts w:cs="Times New Roman"/>
        </w:rPr>
        <w:t xml:space="preserve"> must name at least one household member</w:t>
      </w:r>
      <w:r w:rsidR="009954F6" w:rsidRPr="008026D4">
        <w:rPr>
          <w:rFonts w:cs="Times New Roman"/>
        </w:rPr>
        <w:t>;</w:t>
      </w:r>
      <w:r w:rsidR="00015247">
        <w:rPr>
          <w:rFonts w:cs="Times New Roman"/>
        </w:rPr>
        <w:t xml:space="preserve"> and</w:t>
      </w:r>
    </w:p>
    <w:p w14:paraId="60315991" w14:textId="030CC9E2" w:rsidR="009954F6" w:rsidRDefault="00015247" w:rsidP="00754E9B">
      <w:pPr>
        <w:pStyle w:val="ListParagraph"/>
        <w:numPr>
          <w:ilvl w:val="2"/>
          <w:numId w:val="40"/>
        </w:numPr>
        <w:spacing w:after="0"/>
        <w:rPr>
          <w:rFonts w:cs="Times New Roman"/>
        </w:rPr>
      </w:pPr>
      <w:r>
        <w:rPr>
          <w:rFonts w:cs="Times New Roman"/>
        </w:rPr>
        <w:t>The h</w:t>
      </w:r>
      <w:r w:rsidR="009954F6" w:rsidRPr="008026D4">
        <w:rPr>
          <w:rFonts w:cs="Times New Roman"/>
        </w:rPr>
        <w:t>ousehold can receive</w:t>
      </w:r>
      <w:r w:rsidR="001D3728">
        <w:rPr>
          <w:rFonts w:cs="Times New Roman"/>
        </w:rPr>
        <w:t xml:space="preserve"> only</w:t>
      </w:r>
      <w:r w:rsidR="009954F6" w:rsidRPr="008026D4">
        <w:rPr>
          <w:rFonts w:cs="Times New Roman"/>
        </w:rPr>
        <w:t xml:space="preserve"> 21 weeks of assistance in a 52</w:t>
      </w:r>
      <w:r w:rsidR="00486C34">
        <w:rPr>
          <w:rFonts w:cs="Times New Roman"/>
        </w:rPr>
        <w:t>-</w:t>
      </w:r>
      <w:r w:rsidR="009954F6" w:rsidRPr="008026D4">
        <w:rPr>
          <w:rFonts w:cs="Times New Roman"/>
        </w:rPr>
        <w:t>week period (</w:t>
      </w:r>
      <w:r w:rsidR="00486C34">
        <w:rPr>
          <w:rFonts w:cs="Times New Roman"/>
        </w:rPr>
        <w:t>local</w:t>
      </w:r>
      <w:r w:rsidR="009954F6" w:rsidRPr="008026D4">
        <w:rPr>
          <w:rFonts w:cs="Times New Roman"/>
        </w:rPr>
        <w:t xml:space="preserve"> Caps may </w:t>
      </w:r>
      <w:r w:rsidR="006C17E8">
        <w:rPr>
          <w:rFonts w:cs="Times New Roman"/>
        </w:rPr>
        <w:t>apply</w:t>
      </w:r>
      <w:r w:rsidR="009954F6" w:rsidRPr="008026D4">
        <w:rPr>
          <w:rFonts w:cs="Times New Roman"/>
        </w:rPr>
        <w:t>).</w:t>
      </w:r>
    </w:p>
    <w:p w14:paraId="1262FD82" w14:textId="77777777" w:rsidR="00BE4BAB" w:rsidRPr="00497A78" w:rsidRDefault="00BE4BAB" w:rsidP="00ED208F">
      <w:pPr>
        <w:spacing w:after="0"/>
        <w:rPr>
          <w:rFonts w:cs="Times New Roman"/>
        </w:rPr>
      </w:pPr>
    </w:p>
    <w:p w14:paraId="5D20E332" w14:textId="029888C7" w:rsidR="003B75AB" w:rsidRPr="00ED208F" w:rsidRDefault="003B75AB" w:rsidP="003B75AB">
      <w:pPr>
        <w:pStyle w:val="ListParagraph"/>
        <w:numPr>
          <w:ilvl w:val="1"/>
          <w:numId w:val="40"/>
        </w:numPr>
        <w:spacing w:after="0"/>
        <w:rPr>
          <w:rFonts w:cs="Times New Roman"/>
          <w:b/>
          <w:u w:val="single"/>
        </w:rPr>
      </w:pPr>
      <w:r w:rsidRPr="00ED208F">
        <w:rPr>
          <w:rFonts w:cs="Times New Roman"/>
          <w:b/>
          <w:u w:val="single"/>
        </w:rPr>
        <w:t xml:space="preserve">To receive </w:t>
      </w:r>
      <w:r w:rsidR="00032EC0">
        <w:rPr>
          <w:rFonts w:cs="Times New Roman"/>
          <w:b/>
          <w:u w:val="single"/>
        </w:rPr>
        <w:t>Short-Term Supportive Housing (STSH)</w:t>
      </w:r>
      <w:r w:rsidR="00032EC0" w:rsidRPr="00ED208F">
        <w:rPr>
          <w:rFonts w:cs="Times New Roman"/>
          <w:b/>
          <w:u w:val="single"/>
        </w:rPr>
        <w:t xml:space="preserve"> </w:t>
      </w:r>
      <w:r w:rsidRPr="00ED208F">
        <w:rPr>
          <w:rFonts w:cs="Times New Roman"/>
          <w:b/>
          <w:u w:val="single"/>
        </w:rPr>
        <w:t>services</w:t>
      </w:r>
    </w:p>
    <w:p w14:paraId="1FFCCFC0" w14:textId="1CA98366" w:rsidR="003B75AB" w:rsidRPr="003B75AB" w:rsidRDefault="003B75AB" w:rsidP="00ED208F">
      <w:pPr>
        <w:pStyle w:val="ListParagraph"/>
        <w:numPr>
          <w:ilvl w:val="2"/>
          <w:numId w:val="40"/>
        </w:numPr>
        <w:spacing w:after="0"/>
        <w:rPr>
          <w:rFonts w:cs="Times New Roman"/>
        </w:rPr>
      </w:pPr>
      <w:r>
        <w:rPr>
          <w:rFonts w:cs="Times New Roman"/>
        </w:rPr>
        <w:t>The</w:t>
      </w:r>
      <w:r w:rsidRPr="003B75AB">
        <w:rPr>
          <w:rFonts w:cs="Times New Roman"/>
        </w:rPr>
        <w:t xml:space="preserve"> household must be homeless;</w:t>
      </w:r>
    </w:p>
    <w:p w14:paraId="7FE9C883" w14:textId="5C77677F" w:rsidR="003B75AB" w:rsidRDefault="003B75AB" w:rsidP="003B75AB">
      <w:pPr>
        <w:pStyle w:val="ListParagraph"/>
        <w:numPr>
          <w:ilvl w:val="2"/>
          <w:numId w:val="40"/>
        </w:numPr>
        <w:spacing w:after="0"/>
        <w:rPr>
          <w:rFonts w:cs="Times New Roman"/>
        </w:rPr>
      </w:pPr>
      <w:r>
        <w:rPr>
          <w:rFonts w:cs="Times New Roman"/>
        </w:rPr>
        <w:t>The</w:t>
      </w:r>
      <w:r w:rsidRPr="003B75AB">
        <w:rPr>
          <w:rFonts w:cs="Times New Roman"/>
        </w:rPr>
        <w:t xml:space="preserve"> household can receive only 60 days of </w:t>
      </w:r>
      <w:r w:rsidR="00DA49EC">
        <w:rPr>
          <w:rFonts w:cs="Times New Roman"/>
        </w:rPr>
        <w:t xml:space="preserve">facility-based </w:t>
      </w:r>
      <w:r w:rsidRPr="003B75AB">
        <w:rPr>
          <w:rFonts w:cs="Times New Roman"/>
        </w:rPr>
        <w:t>assistance in a six</w:t>
      </w:r>
      <w:r w:rsidR="00486C34">
        <w:rPr>
          <w:rFonts w:cs="Times New Roman"/>
        </w:rPr>
        <w:t>-</w:t>
      </w:r>
      <w:r w:rsidRPr="003B75AB">
        <w:rPr>
          <w:rFonts w:cs="Times New Roman"/>
        </w:rPr>
        <w:t>month period (</w:t>
      </w:r>
      <w:r w:rsidR="00486C34">
        <w:rPr>
          <w:rFonts w:cs="Times New Roman"/>
        </w:rPr>
        <w:t>local</w:t>
      </w:r>
      <w:r w:rsidRPr="003B75AB">
        <w:rPr>
          <w:rFonts w:cs="Times New Roman"/>
        </w:rPr>
        <w:t xml:space="preserve"> Caps may apply).</w:t>
      </w:r>
    </w:p>
    <w:p w14:paraId="7D6C3AB9" w14:textId="77777777" w:rsidR="00BE4BAB" w:rsidRPr="00497A78" w:rsidRDefault="00BE4BAB" w:rsidP="00ED208F">
      <w:pPr>
        <w:spacing w:after="0"/>
        <w:rPr>
          <w:rFonts w:cs="Times New Roman"/>
        </w:rPr>
      </w:pPr>
    </w:p>
    <w:p w14:paraId="4DA2E0E7" w14:textId="64F04DFC" w:rsidR="00926BF8" w:rsidRPr="00ED208F" w:rsidRDefault="00926BF8" w:rsidP="00926BF8">
      <w:pPr>
        <w:pStyle w:val="ListParagraph"/>
        <w:numPr>
          <w:ilvl w:val="1"/>
          <w:numId w:val="40"/>
        </w:numPr>
        <w:spacing w:after="0"/>
        <w:rPr>
          <w:rFonts w:cs="Times New Roman"/>
          <w:b/>
          <w:u w:val="single"/>
        </w:rPr>
      </w:pPr>
      <w:r w:rsidRPr="00ED208F">
        <w:rPr>
          <w:rFonts w:cs="Times New Roman"/>
          <w:b/>
          <w:u w:val="single"/>
        </w:rPr>
        <w:t xml:space="preserve">To receive </w:t>
      </w:r>
      <w:r w:rsidR="00032EC0">
        <w:rPr>
          <w:rFonts w:cs="Times New Roman"/>
          <w:b/>
          <w:u w:val="single"/>
        </w:rPr>
        <w:t>Transitional Supportive Housing (TSH)</w:t>
      </w:r>
      <w:r w:rsidR="00032EC0" w:rsidRPr="00ED208F">
        <w:rPr>
          <w:rFonts w:cs="Times New Roman"/>
          <w:b/>
          <w:u w:val="single"/>
        </w:rPr>
        <w:t xml:space="preserve"> </w:t>
      </w:r>
      <w:r w:rsidRPr="00ED208F">
        <w:rPr>
          <w:rFonts w:cs="Times New Roman"/>
          <w:b/>
          <w:u w:val="single"/>
        </w:rPr>
        <w:t>services</w:t>
      </w:r>
    </w:p>
    <w:p w14:paraId="7C9AD954" w14:textId="6025E9E1" w:rsidR="00926BF8" w:rsidRPr="00926BF8" w:rsidRDefault="00926BF8" w:rsidP="00ED208F">
      <w:pPr>
        <w:pStyle w:val="ListParagraph"/>
        <w:numPr>
          <w:ilvl w:val="2"/>
          <w:numId w:val="40"/>
        </w:numPr>
        <w:spacing w:after="0"/>
        <w:rPr>
          <w:rFonts w:cs="Times New Roman"/>
        </w:rPr>
      </w:pPr>
      <w:r>
        <w:rPr>
          <w:rFonts w:cs="Times New Roman"/>
        </w:rPr>
        <w:t>The</w:t>
      </w:r>
      <w:r w:rsidRPr="00926BF8">
        <w:rPr>
          <w:rFonts w:cs="Times New Roman"/>
        </w:rPr>
        <w:t xml:space="preserve"> household must be homeless/at risk of homelessness;</w:t>
      </w:r>
    </w:p>
    <w:p w14:paraId="5B905C6E" w14:textId="3127A679" w:rsidR="00926BF8" w:rsidRPr="00926BF8" w:rsidRDefault="00926BF8" w:rsidP="00ED208F">
      <w:pPr>
        <w:pStyle w:val="ListParagraph"/>
        <w:numPr>
          <w:ilvl w:val="2"/>
          <w:numId w:val="40"/>
        </w:numPr>
        <w:spacing w:after="0"/>
        <w:rPr>
          <w:rFonts w:cs="Times New Roman"/>
        </w:rPr>
      </w:pPr>
      <w:r>
        <w:rPr>
          <w:rFonts w:cs="Times New Roman"/>
        </w:rPr>
        <w:t>The</w:t>
      </w:r>
      <w:r w:rsidRPr="00926BF8">
        <w:rPr>
          <w:rFonts w:cs="Times New Roman"/>
        </w:rPr>
        <w:t xml:space="preserve"> gross rent</w:t>
      </w:r>
      <w:r>
        <w:rPr>
          <w:rFonts w:cs="Times New Roman"/>
        </w:rPr>
        <w:t xml:space="preserve"> </w:t>
      </w:r>
      <w:r w:rsidR="00742B08">
        <w:rPr>
          <w:rFonts w:cs="Times New Roman"/>
        </w:rPr>
        <w:t>cannot exceed</w:t>
      </w:r>
      <w:r w:rsidRPr="00926BF8">
        <w:rPr>
          <w:rFonts w:cs="Times New Roman"/>
        </w:rPr>
        <w:t xml:space="preserve"> the lower of the rent standard or reasonable rent;</w:t>
      </w:r>
    </w:p>
    <w:p w14:paraId="6FEE7684" w14:textId="2F227B10" w:rsidR="00926BF8" w:rsidRPr="00926BF8" w:rsidRDefault="00742B08" w:rsidP="00ED208F">
      <w:pPr>
        <w:pStyle w:val="ListParagraph"/>
        <w:numPr>
          <w:ilvl w:val="2"/>
          <w:numId w:val="40"/>
        </w:numPr>
        <w:spacing w:after="0"/>
        <w:rPr>
          <w:rFonts w:cs="Times New Roman"/>
        </w:rPr>
      </w:pPr>
      <w:r w:rsidRPr="00742B08">
        <w:rPr>
          <w:rFonts w:cs="Times New Roman"/>
        </w:rPr>
        <w:t xml:space="preserve">The lease must name at least one household member and include a </w:t>
      </w:r>
      <w:r w:rsidRPr="00742B08">
        <w:rPr>
          <w:rFonts w:cs="Times New Roman"/>
          <w:b/>
          <w:color w:val="9B83BF"/>
        </w:rPr>
        <w:t>VAWA Lease Addendum</w:t>
      </w:r>
      <w:r w:rsidR="00926BF8" w:rsidRPr="00926BF8">
        <w:rPr>
          <w:rFonts w:cs="Times New Roman"/>
        </w:rPr>
        <w:t>; and</w:t>
      </w:r>
    </w:p>
    <w:p w14:paraId="65D3DD36" w14:textId="4D7A57A0" w:rsidR="00926BF8" w:rsidRDefault="00926BF8" w:rsidP="00926BF8">
      <w:pPr>
        <w:pStyle w:val="ListParagraph"/>
        <w:numPr>
          <w:ilvl w:val="2"/>
          <w:numId w:val="40"/>
        </w:numPr>
        <w:spacing w:after="0"/>
        <w:rPr>
          <w:rFonts w:cs="Times New Roman"/>
        </w:rPr>
      </w:pPr>
      <w:r>
        <w:rPr>
          <w:rFonts w:cs="Times New Roman"/>
        </w:rPr>
        <w:t>The</w:t>
      </w:r>
      <w:r w:rsidRPr="00926BF8">
        <w:rPr>
          <w:rFonts w:cs="Times New Roman"/>
        </w:rPr>
        <w:t xml:space="preserve"> household can receive only 24 months of </w:t>
      </w:r>
      <w:r w:rsidR="00DA49EC">
        <w:rPr>
          <w:rFonts w:cs="Times New Roman"/>
        </w:rPr>
        <w:t xml:space="preserve">facility-based </w:t>
      </w:r>
      <w:r w:rsidRPr="00926BF8">
        <w:rPr>
          <w:rFonts w:cs="Times New Roman"/>
        </w:rPr>
        <w:t>assistance (</w:t>
      </w:r>
      <w:r w:rsidR="00486C34">
        <w:rPr>
          <w:rFonts w:cs="Times New Roman"/>
        </w:rPr>
        <w:t>local</w:t>
      </w:r>
      <w:r w:rsidRPr="00926BF8">
        <w:rPr>
          <w:rFonts w:cs="Times New Roman"/>
        </w:rPr>
        <w:t xml:space="preserve"> Caps may apply).</w:t>
      </w:r>
    </w:p>
    <w:p w14:paraId="6583C124" w14:textId="77777777" w:rsidR="00BE4BAB" w:rsidRPr="00497A78" w:rsidRDefault="00BE4BAB" w:rsidP="00ED208F">
      <w:pPr>
        <w:spacing w:after="0"/>
        <w:rPr>
          <w:rFonts w:cs="Times New Roman"/>
        </w:rPr>
      </w:pPr>
    </w:p>
    <w:p w14:paraId="6045EDA2" w14:textId="7F48E49B" w:rsidR="009954F6" w:rsidRPr="00997CAD" w:rsidRDefault="009954F6" w:rsidP="00754E9B">
      <w:pPr>
        <w:pStyle w:val="NoSpacing"/>
        <w:numPr>
          <w:ilvl w:val="1"/>
          <w:numId w:val="40"/>
        </w:numPr>
        <w:rPr>
          <w:rFonts w:cs="Times New Roman"/>
          <w:b/>
          <w:u w:val="single"/>
        </w:rPr>
      </w:pPr>
      <w:r w:rsidRPr="00997CAD">
        <w:rPr>
          <w:rFonts w:cs="Times New Roman"/>
          <w:b/>
          <w:u w:val="single"/>
        </w:rPr>
        <w:t xml:space="preserve">To receive </w:t>
      </w:r>
      <w:r w:rsidR="00032EC0">
        <w:rPr>
          <w:rFonts w:cs="Times New Roman"/>
          <w:b/>
          <w:u w:val="single"/>
        </w:rPr>
        <w:t>Permanent Housing Placement (</w:t>
      </w:r>
      <w:r w:rsidR="00CB31F4">
        <w:rPr>
          <w:rFonts w:cs="Times New Roman"/>
          <w:b/>
          <w:u w:val="single"/>
        </w:rPr>
        <w:t>PHP</w:t>
      </w:r>
      <w:r w:rsidR="00032EC0">
        <w:rPr>
          <w:rFonts w:cs="Times New Roman"/>
          <w:b/>
          <w:u w:val="single"/>
        </w:rPr>
        <w:t>)</w:t>
      </w:r>
      <w:r w:rsidRPr="00997CAD">
        <w:rPr>
          <w:rFonts w:cs="Times New Roman"/>
          <w:b/>
          <w:u w:val="single"/>
        </w:rPr>
        <w:t xml:space="preserve"> services</w:t>
      </w:r>
    </w:p>
    <w:p w14:paraId="75BA5782" w14:textId="5639E92C" w:rsidR="009954F6" w:rsidRPr="008026D4" w:rsidRDefault="00015247" w:rsidP="00754E9B">
      <w:pPr>
        <w:pStyle w:val="NoSpacing"/>
        <w:numPr>
          <w:ilvl w:val="2"/>
          <w:numId w:val="40"/>
        </w:numPr>
        <w:rPr>
          <w:rFonts w:cs="Times New Roman"/>
        </w:rPr>
      </w:pPr>
      <w:r>
        <w:rPr>
          <w:rFonts w:cs="Times New Roman"/>
        </w:rPr>
        <w:t>The h</w:t>
      </w:r>
      <w:r w:rsidR="009954F6" w:rsidRPr="008026D4">
        <w:rPr>
          <w:rFonts w:cs="Times New Roman"/>
        </w:rPr>
        <w:t>ousehold can be housed or homeless;</w:t>
      </w:r>
    </w:p>
    <w:p w14:paraId="08BC1981" w14:textId="4F87B98E" w:rsidR="009954F6" w:rsidRPr="008026D4" w:rsidRDefault="00015247" w:rsidP="00754E9B">
      <w:pPr>
        <w:pStyle w:val="NoSpacing"/>
        <w:numPr>
          <w:ilvl w:val="2"/>
          <w:numId w:val="40"/>
        </w:numPr>
        <w:rPr>
          <w:rFonts w:cs="Times New Roman"/>
        </w:rPr>
      </w:pPr>
      <w:r>
        <w:rPr>
          <w:rFonts w:cs="Times New Roman"/>
        </w:rPr>
        <w:t>The h</w:t>
      </w:r>
      <w:r w:rsidR="009954F6" w:rsidRPr="008026D4">
        <w:rPr>
          <w:rFonts w:cs="Times New Roman"/>
        </w:rPr>
        <w:t>ousehold must locate housing;</w:t>
      </w:r>
      <w:r>
        <w:rPr>
          <w:rFonts w:cs="Times New Roman"/>
        </w:rPr>
        <w:t xml:space="preserve"> and</w:t>
      </w:r>
    </w:p>
    <w:p w14:paraId="332B2655" w14:textId="629AA222" w:rsidR="009954F6" w:rsidRDefault="009954F6" w:rsidP="00754E9B">
      <w:pPr>
        <w:pStyle w:val="NoSpacing"/>
        <w:numPr>
          <w:ilvl w:val="2"/>
          <w:numId w:val="40"/>
        </w:numPr>
        <w:rPr>
          <w:rFonts w:cs="Times New Roman"/>
        </w:rPr>
      </w:pPr>
      <w:r w:rsidRPr="003F5DA4">
        <w:rPr>
          <w:rFonts w:cs="Times New Roman"/>
          <w:b/>
          <w:color w:val="5B9BD5" w:themeColor="accent1"/>
        </w:rPr>
        <w:t>Form L: PHP Intent to Lease Worksheet</w:t>
      </w:r>
      <w:r w:rsidR="006C17E8">
        <w:rPr>
          <w:rFonts w:cs="Times New Roman"/>
        </w:rPr>
        <w:t xml:space="preserve"> </w:t>
      </w:r>
      <w:r w:rsidR="00ED2924">
        <w:rPr>
          <w:rFonts w:cs="Times New Roman"/>
        </w:rPr>
        <w:t xml:space="preserve">must name at least one household member </w:t>
      </w:r>
      <w:proofErr w:type="gramStart"/>
      <w:r w:rsidR="00315995">
        <w:rPr>
          <w:rFonts w:cs="Times New Roman"/>
        </w:rPr>
        <w:t>in order to</w:t>
      </w:r>
      <w:proofErr w:type="gramEnd"/>
      <w:r w:rsidR="00315995">
        <w:rPr>
          <w:rFonts w:cs="Times New Roman"/>
        </w:rPr>
        <w:t xml:space="preserve"> pay </w:t>
      </w:r>
      <w:r w:rsidR="006C17E8">
        <w:rPr>
          <w:rFonts w:cs="Times New Roman"/>
        </w:rPr>
        <w:t>initial move-in costs.</w:t>
      </w:r>
    </w:p>
    <w:p w14:paraId="3B666CF9" w14:textId="77777777" w:rsidR="00BE4BAB" w:rsidRPr="008026D4" w:rsidRDefault="00BE4BAB" w:rsidP="00ED208F">
      <w:pPr>
        <w:pStyle w:val="NoSpacing"/>
        <w:rPr>
          <w:rFonts w:cs="Times New Roman"/>
        </w:rPr>
      </w:pPr>
    </w:p>
    <w:p w14:paraId="196A54C3" w14:textId="64807B46" w:rsidR="009954F6" w:rsidRPr="00997CAD" w:rsidRDefault="009954F6" w:rsidP="00754E9B">
      <w:pPr>
        <w:pStyle w:val="NoSpacing"/>
        <w:numPr>
          <w:ilvl w:val="1"/>
          <w:numId w:val="40"/>
        </w:numPr>
        <w:rPr>
          <w:rFonts w:cs="Times New Roman"/>
          <w:b/>
          <w:u w:val="single"/>
        </w:rPr>
      </w:pPr>
      <w:r w:rsidRPr="00997CAD">
        <w:rPr>
          <w:rFonts w:cs="Times New Roman"/>
          <w:b/>
          <w:u w:val="single"/>
        </w:rPr>
        <w:t xml:space="preserve">To receive </w:t>
      </w:r>
      <w:r w:rsidR="00C80E60">
        <w:rPr>
          <w:rFonts w:cs="Times New Roman"/>
          <w:b/>
          <w:u w:val="single"/>
        </w:rPr>
        <w:t>Housing Case M</w:t>
      </w:r>
      <w:r w:rsidR="000137EB">
        <w:rPr>
          <w:rFonts w:cs="Times New Roman"/>
          <w:b/>
          <w:u w:val="single"/>
        </w:rPr>
        <w:t xml:space="preserve">anagement </w:t>
      </w:r>
      <w:r w:rsidR="00032EC0">
        <w:rPr>
          <w:rFonts w:cs="Times New Roman"/>
          <w:b/>
          <w:u w:val="single"/>
        </w:rPr>
        <w:t xml:space="preserve">(HCM) </w:t>
      </w:r>
      <w:r w:rsidR="000137EB">
        <w:rPr>
          <w:rFonts w:cs="Times New Roman"/>
          <w:b/>
          <w:u w:val="single"/>
        </w:rPr>
        <w:t>services</w:t>
      </w:r>
    </w:p>
    <w:p w14:paraId="1F427410" w14:textId="4B073BFA" w:rsidR="009954F6" w:rsidRDefault="00015247" w:rsidP="00754E9B">
      <w:pPr>
        <w:pStyle w:val="NoSpacing"/>
        <w:numPr>
          <w:ilvl w:val="2"/>
          <w:numId w:val="40"/>
        </w:numPr>
        <w:rPr>
          <w:rFonts w:cs="Times New Roman"/>
        </w:rPr>
      </w:pPr>
      <w:r>
        <w:rPr>
          <w:rFonts w:cs="Times New Roman"/>
        </w:rPr>
        <w:t>The h</w:t>
      </w:r>
      <w:r w:rsidR="009954F6" w:rsidRPr="008026D4">
        <w:rPr>
          <w:rFonts w:cs="Times New Roman"/>
        </w:rPr>
        <w:t>ousehold can be housed or homeless</w:t>
      </w:r>
      <w:r w:rsidR="000137EB">
        <w:rPr>
          <w:rFonts w:cs="Times New Roman"/>
        </w:rPr>
        <w:t>; and</w:t>
      </w:r>
    </w:p>
    <w:p w14:paraId="4C18D143" w14:textId="6D878A2C" w:rsidR="000137EB" w:rsidRDefault="000137EB" w:rsidP="00754E9B">
      <w:pPr>
        <w:pStyle w:val="NoSpacing"/>
        <w:numPr>
          <w:ilvl w:val="2"/>
          <w:numId w:val="40"/>
        </w:numPr>
        <w:rPr>
          <w:rFonts w:cs="Times New Roman"/>
        </w:rPr>
      </w:pPr>
      <w:r>
        <w:rPr>
          <w:rFonts w:cs="Times New Roman"/>
        </w:rPr>
        <w:t>The household must c</w:t>
      </w:r>
      <w:r w:rsidRPr="000137EB">
        <w:rPr>
          <w:rFonts w:cs="Times New Roman"/>
        </w:rPr>
        <w:t xml:space="preserve">ollaborate with </w:t>
      </w:r>
      <w:r>
        <w:rPr>
          <w:rFonts w:cs="Times New Roman"/>
        </w:rPr>
        <w:t>their housing</w:t>
      </w:r>
      <w:r w:rsidRPr="000137EB">
        <w:rPr>
          <w:rFonts w:cs="Times New Roman"/>
        </w:rPr>
        <w:t xml:space="preserve"> case manager to develop and comply with a comprehensive housing plan to achieve permanent sustainable housing and adhere to medical care.</w:t>
      </w:r>
    </w:p>
    <w:p w14:paraId="47CBBB14" w14:textId="4C3C06FE" w:rsidR="00FE700C" w:rsidRDefault="00FE700C" w:rsidP="00ED208F">
      <w:pPr>
        <w:pStyle w:val="NoSpacing"/>
        <w:rPr>
          <w:rFonts w:cs="Times New Roman"/>
        </w:rPr>
      </w:pPr>
    </w:p>
    <w:p w14:paraId="486B8FF3" w14:textId="77777777" w:rsidR="00FE700C" w:rsidRDefault="00FE700C" w:rsidP="00EA32DB">
      <w:pPr>
        <w:pStyle w:val="NoSpacing"/>
        <w:rPr>
          <w:sz w:val="10"/>
          <w:szCs w:val="16"/>
        </w:rPr>
        <w:sectPr w:rsidR="00FE700C" w:rsidSect="00DB1D48">
          <w:type w:val="continuous"/>
          <w:pgSz w:w="12240" w:h="15840"/>
          <w:pgMar w:top="720" w:right="720" w:bottom="720" w:left="720" w:header="504" w:footer="504" w:gutter="0"/>
          <w:pgBorders w:offsetFrom="page">
            <w:top w:val="single" w:sz="4" w:space="24" w:color="BFBFBF" w:themeColor="background1" w:themeShade="BF"/>
            <w:left w:val="single" w:sz="4" w:space="24" w:color="BFBFBF" w:themeColor="background1" w:themeShade="BF"/>
            <w:bottom w:val="single" w:sz="4" w:space="24" w:color="BFBFBF" w:themeColor="background1" w:themeShade="BF"/>
            <w:right w:val="single" w:sz="4" w:space="24" w:color="BFBFBF" w:themeColor="background1" w:themeShade="BF"/>
          </w:pgBorders>
          <w:pgNumType w:start="0"/>
          <w:cols w:space="720"/>
          <w:docGrid w:linePitch="360"/>
        </w:sectPr>
      </w:pPr>
    </w:p>
    <w:p w14:paraId="0CE79181" w14:textId="579AB32F" w:rsidR="009954F6" w:rsidRDefault="009954F6" w:rsidP="00850524">
      <w:pPr>
        <w:pStyle w:val="NoSpacing"/>
        <w:rPr>
          <w:rFonts w:cs="Times New Roman"/>
        </w:rPr>
      </w:pPr>
      <w:r w:rsidRPr="008026D4">
        <w:rPr>
          <w:rFonts w:cs="Times New Roman"/>
          <w:noProof/>
        </w:rPr>
        <w:lastRenderedPageBreak/>
        <w:drawing>
          <wp:inline distT="0" distB="0" distL="0" distR="0" wp14:anchorId="67A1299B" wp14:editId="6B981959">
            <wp:extent cx="9144000" cy="6766560"/>
            <wp:effectExtent l="19050" t="0" r="3810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14:paraId="1A4D7B02" w14:textId="77777777" w:rsidR="00D10A94" w:rsidRPr="00ED208F" w:rsidRDefault="00D10A94" w:rsidP="00ED208F">
      <w:pPr>
        <w:pStyle w:val="NoSpacing"/>
        <w:rPr>
          <w:sz w:val="6"/>
        </w:rPr>
      </w:pPr>
      <w:r w:rsidRPr="00ED208F">
        <w:rPr>
          <w:sz w:val="6"/>
        </w:rPr>
        <w:br w:type="page"/>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top w:w="15" w:type="dxa"/>
          <w:left w:w="15" w:type="dxa"/>
          <w:bottom w:w="15" w:type="dxa"/>
          <w:right w:w="15" w:type="dxa"/>
        </w:tblCellMar>
        <w:tblLook w:val="04A0" w:firstRow="1" w:lastRow="0" w:firstColumn="1" w:lastColumn="0" w:noHBand="0" w:noVBand="1"/>
      </w:tblPr>
      <w:tblGrid>
        <w:gridCol w:w="1798"/>
        <w:gridCol w:w="1798"/>
        <w:gridCol w:w="1799"/>
        <w:gridCol w:w="1799"/>
        <w:gridCol w:w="1799"/>
        <w:gridCol w:w="1799"/>
        <w:gridCol w:w="1799"/>
        <w:gridCol w:w="1799"/>
      </w:tblGrid>
      <w:tr w:rsidR="00B630E6" w:rsidRPr="00006C31" w14:paraId="560EEDA1" w14:textId="661543BC" w:rsidTr="004F1682">
        <w:trPr>
          <w:trHeight w:val="20"/>
        </w:trPr>
        <w:tc>
          <w:tcPr>
            <w:tcW w:w="625" w:type="pct"/>
            <w:shd w:val="clear" w:color="auto" w:fill="9CC2E5" w:themeFill="accent1" w:themeFillTint="99"/>
            <w:hideMark/>
          </w:tcPr>
          <w:p w14:paraId="14B01311" w14:textId="3388639C" w:rsidR="00B630E6" w:rsidRPr="00006C31" w:rsidRDefault="00B630E6">
            <w:pPr>
              <w:pStyle w:val="NoSpacing"/>
              <w:rPr>
                <w:b/>
                <w:sz w:val="16"/>
              </w:rPr>
            </w:pPr>
            <w:r>
              <w:rPr>
                <w:b/>
                <w:sz w:val="16"/>
              </w:rPr>
              <w:lastRenderedPageBreak/>
              <w:t>Program</w:t>
            </w:r>
            <w:r w:rsidRPr="00006C31">
              <w:rPr>
                <w:b/>
                <w:sz w:val="16"/>
              </w:rPr>
              <w:t xml:space="preserve"> </w:t>
            </w:r>
            <w:r w:rsidR="003877EB">
              <w:rPr>
                <w:b/>
                <w:sz w:val="16"/>
              </w:rPr>
              <w:t>Activities and</w:t>
            </w:r>
            <w:r w:rsidR="003877EB" w:rsidRPr="00006C31">
              <w:rPr>
                <w:b/>
                <w:sz w:val="16"/>
              </w:rPr>
              <w:t xml:space="preserve"> </w:t>
            </w:r>
            <w:r>
              <w:rPr>
                <w:b/>
                <w:sz w:val="16"/>
              </w:rPr>
              <w:t>Eligible Costs</w:t>
            </w:r>
          </w:p>
        </w:tc>
        <w:tc>
          <w:tcPr>
            <w:tcW w:w="625" w:type="pct"/>
            <w:shd w:val="clear" w:color="auto" w:fill="DEEAF6" w:themeFill="accent1" w:themeFillTint="33"/>
            <w:hideMark/>
          </w:tcPr>
          <w:p w14:paraId="41D8289A" w14:textId="126223A7" w:rsidR="00B630E6" w:rsidRPr="00006C31" w:rsidRDefault="00B630E6" w:rsidP="00006C31">
            <w:pPr>
              <w:pStyle w:val="NoSpacing"/>
              <w:rPr>
                <w:b/>
                <w:sz w:val="16"/>
              </w:rPr>
            </w:pPr>
            <w:r w:rsidRPr="00006C31">
              <w:rPr>
                <w:b/>
                <w:sz w:val="16"/>
              </w:rPr>
              <w:t>A. TBRA</w:t>
            </w:r>
          </w:p>
        </w:tc>
        <w:tc>
          <w:tcPr>
            <w:tcW w:w="625" w:type="pct"/>
            <w:shd w:val="clear" w:color="auto" w:fill="DEEAF6" w:themeFill="accent1" w:themeFillTint="33"/>
          </w:tcPr>
          <w:p w14:paraId="1C9A62FB" w14:textId="59FE7830" w:rsidR="00B630E6" w:rsidRPr="00006C31" w:rsidRDefault="00B630E6" w:rsidP="00006C31">
            <w:pPr>
              <w:pStyle w:val="NoSpacing"/>
              <w:rPr>
                <w:b/>
                <w:sz w:val="16"/>
              </w:rPr>
            </w:pPr>
            <w:r w:rsidRPr="00006C31">
              <w:rPr>
                <w:b/>
                <w:sz w:val="16"/>
              </w:rPr>
              <w:t>B. STRMU</w:t>
            </w:r>
          </w:p>
        </w:tc>
        <w:tc>
          <w:tcPr>
            <w:tcW w:w="625" w:type="pct"/>
            <w:shd w:val="clear" w:color="auto" w:fill="DEEAF6" w:themeFill="accent1" w:themeFillTint="33"/>
          </w:tcPr>
          <w:p w14:paraId="65C4979E" w14:textId="12559DF6" w:rsidR="00B630E6" w:rsidRPr="00006C31" w:rsidRDefault="00B630E6" w:rsidP="00006C31">
            <w:pPr>
              <w:pStyle w:val="NoSpacing"/>
              <w:rPr>
                <w:b/>
                <w:sz w:val="16"/>
              </w:rPr>
            </w:pPr>
            <w:r>
              <w:rPr>
                <w:b/>
                <w:sz w:val="16"/>
              </w:rPr>
              <w:t>C. STSH</w:t>
            </w:r>
          </w:p>
        </w:tc>
        <w:tc>
          <w:tcPr>
            <w:tcW w:w="625" w:type="pct"/>
            <w:shd w:val="clear" w:color="auto" w:fill="DEEAF6" w:themeFill="accent1" w:themeFillTint="33"/>
          </w:tcPr>
          <w:p w14:paraId="2A2D2116" w14:textId="799995A5" w:rsidR="00B630E6" w:rsidRPr="00006C31" w:rsidRDefault="00B630E6" w:rsidP="00006C31">
            <w:pPr>
              <w:pStyle w:val="NoSpacing"/>
              <w:rPr>
                <w:b/>
                <w:sz w:val="16"/>
              </w:rPr>
            </w:pPr>
            <w:r>
              <w:rPr>
                <w:b/>
                <w:sz w:val="16"/>
              </w:rPr>
              <w:t>D. TSH</w:t>
            </w:r>
          </w:p>
        </w:tc>
        <w:tc>
          <w:tcPr>
            <w:tcW w:w="625" w:type="pct"/>
            <w:shd w:val="clear" w:color="auto" w:fill="DEEAF6" w:themeFill="accent1" w:themeFillTint="33"/>
          </w:tcPr>
          <w:p w14:paraId="69D3F226" w14:textId="140ECC63" w:rsidR="00B630E6" w:rsidRPr="00006C31" w:rsidRDefault="00B630E6" w:rsidP="00006C31">
            <w:pPr>
              <w:pStyle w:val="NoSpacing"/>
              <w:rPr>
                <w:b/>
                <w:sz w:val="16"/>
              </w:rPr>
            </w:pPr>
            <w:r>
              <w:rPr>
                <w:b/>
                <w:sz w:val="16"/>
              </w:rPr>
              <w:t>E</w:t>
            </w:r>
            <w:r w:rsidRPr="00006C31">
              <w:rPr>
                <w:b/>
                <w:sz w:val="16"/>
              </w:rPr>
              <w:t>. PHP</w:t>
            </w:r>
          </w:p>
        </w:tc>
        <w:tc>
          <w:tcPr>
            <w:tcW w:w="625" w:type="pct"/>
            <w:shd w:val="clear" w:color="auto" w:fill="DEEAF6" w:themeFill="accent1" w:themeFillTint="33"/>
            <w:hideMark/>
          </w:tcPr>
          <w:p w14:paraId="02FD9A23" w14:textId="71ECA1B3" w:rsidR="00B630E6" w:rsidRPr="00006C31" w:rsidRDefault="00B630E6">
            <w:pPr>
              <w:pStyle w:val="NoSpacing"/>
              <w:rPr>
                <w:b/>
                <w:sz w:val="16"/>
              </w:rPr>
            </w:pPr>
            <w:r>
              <w:rPr>
                <w:b/>
                <w:sz w:val="16"/>
              </w:rPr>
              <w:t xml:space="preserve">F. </w:t>
            </w:r>
            <w:r w:rsidR="00032EC0">
              <w:rPr>
                <w:b/>
                <w:sz w:val="16"/>
              </w:rPr>
              <w:t>HCM</w:t>
            </w:r>
          </w:p>
        </w:tc>
        <w:tc>
          <w:tcPr>
            <w:tcW w:w="625" w:type="pct"/>
            <w:shd w:val="clear" w:color="auto" w:fill="DEEAF6" w:themeFill="accent1" w:themeFillTint="33"/>
          </w:tcPr>
          <w:p w14:paraId="58D45E69" w14:textId="1E04321C" w:rsidR="00B630E6" w:rsidRDefault="00B630E6">
            <w:pPr>
              <w:pStyle w:val="NoSpacing"/>
              <w:rPr>
                <w:b/>
                <w:sz w:val="16"/>
              </w:rPr>
            </w:pPr>
            <w:r>
              <w:rPr>
                <w:b/>
                <w:sz w:val="16"/>
              </w:rPr>
              <w:t xml:space="preserve">G. </w:t>
            </w:r>
            <w:r w:rsidR="00032EC0">
              <w:rPr>
                <w:b/>
                <w:sz w:val="16"/>
              </w:rPr>
              <w:t>HIS</w:t>
            </w:r>
          </w:p>
        </w:tc>
      </w:tr>
      <w:tr w:rsidR="00B630E6" w:rsidRPr="00006C31" w14:paraId="4D3CFAC6" w14:textId="6636B730" w:rsidTr="004F1682">
        <w:trPr>
          <w:trHeight w:val="20"/>
        </w:trPr>
        <w:tc>
          <w:tcPr>
            <w:tcW w:w="625" w:type="pct"/>
            <w:shd w:val="clear" w:color="auto" w:fill="DEEAF6" w:themeFill="accent1" w:themeFillTint="33"/>
            <w:hideMark/>
          </w:tcPr>
          <w:p w14:paraId="15BF2D2F" w14:textId="77777777" w:rsidR="00B630E6" w:rsidRPr="00006C31" w:rsidRDefault="00B630E6" w:rsidP="0013199B">
            <w:pPr>
              <w:pStyle w:val="NoSpacing"/>
              <w:rPr>
                <w:b/>
                <w:sz w:val="16"/>
              </w:rPr>
            </w:pPr>
            <w:r w:rsidRPr="00006C31">
              <w:rPr>
                <w:b/>
                <w:sz w:val="16"/>
              </w:rPr>
              <w:t>1. Rent payments (for households with a lease)</w:t>
            </w:r>
          </w:p>
        </w:tc>
        <w:tc>
          <w:tcPr>
            <w:tcW w:w="625" w:type="pct"/>
            <w:shd w:val="clear" w:color="auto" w:fill="C6EFCE"/>
            <w:hideMark/>
          </w:tcPr>
          <w:p w14:paraId="62351992" w14:textId="3B96BC1C" w:rsidR="00B630E6" w:rsidRPr="00161AE8" w:rsidRDefault="00B630E6" w:rsidP="0013199B">
            <w:pPr>
              <w:pStyle w:val="NoSpacing"/>
              <w:rPr>
                <w:color w:val="385623" w:themeColor="accent6" w:themeShade="80"/>
                <w:sz w:val="16"/>
              </w:rPr>
            </w:pPr>
            <w:r w:rsidRPr="00161AE8">
              <w:rPr>
                <w:color w:val="385623" w:themeColor="accent6" w:themeShade="80"/>
                <w:sz w:val="16"/>
              </w:rPr>
              <w:t xml:space="preserve">Yes, if </w:t>
            </w:r>
            <w:r>
              <w:rPr>
                <w:color w:val="385623" w:themeColor="accent6" w:themeShade="80"/>
                <w:sz w:val="16"/>
              </w:rPr>
              <w:t xml:space="preserve">the unit meets </w:t>
            </w:r>
            <w:r w:rsidRPr="00161AE8">
              <w:rPr>
                <w:color w:val="385623" w:themeColor="accent6" w:themeShade="80"/>
                <w:sz w:val="16"/>
              </w:rPr>
              <w:t>rent standard</w:t>
            </w:r>
            <w:r w:rsidR="00F63901">
              <w:rPr>
                <w:color w:val="385623" w:themeColor="accent6" w:themeShade="80"/>
                <w:sz w:val="16"/>
              </w:rPr>
              <w:t xml:space="preserve"> and </w:t>
            </w:r>
            <w:r w:rsidR="00912919">
              <w:rPr>
                <w:color w:val="385623" w:themeColor="accent6" w:themeShade="80"/>
                <w:sz w:val="16"/>
              </w:rPr>
              <w:t>rent</w:t>
            </w:r>
            <w:r w:rsidR="003877EB">
              <w:rPr>
                <w:color w:val="385623" w:themeColor="accent6" w:themeShade="80"/>
                <w:sz w:val="16"/>
              </w:rPr>
              <w:t xml:space="preserve"> </w:t>
            </w:r>
            <w:r w:rsidRPr="00161AE8">
              <w:rPr>
                <w:color w:val="385623" w:themeColor="accent6" w:themeShade="80"/>
                <w:sz w:val="16"/>
              </w:rPr>
              <w:t>reasonable</w:t>
            </w:r>
            <w:r>
              <w:rPr>
                <w:color w:val="385623" w:themeColor="accent6" w:themeShade="80"/>
                <w:sz w:val="16"/>
              </w:rPr>
              <w:t xml:space="preserve">ness. The amount of assistance </w:t>
            </w:r>
            <w:r w:rsidR="00E81723">
              <w:rPr>
                <w:color w:val="385623" w:themeColor="accent6" w:themeShade="80"/>
                <w:sz w:val="16"/>
              </w:rPr>
              <w:t>depends</w:t>
            </w:r>
            <w:r w:rsidRPr="00161AE8">
              <w:rPr>
                <w:color w:val="385623" w:themeColor="accent6" w:themeShade="80"/>
                <w:sz w:val="16"/>
              </w:rPr>
              <w:t xml:space="preserve"> on household income. </w:t>
            </w:r>
            <w:r w:rsidR="00F63901">
              <w:rPr>
                <w:color w:val="385623" w:themeColor="accent6" w:themeShade="80"/>
                <w:sz w:val="16"/>
              </w:rPr>
              <w:t>Provides</w:t>
            </w:r>
            <w:r>
              <w:rPr>
                <w:color w:val="385623" w:themeColor="accent6" w:themeShade="80"/>
                <w:sz w:val="16"/>
              </w:rPr>
              <w:t xml:space="preserve"> tenant-based </w:t>
            </w:r>
            <w:r w:rsidR="00F63901">
              <w:rPr>
                <w:color w:val="385623" w:themeColor="accent6" w:themeShade="80"/>
                <w:sz w:val="16"/>
              </w:rPr>
              <w:t>assistance. Has no</w:t>
            </w:r>
            <w:r>
              <w:rPr>
                <w:color w:val="385623" w:themeColor="accent6" w:themeShade="80"/>
                <w:sz w:val="16"/>
              </w:rPr>
              <w:t xml:space="preserve"> cap.</w:t>
            </w:r>
          </w:p>
        </w:tc>
        <w:tc>
          <w:tcPr>
            <w:tcW w:w="625" w:type="pct"/>
            <w:shd w:val="clear" w:color="auto" w:fill="C6EFCE"/>
          </w:tcPr>
          <w:p w14:paraId="2A22EA68" w14:textId="1772E442" w:rsidR="00B630E6" w:rsidRPr="00161AE8" w:rsidRDefault="00B630E6" w:rsidP="0013199B">
            <w:pPr>
              <w:pStyle w:val="NoSpacing"/>
              <w:rPr>
                <w:color w:val="385623" w:themeColor="accent6" w:themeShade="80"/>
                <w:sz w:val="16"/>
              </w:rPr>
            </w:pPr>
            <w:r w:rsidRPr="00161AE8">
              <w:rPr>
                <w:color w:val="385623" w:themeColor="accent6" w:themeShade="80"/>
                <w:sz w:val="16"/>
              </w:rPr>
              <w:t>Yes, if within 21</w:t>
            </w:r>
            <w:r>
              <w:rPr>
                <w:color w:val="385623" w:themeColor="accent6" w:themeShade="80"/>
                <w:sz w:val="16"/>
              </w:rPr>
              <w:t>-</w:t>
            </w:r>
            <w:r w:rsidRPr="00161AE8">
              <w:rPr>
                <w:color w:val="385623" w:themeColor="accent6" w:themeShade="80"/>
                <w:sz w:val="16"/>
              </w:rPr>
              <w:t>week limit</w:t>
            </w:r>
            <w:r>
              <w:rPr>
                <w:color w:val="385623" w:themeColor="accent6" w:themeShade="80"/>
                <w:sz w:val="16"/>
              </w:rPr>
              <w:t xml:space="preserve">. The amount of assistance </w:t>
            </w:r>
            <w:r w:rsidR="00E81723">
              <w:rPr>
                <w:color w:val="385623" w:themeColor="accent6" w:themeShade="80"/>
                <w:sz w:val="16"/>
              </w:rPr>
              <w:t>depends</w:t>
            </w:r>
            <w:r w:rsidR="003877EB">
              <w:rPr>
                <w:color w:val="385623" w:themeColor="accent6" w:themeShade="80"/>
                <w:sz w:val="16"/>
              </w:rPr>
              <w:t xml:space="preserve"> on household</w:t>
            </w:r>
            <w:r>
              <w:rPr>
                <w:color w:val="385623" w:themeColor="accent6" w:themeShade="80"/>
                <w:sz w:val="16"/>
              </w:rPr>
              <w:t xml:space="preserve"> need and</w:t>
            </w:r>
            <w:r w:rsidR="00F63901">
              <w:rPr>
                <w:color w:val="385623" w:themeColor="accent6" w:themeShade="80"/>
                <w:sz w:val="16"/>
              </w:rPr>
              <w:t xml:space="preserve"> </w:t>
            </w:r>
            <w:r w:rsidR="00310DF3">
              <w:rPr>
                <w:color w:val="385623" w:themeColor="accent6" w:themeShade="80"/>
                <w:sz w:val="16"/>
              </w:rPr>
              <w:t>negotiation</w:t>
            </w:r>
            <w:r w:rsidR="003877EB">
              <w:rPr>
                <w:color w:val="385623" w:themeColor="accent6" w:themeShade="80"/>
                <w:sz w:val="16"/>
              </w:rPr>
              <w:t>.</w:t>
            </w:r>
          </w:p>
        </w:tc>
        <w:tc>
          <w:tcPr>
            <w:tcW w:w="625" w:type="pct"/>
            <w:shd w:val="clear" w:color="auto" w:fill="FFC7CE"/>
          </w:tcPr>
          <w:p w14:paraId="1A81EA12" w14:textId="06FDBF10" w:rsidR="00B630E6" w:rsidRPr="00161AE8" w:rsidRDefault="00B630E6" w:rsidP="0013199B">
            <w:pPr>
              <w:pStyle w:val="NoSpacing"/>
              <w:rPr>
                <w:color w:val="C00000"/>
                <w:sz w:val="16"/>
              </w:rPr>
            </w:pPr>
            <w:r>
              <w:rPr>
                <w:color w:val="C00000"/>
                <w:sz w:val="16"/>
              </w:rPr>
              <w:t>No</w:t>
            </w:r>
          </w:p>
        </w:tc>
        <w:tc>
          <w:tcPr>
            <w:tcW w:w="625" w:type="pct"/>
            <w:shd w:val="clear" w:color="auto" w:fill="C6EFCE"/>
          </w:tcPr>
          <w:p w14:paraId="5F6BC40E" w14:textId="34A18E42" w:rsidR="00B630E6" w:rsidRPr="00161AE8" w:rsidRDefault="00B630E6" w:rsidP="0013199B">
            <w:pPr>
              <w:pStyle w:val="NoSpacing"/>
              <w:rPr>
                <w:color w:val="C00000"/>
                <w:sz w:val="16"/>
              </w:rPr>
            </w:pPr>
            <w:r w:rsidRPr="00161AE8">
              <w:rPr>
                <w:color w:val="385623" w:themeColor="accent6" w:themeShade="80"/>
                <w:sz w:val="16"/>
              </w:rPr>
              <w:t xml:space="preserve">Yes, </w:t>
            </w:r>
            <w:r w:rsidR="00912919" w:rsidRPr="00161AE8">
              <w:rPr>
                <w:color w:val="385623" w:themeColor="accent6" w:themeShade="80"/>
                <w:sz w:val="16"/>
              </w:rPr>
              <w:t xml:space="preserve">if </w:t>
            </w:r>
            <w:r w:rsidR="00912919">
              <w:rPr>
                <w:color w:val="385623" w:themeColor="accent6" w:themeShade="80"/>
                <w:sz w:val="16"/>
              </w:rPr>
              <w:t xml:space="preserve">the unit meets </w:t>
            </w:r>
            <w:r w:rsidR="00912919" w:rsidRPr="00161AE8">
              <w:rPr>
                <w:color w:val="385623" w:themeColor="accent6" w:themeShade="80"/>
                <w:sz w:val="16"/>
              </w:rPr>
              <w:t>rent standard</w:t>
            </w:r>
            <w:r w:rsidR="00F63901">
              <w:rPr>
                <w:color w:val="385623" w:themeColor="accent6" w:themeShade="80"/>
                <w:sz w:val="16"/>
              </w:rPr>
              <w:t xml:space="preserve"> and </w:t>
            </w:r>
            <w:r w:rsidR="00912919">
              <w:rPr>
                <w:color w:val="385623" w:themeColor="accent6" w:themeShade="80"/>
                <w:sz w:val="16"/>
              </w:rPr>
              <w:t xml:space="preserve">rent </w:t>
            </w:r>
            <w:r w:rsidR="00912919" w:rsidRPr="00161AE8">
              <w:rPr>
                <w:color w:val="385623" w:themeColor="accent6" w:themeShade="80"/>
                <w:sz w:val="16"/>
              </w:rPr>
              <w:t>reasonable</w:t>
            </w:r>
            <w:r w:rsidR="00912919">
              <w:rPr>
                <w:color w:val="385623" w:themeColor="accent6" w:themeShade="80"/>
                <w:sz w:val="16"/>
              </w:rPr>
              <w:t>ness</w:t>
            </w:r>
            <w:r>
              <w:rPr>
                <w:color w:val="385623" w:themeColor="accent6" w:themeShade="80"/>
                <w:sz w:val="16"/>
              </w:rPr>
              <w:t xml:space="preserve">. The amount of assistance </w:t>
            </w:r>
            <w:r w:rsidR="00310DF3">
              <w:rPr>
                <w:color w:val="385623" w:themeColor="accent6" w:themeShade="80"/>
                <w:sz w:val="16"/>
              </w:rPr>
              <w:t>depends</w:t>
            </w:r>
            <w:r w:rsidRPr="00161AE8">
              <w:rPr>
                <w:color w:val="385623" w:themeColor="accent6" w:themeShade="80"/>
                <w:sz w:val="16"/>
              </w:rPr>
              <w:t xml:space="preserve"> on household income. </w:t>
            </w:r>
            <w:r w:rsidR="00F63901">
              <w:rPr>
                <w:color w:val="385623" w:themeColor="accent6" w:themeShade="80"/>
                <w:sz w:val="16"/>
              </w:rPr>
              <w:t>Provides</w:t>
            </w:r>
            <w:r>
              <w:rPr>
                <w:color w:val="385623" w:themeColor="accent6" w:themeShade="80"/>
                <w:sz w:val="16"/>
              </w:rPr>
              <w:t xml:space="preserve"> facility-based </w:t>
            </w:r>
            <w:r w:rsidR="00F63901">
              <w:rPr>
                <w:color w:val="385623" w:themeColor="accent6" w:themeShade="80"/>
                <w:sz w:val="16"/>
              </w:rPr>
              <w:t>assistance. Capped at 24 cumulative months</w:t>
            </w:r>
          </w:p>
        </w:tc>
        <w:tc>
          <w:tcPr>
            <w:tcW w:w="625" w:type="pct"/>
            <w:shd w:val="clear" w:color="auto" w:fill="FFC7CE"/>
          </w:tcPr>
          <w:p w14:paraId="18874EA2" w14:textId="205B08C2" w:rsidR="00B630E6" w:rsidRPr="00161AE8" w:rsidRDefault="00B630E6" w:rsidP="0013199B">
            <w:pPr>
              <w:pStyle w:val="NoSpacing"/>
              <w:rPr>
                <w:color w:val="C00000"/>
                <w:sz w:val="16"/>
              </w:rPr>
            </w:pPr>
            <w:r w:rsidRPr="00161AE8">
              <w:rPr>
                <w:color w:val="C00000"/>
                <w:sz w:val="16"/>
              </w:rPr>
              <w:t>No</w:t>
            </w:r>
          </w:p>
        </w:tc>
        <w:tc>
          <w:tcPr>
            <w:tcW w:w="625" w:type="pct"/>
            <w:shd w:val="clear" w:color="auto" w:fill="FFC7CE"/>
            <w:hideMark/>
          </w:tcPr>
          <w:p w14:paraId="19E04ED5" w14:textId="77777777" w:rsidR="00B630E6" w:rsidRPr="00161AE8" w:rsidRDefault="00B630E6" w:rsidP="0013199B">
            <w:pPr>
              <w:pStyle w:val="NoSpacing"/>
              <w:rPr>
                <w:color w:val="C00000"/>
                <w:sz w:val="16"/>
              </w:rPr>
            </w:pPr>
            <w:r w:rsidRPr="00161AE8">
              <w:rPr>
                <w:color w:val="C00000"/>
                <w:sz w:val="16"/>
              </w:rPr>
              <w:t>No</w:t>
            </w:r>
          </w:p>
        </w:tc>
        <w:tc>
          <w:tcPr>
            <w:tcW w:w="625" w:type="pct"/>
            <w:shd w:val="clear" w:color="auto" w:fill="FFC7CE"/>
          </w:tcPr>
          <w:p w14:paraId="5C1E8C7F" w14:textId="6F15052E" w:rsidR="00B630E6" w:rsidRPr="00161AE8" w:rsidRDefault="0029071F" w:rsidP="0013199B">
            <w:pPr>
              <w:pStyle w:val="NoSpacing"/>
              <w:rPr>
                <w:color w:val="C00000"/>
                <w:sz w:val="16"/>
              </w:rPr>
            </w:pPr>
            <w:r>
              <w:rPr>
                <w:color w:val="C00000"/>
                <w:sz w:val="16"/>
              </w:rPr>
              <w:t>No</w:t>
            </w:r>
          </w:p>
        </w:tc>
      </w:tr>
      <w:tr w:rsidR="00B630E6" w:rsidRPr="00006C31" w14:paraId="612D97B9" w14:textId="1B00B8BC" w:rsidTr="004F1682">
        <w:trPr>
          <w:trHeight w:val="20"/>
        </w:trPr>
        <w:tc>
          <w:tcPr>
            <w:tcW w:w="625" w:type="pct"/>
            <w:shd w:val="clear" w:color="auto" w:fill="DEEAF6" w:themeFill="accent1" w:themeFillTint="33"/>
            <w:hideMark/>
          </w:tcPr>
          <w:p w14:paraId="376D5D04" w14:textId="77777777" w:rsidR="00B630E6" w:rsidRPr="00006C31" w:rsidRDefault="00B630E6" w:rsidP="0013199B">
            <w:pPr>
              <w:pStyle w:val="NoSpacing"/>
              <w:rPr>
                <w:b/>
                <w:sz w:val="16"/>
              </w:rPr>
            </w:pPr>
            <w:r w:rsidRPr="00006C31">
              <w:rPr>
                <w:b/>
                <w:sz w:val="16"/>
              </w:rPr>
              <w:t>2. Mortgage payments (but not down-payment support for new units)</w:t>
            </w:r>
          </w:p>
        </w:tc>
        <w:tc>
          <w:tcPr>
            <w:tcW w:w="625" w:type="pct"/>
            <w:shd w:val="clear" w:color="auto" w:fill="FFC7CE"/>
            <w:hideMark/>
          </w:tcPr>
          <w:p w14:paraId="7996292F" w14:textId="77777777" w:rsidR="00B630E6" w:rsidRPr="00006C31" w:rsidRDefault="00B630E6" w:rsidP="0013199B">
            <w:pPr>
              <w:pStyle w:val="NoSpacing"/>
              <w:rPr>
                <w:sz w:val="16"/>
              </w:rPr>
            </w:pPr>
            <w:r w:rsidRPr="00161AE8">
              <w:rPr>
                <w:color w:val="C00000"/>
                <w:sz w:val="16"/>
              </w:rPr>
              <w:t>No</w:t>
            </w:r>
          </w:p>
        </w:tc>
        <w:tc>
          <w:tcPr>
            <w:tcW w:w="625" w:type="pct"/>
            <w:shd w:val="clear" w:color="auto" w:fill="C6EFCE"/>
          </w:tcPr>
          <w:p w14:paraId="10B6DBE6" w14:textId="5CDACE38" w:rsidR="00B630E6" w:rsidRPr="00161AE8" w:rsidRDefault="00B630E6" w:rsidP="0013199B">
            <w:pPr>
              <w:pStyle w:val="NoSpacing"/>
              <w:rPr>
                <w:color w:val="385623" w:themeColor="accent6" w:themeShade="80"/>
                <w:sz w:val="16"/>
              </w:rPr>
            </w:pPr>
            <w:r w:rsidRPr="00161AE8">
              <w:rPr>
                <w:color w:val="385623" w:themeColor="accent6" w:themeShade="80"/>
                <w:sz w:val="16"/>
              </w:rPr>
              <w:t>Yes, if within 21</w:t>
            </w:r>
            <w:r>
              <w:rPr>
                <w:color w:val="385623" w:themeColor="accent6" w:themeShade="80"/>
                <w:sz w:val="16"/>
              </w:rPr>
              <w:t>-</w:t>
            </w:r>
            <w:r w:rsidRPr="00161AE8">
              <w:rPr>
                <w:color w:val="385623" w:themeColor="accent6" w:themeShade="80"/>
                <w:sz w:val="16"/>
              </w:rPr>
              <w:t>week limit (for costs within the mortgage agreement)</w:t>
            </w:r>
            <w:r>
              <w:rPr>
                <w:color w:val="385623" w:themeColor="accent6" w:themeShade="80"/>
                <w:sz w:val="16"/>
              </w:rPr>
              <w:t xml:space="preserve">. </w:t>
            </w:r>
            <w:r w:rsidR="003877EB">
              <w:rPr>
                <w:color w:val="385623" w:themeColor="accent6" w:themeShade="80"/>
                <w:sz w:val="16"/>
              </w:rPr>
              <w:t xml:space="preserve">The amount of assistance </w:t>
            </w:r>
            <w:r w:rsidR="00310DF3">
              <w:rPr>
                <w:color w:val="385623" w:themeColor="accent6" w:themeShade="80"/>
                <w:sz w:val="16"/>
              </w:rPr>
              <w:t>depends</w:t>
            </w:r>
            <w:r w:rsidR="003877EB">
              <w:rPr>
                <w:color w:val="385623" w:themeColor="accent6" w:themeShade="80"/>
                <w:sz w:val="16"/>
              </w:rPr>
              <w:t xml:space="preserve"> on household need </w:t>
            </w:r>
            <w:r w:rsidR="00310DF3">
              <w:rPr>
                <w:color w:val="385623" w:themeColor="accent6" w:themeShade="80"/>
                <w:sz w:val="16"/>
              </w:rPr>
              <w:t xml:space="preserve">and </w:t>
            </w:r>
            <w:r w:rsidR="003877EB">
              <w:rPr>
                <w:color w:val="385623" w:themeColor="accent6" w:themeShade="80"/>
                <w:sz w:val="16"/>
              </w:rPr>
              <w:t>negotiation.</w:t>
            </w:r>
          </w:p>
        </w:tc>
        <w:tc>
          <w:tcPr>
            <w:tcW w:w="625" w:type="pct"/>
            <w:shd w:val="clear" w:color="auto" w:fill="FFC7CE"/>
          </w:tcPr>
          <w:p w14:paraId="0C1E4A01" w14:textId="16BB1B67" w:rsidR="00B630E6" w:rsidRPr="00161AE8" w:rsidRDefault="00B630E6" w:rsidP="0013199B">
            <w:pPr>
              <w:pStyle w:val="NoSpacing"/>
              <w:rPr>
                <w:color w:val="C00000"/>
                <w:sz w:val="16"/>
              </w:rPr>
            </w:pPr>
            <w:r>
              <w:rPr>
                <w:color w:val="C00000"/>
                <w:sz w:val="16"/>
              </w:rPr>
              <w:t>No</w:t>
            </w:r>
          </w:p>
        </w:tc>
        <w:tc>
          <w:tcPr>
            <w:tcW w:w="625" w:type="pct"/>
            <w:shd w:val="clear" w:color="auto" w:fill="FFC7CE"/>
          </w:tcPr>
          <w:p w14:paraId="60FD4B32" w14:textId="134432A7" w:rsidR="00B630E6" w:rsidRPr="00161AE8" w:rsidRDefault="00B630E6" w:rsidP="0013199B">
            <w:pPr>
              <w:pStyle w:val="NoSpacing"/>
              <w:rPr>
                <w:color w:val="C00000"/>
                <w:sz w:val="16"/>
              </w:rPr>
            </w:pPr>
            <w:r w:rsidRPr="00161AE8">
              <w:rPr>
                <w:color w:val="C00000"/>
                <w:sz w:val="16"/>
              </w:rPr>
              <w:t>No</w:t>
            </w:r>
          </w:p>
        </w:tc>
        <w:tc>
          <w:tcPr>
            <w:tcW w:w="625" w:type="pct"/>
            <w:shd w:val="clear" w:color="auto" w:fill="FFC7CE"/>
          </w:tcPr>
          <w:p w14:paraId="521EC8B7" w14:textId="444D3529" w:rsidR="00B630E6" w:rsidRPr="00161AE8" w:rsidRDefault="00B630E6" w:rsidP="0013199B">
            <w:pPr>
              <w:pStyle w:val="NoSpacing"/>
              <w:rPr>
                <w:color w:val="C00000"/>
                <w:sz w:val="16"/>
              </w:rPr>
            </w:pPr>
            <w:r w:rsidRPr="00161AE8">
              <w:rPr>
                <w:color w:val="C00000"/>
                <w:sz w:val="16"/>
              </w:rPr>
              <w:t>No</w:t>
            </w:r>
          </w:p>
        </w:tc>
        <w:tc>
          <w:tcPr>
            <w:tcW w:w="625" w:type="pct"/>
            <w:shd w:val="clear" w:color="auto" w:fill="FFC7CE"/>
            <w:hideMark/>
          </w:tcPr>
          <w:p w14:paraId="0206FD3C" w14:textId="77777777" w:rsidR="00B630E6" w:rsidRPr="00161AE8" w:rsidRDefault="00B630E6" w:rsidP="0013199B">
            <w:pPr>
              <w:pStyle w:val="NoSpacing"/>
              <w:rPr>
                <w:color w:val="C00000"/>
                <w:sz w:val="16"/>
              </w:rPr>
            </w:pPr>
            <w:r w:rsidRPr="00161AE8">
              <w:rPr>
                <w:color w:val="C00000"/>
                <w:sz w:val="16"/>
              </w:rPr>
              <w:t>No</w:t>
            </w:r>
          </w:p>
        </w:tc>
        <w:tc>
          <w:tcPr>
            <w:tcW w:w="625" w:type="pct"/>
            <w:shd w:val="clear" w:color="auto" w:fill="FFEB9C"/>
          </w:tcPr>
          <w:p w14:paraId="05BBBA8D" w14:textId="77B9D1C5" w:rsidR="00B630E6" w:rsidRPr="004F1682" w:rsidRDefault="00E135EB" w:rsidP="0013199B">
            <w:pPr>
              <w:pStyle w:val="NoSpacing"/>
              <w:rPr>
                <w:color w:val="806000" w:themeColor="accent4" w:themeShade="80"/>
                <w:sz w:val="16"/>
              </w:rPr>
            </w:pPr>
            <w:r w:rsidRPr="004F1682">
              <w:rPr>
                <w:color w:val="806000" w:themeColor="accent4" w:themeShade="80"/>
                <w:sz w:val="16"/>
              </w:rPr>
              <w:t>No, but can provide information on available homeownership programs.</w:t>
            </w:r>
          </w:p>
        </w:tc>
      </w:tr>
      <w:tr w:rsidR="00F6186B" w:rsidRPr="00006C31" w14:paraId="3F1EBA1D" w14:textId="0DF053D2" w:rsidTr="004F1682">
        <w:trPr>
          <w:trHeight w:val="20"/>
        </w:trPr>
        <w:tc>
          <w:tcPr>
            <w:tcW w:w="625" w:type="pct"/>
            <w:shd w:val="clear" w:color="auto" w:fill="DEEAF6" w:themeFill="accent1" w:themeFillTint="33"/>
            <w:hideMark/>
          </w:tcPr>
          <w:p w14:paraId="2D228581" w14:textId="0F022713" w:rsidR="00F6186B" w:rsidRPr="00006C31" w:rsidRDefault="00F6186B" w:rsidP="00F6186B">
            <w:pPr>
              <w:pStyle w:val="NoSpacing"/>
              <w:rPr>
                <w:b/>
                <w:sz w:val="16"/>
              </w:rPr>
            </w:pPr>
            <w:r w:rsidRPr="00006C31">
              <w:rPr>
                <w:b/>
                <w:sz w:val="16"/>
              </w:rPr>
              <w:t>3. First</w:t>
            </w:r>
            <w:r>
              <w:rPr>
                <w:b/>
                <w:sz w:val="16"/>
              </w:rPr>
              <w:t>/last</w:t>
            </w:r>
            <w:r w:rsidRPr="00006C31">
              <w:rPr>
                <w:b/>
                <w:sz w:val="16"/>
              </w:rPr>
              <w:t xml:space="preserve"> month’s rent</w:t>
            </w:r>
            <w:r>
              <w:rPr>
                <w:b/>
                <w:sz w:val="16"/>
              </w:rPr>
              <w:t xml:space="preserve">; </w:t>
            </w:r>
            <w:r w:rsidRPr="00006C31">
              <w:rPr>
                <w:b/>
                <w:sz w:val="16"/>
              </w:rPr>
              <w:t>credit checks</w:t>
            </w:r>
            <w:r>
              <w:rPr>
                <w:b/>
                <w:sz w:val="16"/>
              </w:rPr>
              <w:t>; utility deposits, hookup fees, and processing costs; security deposits</w:t>
            </w:r>
          </w:p>
        </w:tc>
        <w:tc>
          <w:tcPr>
            <w:tcW w:w="625" w:type="pct"/>
            <w:shd w:val="clear" w:color="auto" w:fill="C6EFCE"/>
            <w:hideMark/>
          </w:tcPr>
          <w:p w14:paraId="2068628F" w14:textId="080D3B11" w:rsidR="00F6186B" w:rsidRPr="00ED208F" w:rsidRDefault="00F6186B" w:rsidP="00F6186B">
            <w:pPr>
              <w:pStyle w:val="NoSpacing"/>
              <w:rPr>
                <w:color w:val="385623" w:themeColor="accent6" w:themeShade="80"/>
                <w:sz w:val="16"/>
              </w:rPr>
            </w:pPr>
            <w:r w:rsidRPr="004F1682">
              <w:rPr>
                <w:color w:val="385623" w:themeColor="accent6" w:themeShade="80"/>
                <w:sz w:val="16"/>
              </w:rPr>
              <w:t>Yes, first and/or last month’s rent, but not utility deposits, hookup fees, and processing costs; or security deposits.</w:t>
            </w:r>
          </w:p>
        </w:tc>
        <w:tc>
          <w:tcPr>
            <w:tcW w:w="625" w:type="pct"/>
            <w:shd w:val="clear" w:color="auto" w:fill="FFC7CE"/>
          </w:tcPr>
          <w:p w14:paraId="5F99C05E" w14:textId="77777777" w:rsidR="00F6186B" w:rsidRPr="00006C31" w:rsidRDefault="00F6186B" w:rsidP="00F6186B">
            <w:pPr>
              <w:pStyle w:val="NoSpacing"/>
              <w:rPr>
                <w:sz w:val="16"/>
              </w:rPr>
            </w:pPr>
            <w:r w:rsidRPr="00161AE8">
              <w:rPr>
                <w:color w:val="C00000"/>
                <w:sz w:val="16"/>
              </w:rPr>
              <w:t xml:space="preserve">No </w:t>
            </w:r>
          </w:p>
        </w:tc>
        <w:tc>
          <w:tcPr>
            <w:tcW w:w="625" w:type="pct"/>
            <w:shd w:val="clear" w:color="auto" w:fill="FFC7CE"/>
          </w:tcPr>
          <w:p w14:paraId="6C7B0428" w14:textId="623ECB06" w:rsidR="00F6186B" w:rsidRPr="00161AE8" w:rsidRDefault="00F6186B" w:rsidP="00F6186B">
            <w:pPr>
              <w:pStyle w:val="NoSpacing"/>
              <w:rPr>
                <w:color w:val="385623" w:themeColor="accent6" w:themeShade="80"/>
                <w:sz w:val="16"/>
              </w:rPr>
            </w:pPr>
            <w:r>
              <w:rPr>
                <w:color w:val="C00000"/>
                <w:sz w:val="16"/>
              </w:rPr>
              <w:t>No</w:t>
            </w:r>
          </w:p>
        </w:tc>
        <w:tc>
          <w:tcPr>
            <w:tcW w:w="625" w:type="pct"/>
            <w:shd w:val="clear" w:color="auto" w:fill="C6EFCE"/>
          </w:tcPr>
          <w:p w14:paraId="1612ACC2" w14:textId="3CDB6101" w:rsidR="00F6186B" w:rsidRPr="00161AE8" w:rsidRDefault="00F6186B" w:rsidP="00F6186B">
            <w:pPr>
              <w:pStyle w:val="NoSpacing"/>
              <w:rPr>
                <w:color w:val="385623" w:themeColor="accent6" w:themeShade="80"/>
                <w:sz w:val="16"/>
              </w:rPr>
            </w:pPr>
            <w:r w:rsidRPr="002519FA">
              <w:rPr>
                <w:color w:val="385623" w:themeColor="accent6" w:themeShade="80"/>
                <w:sz w:val="16"/>
              </w:rPr>
              <w:t xml:space="preserve">Yes, first and/or last month’s rent, but not </w:t>
            </w:r>
            <w:r w:rsidR="00F63901" w:rsidRPr="002519FA">
              <w:rPr>
                <w:color w:val="385623" w:themeColor="accent6" w:themeShade="80"/>
                <w:sz w:val="16"/>
              </w:rPr>
              <w:t xml:space="preserve">security deposits </w:t>
            </w:r>
            <w:r w:rsidR="00F63901">
              <w:rPr>
                <w:color w:val="385623" w:themeColor="accent6" w:themeShade="80"/>
                <w:sz w:val="16"/>
              </w:rPr>
              <w:t xml:space="preserve">or </w:t>
            </w:r>
            <w:r w:rsidRPr="002519FA">
              <w:rPr>
                <w:color w:val="385623" w:themeColor="accent6" w:themeShade="80"/>
                <w:sz w:val="16"/>
              </w:rPr>
              <w:t xml:space="preserve">utility deposits, hookup fees, </w:t>
            </w:r>
            <w:r w:rsidR="00F63901">
              <w:rPr>
                <w:color w:val="385623" w:themeColor="accent6" w:themeShade="80"/>
                <w:sz w:val="16"/>
              </w:rPr>
              <w:t>and/or</w:t>
            </w:r>
            <w:r w:rsidR="00F63901" w:rsidRPr="002519FA">
              <w:rPr>
                <w:color w:val="385623" w:themeColor="accent6" w:themeShade="80"/>
                <w:sz w:val="16"/>
              </w:rPr>
              <w:t xml:space="preserve"> </w:t>
            </w:r>
            <w:r w:rsidRPr="002519FA">
              <w:rPr>
                <w:color w:val="385623" w:themeColor="accent6" w:themeShade="80"/>
                <w:sz w:val="16"/>
              </w:rPr>
              <w:t>processing costs.</w:t>
            </w:r>
          </w:p>
        </w:tc>
        <w:tc>
          <w:tcPr>
            <w:tcW w:w="625" w:type="pct"/>
            <w:shd w:val="clear" w:color="auto" w:fill="C6EFCE"/>
          </w:tcPr>
          <w:p w14:paraId="2875CDBC" w14:textId="472544FF" w:rsidR="00F6186B" w:rsidRPr="00161AE8" w:rsidRDefault="00F6186B" w:rsidP="00F6186B">
            <w:pPr>
              <w:pStyle w:val="NoSpacing"/>
              <w:rPr>
                <w:color w:val="385623" w:themeColor="accent6" w:themeShade="80"/>
                <w:sz w:val="16"/>
              </w:rPr>
            </w:pPr>
            <w:r w:rsidRPr="00161AE8">
              <w:rPr>
                <w:color w:val="385623" w:themeColor="accent6" w:themeShade="80"/>
                <w:sz w:val="16"/>
              </w:rPr>
              <w:t>Yes</w:t>
            </w:r>
            <w:r>
              <w:rPr>
                <w:color w:val="385623" w:themeColor="accent6" w:themeShade="80"/>
                <w:sz w:val="16"/>
              </w:rPr>
              <w:t>. Total rent payment (security deposit + first and/or last month’s rent</w:t>
            </w:r>
            <w:r w:rsidR="00CC481D">
              <w:rPr>
                <w:color w:val="385623" w:themeColor="accent6" w:themeShade="80"/>
                <w:sz w:val="16"/>
              </w:rPr>
              <w:t xml:space="preserve"> + rental arrears</w:t>
            </w:r>
            <w:r>
              <w:rPr>
                <w:color w:val="385623" w:themeColor="accent6" w:themeShade="80"/>
                <w:sz w:val="16"/>
              </w:rPr>
              <w:t xml:space="preserve">) </w:t>
            </w:r>
            <w:r w:rsidR="00310DF3">
              <w:rPr>
                <w:color w:val="385623" w:themeColor="accent6" w:themeShade="80"/>
                <w:sz w:val="16"/>
              </w:rPr>
              <w:t>cannot exceed the value of</w:t>
            </w:r>
            <w:r>
              <w:rPr>
                <w:color w:val="385623" w:themeColor="accent6" w:themeShade="80"/>
                <w:sz w:val="16"/>
              </w:rPr>
              <w:t xml:space="preserve"> two month’s rent.</w:t>
            </w:r>
          </w:p>
        </w:tc>
        <w:tc>
          <w:tcPr>
            <w:tcW w:w="625" w:type="pct"/>
            <w:shd w:val="clear" w:color="auto" w:fill="FFC7CE"/>
            <w:hideMark/>
          </w:tcPr>
          <w:p w14:paraId="4A627B3D" w14:textId="77777777" w:rsidR="00F6186B" w:rsidRPr="00161AE8" w:rsidRDefault="00F6186B" w:rsidP="00F6186B">
            <w:pPr>
              <w:pStyle w:val="NoSpacing"/>
              <w:rPr>
                <w:color w:val="C00000"/>
                <w:sz w:val="16"/>
              </w:rPr>
            </w:pPr>
            <w:r w:rsidRPr="00161AE8">
              <w:rPr>
                <w:color w:val="C00000"/>
                <w:sz w:val="16"/>
              </w:rPr>
              <w:t>No</w:t>
            </w:r>
          </w:p>
        </w:tc>
        <w:tc>
          <w:tcPr>
            <w:tcW w:w="625" w:type="pct"/>
            <w:shd w:val="clear" w:color="auto" w:fill="FFC7CE"/>
          </w:tcPr>
          <w:p w14:paraId="57CC534A" w14:textId="5D091D07" w:rsidR="00F6186B" w:rsidRPr="00161AE8" w:rsidRDefault="00F6186B" w:rsidP="00F6186B">
            <w:pPr>
              <w:pStyle w:val="NoSpacing"/>
              <w:rPr>
                <w:color w:val="C00000"/>
                <w:sz w:val="16"/>
              </w:rPr>
            </w:pPr>
            <w:r>
              <w:rPr>
                <w:color w:val="C00000"/>
                <w:sz w:val="16"/>
              </w:rPr>
              <w:t>No</w:t>
            </w:r>
          </w:p>
        </w:tc>
      </w:tr>
      <w:tr w:rsidR="003877EB" w:rsidRPr="00006C31" w14:paraId="34D7B22B" w14:textId="54A419F8" w:rsidTr="004F1682">
        <w:trPr>
          <w:trHeight w:val="20"/>
        </w:trPr>
        <w:tc>
          <w:tcPr>
            <w:tcW w:w="625" w:type="pct"/>
            <w:shd w:val="clear" w:color="auto" w:fill="DEEAF6" w:themeFill="accent1" w:themeFillTint="33"/>
            <w:hideMark/>
          </w:tcPr>
          <w:p w14:paraId="18D6B40B" w14:textId="3CBDF5F7" w:rsidR="003877EB" w:rsidRPr="00006C31" w:rsidRDefault="003877EB" w:rsidP="003877EB">
            <w:pPr>
              <w:pStyle w:val="NoSpacing"/>
              <w:rPr>
                <w:b/>
                <w:sz w:val="16"/>
              </w:rPr>
            </w:pPr>
            <w:r w:rsidRPr="00006C31">
              <w:rPr>
                <w:b/>
                <w:sz w:val="16"/>
              </w:rPr>
              <w:t>4. Utility payments (gas, electric, water and sewer)</w:t>
            </w:r>
          </w:p>
        </w:tc>
        <w:tc>
          <w:tcPr>
            <w:tcW w:w="625" w:type="pct"/>
            <w:shd w:val="clear" w:color="auto" w:fill="C6EFCE"/>
            <w:hideMark/>
          </w:tcPr>
          <w:p w14:paraId="7FC5C4BC" w14:textId="526BBBA4" w:rsidR="003877EB" w:rsidRPr="00161AE8" w:rsidRDefault="003877EB" w:rsidP="003877EB">
            <w:pPr>
              <w:pStyle w:val="NoSpacing"/>
              <w:rPr>
                <w:color w:val="385623" w:themeColor="accent6" w:themeShade="80"/>
                <w:sz w:val="16"/>
              </w:rPr>
            </w:pPr>
            <w:r w:rsidRPr="00161AE8">
              <w:rPr>
                <w:color w:val="385623" w:themeColor="accent6" w:themeShade="80"/>
                <w:sz w:val="16"/>
              </w:rPr>
              <w:t>Yes, if part of the rental payment</w:t>
            </w:r>
            <w:r w:rsidR="00CC481D">
              <w:rPr>
                <w:color w:val="385623" w:themeColor="accent6" w:themeShade="80"/>
                <w:sz w:val="16"/>
              </w:rPr>
              <w:t xml:space="preserve"> and provided in the form of a utility reimbursement.</w:t>
            </w:r>
          </w:p>
        </w:tc>
        <w:tc>
          <w:tcPr>
            <w:tcW w:w="625" w:type="pct"/>
            <w:shd w:val="clear" w:color="auto" w:fill="C6EFCE"/>
          </w:tcPr>
          <w:p w14:paraId="61197015" w14:textId="2AA80355" w:rsidR="003877EB" w:rsidRPr="00161AE8" w:rsidRDefault="003877EB" w:rsidP="003877EB">
            <w:pPr>
              <w:pStyle w:val="NoSpacing"/>
              <w:rPr>
                <w:color w:val="385623" w:themeColor="accent6" w:themeShade="80"/>
                <w:sz w:val="16"/>
              </w:rPr>
            </w:pPr>
            <w:r w:rsidRPr="00161AE8">
              <w:rPr>
                <w:color w:val="385623" w:themeColor="accent6" w:themeShade="80"/>
                <w:sz w:val="16"/>
              </w:rPr>
              <w:t>Yes, if within 21</w:t>
            </w:r>
            <w:r>
              <w:rPr>
                <w:color w:val="385623" w:themeColor="accent6" w:themeShade="80"/>
                <w:sz w:val="16"/>
              </w:rPr>
              <w:t>-</w:t>
            </w:r>
            <w:r w:rsidRPr="00161AE8">
              <w:rPr>
                <w:color w:val="385623" w:themeColor="accent6" w:themeShade="80"/>
                <w:sz w:val="16"/>
              </w:rPr>
              <w:t>week limit</w:t>
            </w:r>
            <w:r>
              <w:rPr>
                <w:color w:val="385623" w:themeColor="accent6" w:themeShade="80"/>
                <w:sz w:val="16"/>
              </w:rPr>
              <w:t xml:space="preserve">. The amount of assistance </w:t>
            </w:r>
            <w:r w:rsidR="00310DF3">
              <w:rPr>
                <w:color w:val="385623" w:themeColor="accent6" w:themeShade="80"/>
                <w:sz w:val="16"/>
              </w:rPr>
              <w:t>depends on</w:t>
            </w:r>
            <w:r>
              <w:rPr>
                <w:color w:val="385623" w:themeColor="accent6" w:themeShade="80"/>
                <w:sz w:val="16"/>
              </w:rPr>
              <w:t xml:space="preserve"> household need and </w:t>
            </w:r>
            <w:r w:rsidR="00310DF3">
              <w:rPr>
                <w:color w:val="385623" w:themeColor="accent6" w:themeShade="80"/>
                <w:sz w:val="16"/>
              </w:rPr>
              <w:t>reasonable</w:t>
            </w:r>
            <w:r>
              <w:rPr>
                <w:color w:val="385623" w:themeColor="accent6" w:themeShade="80"/>
                <w:sz w:val="16"/>
              </w:rPr>
              <w:t xml:space="preserve"> negotiation.</w:t>
            </w:r>
          </w:p>
        </w:tc>
        <w:tc>
          <w:tcPr>
            <w:tcW w:w="625" w:type="pct"/>
            <w:shd w:val="clear" w:color="auto" w:fill="FFC7CE"/>
          </w:tcPr>
          <w:p w14:paraId="3A175892" w14:textId="521575DC" w:rsidR="003877EB" w:rsidRPr="00161AE8" w:rsidRDefault="003877EB" w:rsidP="003877EB">
            <w:pPr>
              <w:pStyle w:val="NoSpacing"/>
              <w:rPr>
                <w:color w:val="385623" w:themeColor="accent6" w:themeShade="80"/>
                <w:sz w:val="16"/>
              </w:rPr>
            </w:pPr>
            <w:r>
              <w:rPr>
                <w:color w:val="C00000"/>
                <w:sz w:val="16"/>
              </w:rPr>
              <w:t>No</w:t>
            </w:r>
          </w:p>
        </w:tc>
        <w:tc>
          <w:tcPr>
            <w:tcW w:w="625" w:type="pct"/>
            <w:shd w:val="clear" w:color="auto" w:fill="C6EFCE"/>
          </w:tcPr>
          <w:p w14:paraId="1F607262" w14:textId="76F5D24F" w:rsidR="003877EB" w:rsidRPr="00161AE8" w:rsidRDefault="003877EB" w:rsidP="003877EB">
            <w:pPr>
              <w:pStyle w:val="NoSpacing"/>
              <w:rPr>
                <w:color w:val="385623" w:themeColor="accent6" w:themeShade="80"/>
                <w:sz w:val="16"/>
              </w:rPr>
            </w:pPr>
            <w:r w:rsidRPr="00161AE8">
              <w:rPr>
                <w:color w:val="385623" w:themeColor="accent6" w:themeShade="80"/>
                <w:sz w:val="16"/>
              </w:rPr>
              <w:t>Yes, if part of the rental payment</w:t>
            </w:r>
            <w:r w:rsidR="00CC481D">
              <w:rPr>
                <w:color w:val="385623" w:themeColor="accent6" w:themeShade="80"/>
                <w:sz w:val="16"/>
              </w:rPr>
              <w:t xml:space="preserve"> and provided in the form of a utility reimbursement.</w:t>
            </w:r>
          </w:p>
        </w:tc>
        <w:tc>
          <w:tcPr>
            <w:tcW w:w="625" w:type="pct"/>
            <w:shd w:val="clear" w:color="auto" w:fill="C6EFCE"/>
          </w:tcPr>
          <w:p w14:paraId="27EDC559" w14:textId="69436E97" w:rsidR="003877EB" w:rsidRPr="00161AE8" w:rsidRDefault="003877EB" w:rsidP="003877EB">
            <w:pPr>
              <w:pStyle w:val="NoSpacing"/>
              <w:rPr>
                <w:color w:val="385623" w:themeColor="accent6" w:themeShade="80"/>
                <w:sz w:val="16"/>
              </w:rPr>
            </w:pPr>
            <w:r w:rsidRPr="00161AE8">
              <w:rPr>
                <w:color w:val="385623" w:themeColor="accent6" w:themeShade="80"/>
                <w:sz w:val="16"/>
              </w:rPr>
              <w:t>Yes, but only for utility</w:t>
            </w:r>
            <w:r>
              <w:rPr>
                <w:color w:val="385623" w:themeColor="accent6" w:themeShade="80"/>
                <w:sz w:val="16"/>
              </w:rPr>
              <w:t xml:space="preserve"> deposits and</w:t>
            </w:r>
            <w:r w:rsidRPr="00161AE8">
              <w:rPr>
                <w:color w:val="385623" w:themeColor="accent6" w:themeShade="80"/>
                <w:sz w:val="16"/>
              </w:rPr>
              <w:t xml:space="preserve"> hookup</w:t>
            </w:r>
            <w:r>
              <w:rPr>
                <w:color w:val="385623" w:themeColor="accent6" w:themeShade="80"/>
                <w:sz w:val="16"/>
              </w:rPr>
              <w:t xml:space="preserve"> fees </w:t>
            </w:r>
            <w:r w:rsidRPr="00161AE8">
              <w:rPr>
                <w:color w:val="385623" w:themeColor="accent6" w:themeShade="80"/>
                <w:sz w:val="16"/>
              </w:rPr>
              <w:t>and processing costs</w:t>
            </w:r>
            <w:r>
              <w:rPr>
                <w:color w:val="385623" w:themeColor="accent6" w:themeShade="80"/>
                <w:sz w:val="16"/>
              </w:rPr>
              <w:t>.</w:t>
            </w:r>
          </w:p>
        </w:tc>
        <w:tc>
          <w:tcPr>
            <w:tcW w:w="625" w:type="pct"/>
            <w:shd w:val="clear" w:color="auto" w:fill="FFC7CE"/>
            <w:hideMark/>
          </w:tcPr>
          <w:p w14:paraId="67B8BA80" w14:textId="77777777" w:rsidR="003877EB" w:rsidRPr="00161AE8" w:rsidRDefault="003877EB" w:rsidP="003877EB">
            <w:pPr>
              <w:pStyle w:val="NoSpacing"/>
              <w:rPr>
                <w:color w:val="C00000"/>
                <w:sz w:val="16"/>
              </w:rPr>
            </w:pPr>
            <w:r w:rsidRPr="00161AE8">
              <w:rPr>
                <w:color w:val="C00000"/>
                <w:sz w:val="16"/>
              </w:rPr>
              <w:t>No</w:t>
            </w:r>
          </w:p>
        </w:tc>
        <w:tc>
          <w:tcPr>
            <w:tcW w:w="625" w:type="pct"/>
            <w:shd w:val="clear" w:color="auto" w:fill="FFC7CE"/>
          </w:tcPr>
          <w:p w14:paraId="36852200" w14:textId="6C384D9A" w:rsidR="003877EB" w:rsidRPr="00161AE8" w:rsidRDefault="0029071F" w:rsidP="003877EB">
            <w:pPr>
              <w:pStyle w:val="NoSpacing"/>
              <w:rPr>
                <w:color w:val="C00000"/>
                <w:sz w:val="16"/>
              </w:rPr>
            </w:pPr>
            <w:r>
              <w:rPr>
                <w:color w:val="C00000"/>
                <w:sz w:val="16"/>
              </w:rPr>
              <w:t>No</w:t>
            </w:r>
          </w:p>
        </w:tc>
      </w:tr>
      <w:tr w:rsidR="00B630E6" w:rsidRPr="00006C31" w14:paraId="69417BDB" w14:textId="2C762AD9" w:rsidTr="004F1682">
        <w:trPr>
          <w:trHeight w:val="20"/>
        </w:trPr>
        <w:tc>
          <w:tcPr>
            <w:tcW w:w="625" w:type="pct"/>
            <w:shd w:val="clear" w:color="auto" w:fill="DEEAF6" w:themeFill="accent1" w:themeFillTint="33"/>
            <w:hideMark/>
          </w:tcPr>
          <w:p w14:paraId="51DAE427" w14:textId="77777777" w:rsidR="00B630E6" w:rsidRPr="00006C31" w:rsidRDefault="00B630E6" w:rsidP="00445307">
            <w:pPr>
              <w:pStyle w:val="NoSpacing"/>
              <w:rPr>
                <w:b/>
                <w:sz w:val="16"/>
              </w:rPr>
            </w:pPr>
            <w:r w:rsidRPr="00006C31">
              <w:rPr>
                <w:b/>
                <w:sz w:val="16"/>
              </w:rPr>
              <w:t>5. Information and/or support to locate and apply for housing assistance</w:t>
            </w:r>
          </w:p>
        </w:tc>
        <w:tc>
          <w:tcPr>
            <w:tcW w:w="625" w:type="pct"/>
            <w:shd w:val="clear" w:color="auto" w:fill="FFC7CE"/>
            <w:hideMark/>
          </w:tcPr>
          <w:p w14:paraId="556F7F6A" w14:textId="77777777" w:rsidR="00B630E6" w:rsidRPr="00161AE8" w:rsidRDefault="00B630E6" w:rsidP="00445307">
            <w:pPr>
              <w:pStyle w:val="NoSpacing"/>
              <w:rPr>
                <w:color w:val="C00000"/>
                <w:sz w:val="16"/>
              </w:rPr>
            </w:pPr>
            <w:r w:rsidRPr="00161AE8">
              <w:rPr>
                <w:color w:val="C00000"/>
                <w:sz w:val="16"/>
              </w:rPr>
              <w:t>No</w:t>
            </w:r>
          </w:p>
        </w:tc>
        <w:tc>
          <w:tcPr>
            <w:tcW w:w="625" w:type="pct"/>
            <w:shd w:val="clear" w:color="auto" w:fill="FFC7CE"/>
          </w:tcPr>
          <w:p w14:paraId="3177D7C8" w14:textId="77777777" w:rsidR="00B630E6" w:rsidRPr="00161AE8" w:rsidRDefault="00B630E6" w:rsidP="00445307">
            <w:pPr>
              <w:pStyle w:val="NoSpacing"/>
              <w:rPr>
                <w:color w:val="C00000"/>
                <w:sz w:val="16"/>
              </w:rPr>
            </w:pPr>
            <w:r w:rsidRPr="00161AE8">
              <w:rPr>
                <w:color w:val="C00000"/>
                <w:sz w:val="16"/>
              </w:rPr>
              <w:t>No</w:t>
            </w:r>
          </w:p>
        </w:tc>
        <w:tc>
          <w:tcPr>
            <w:tcW w:w="625" w:type="pct"/>
            <w:shd w:val="clear" w:color="auto" w:fill="FFC7CE"/>
          </w:tcPr>
          <w:p w14:paraId="1DEDDC56" w14:textId="57F40D43" w:rsidR="00B630E6" w:rsidRPr="00161AE8" w:rsidRDefault="00B630E6" w:rsidP="00445307">
            <w:pPr>
              <w:pStyle w:val="NoSpacing"/>
              <w:rPr>
                <w:color w:val="385623" w:themeColor="accent6" w:themeShade="80"/>
                <w:sz w:val="16"/>
              </w:rPr>
            </w:pPr>
            <w:r>
              <w:rPr>
                <w:color w:val="C00000"/>
                <w:sz w:val="16"/>
              </w:rPr>
              <w:t>No</w:t>
            </w:r>
          </w:p>
        </w:tc>
        <w:tc>
          <w:tcPr>
            <w:tcW w:w="625" w:type="pct"/>
            <w:shd w:val="clear" w:color="auto" w:fill="FFC7CE"/>
          </w:tcPr>
          <w:p w14:paraId="6B0279A4" w14:textId="36EF95E5" w:rsidR="00B630E6" w:rsidRPr="00161AE8" w:rsidRDefault="00B630E6" w:rsidP="00445307">
            <w:pPr>
              <w:pStyle w:val="NoSpacing"/>
              <w:rPr>
                <w:color w:val="385623" w:themeColor="accent6" w:themeShade="80"/>
                <w:sz w:val="16"/>
              </w:rPr>
            </w:pPr>
            <w:r w:rsidRPr="00161AE8">
              <w:rPr>
                <w:color w:val="C00000"/>
                <w:sz w:val="16"/>
              </w:rPr>
              <w:t>No</w:t>
            </w:r>
          </w:p>
        </w:tc>
        <w:tc>
          <w:tcPr>
            <w:tcW w:w="625" w:type="pct"/>
            <w:shd w:val="clear" w:color="auto" w:fill="C6EFCE"/>
          </w:tcPr>
          <w:p w14:paraId="5D9DD810" w14:textId="5AF68779" w:rsidR="00B630E6" w:rsidRPr="00161AE8" w:rsidRDefault="00B630E6" w:rsidP="00D338CE">
            <w:pPr>
              <w:pStyle w:val="NoSpacing"/>
              <w:rPr>
                <w:color w:val="385623" w:themeColor="accent6" w:themeShade="80"/>
                <w:sz w:val="16"/>
              </w:rPr>
            </w:pPr>
            <w:r w:rsidRPr="00161AE8">
              <w:rPr>
                <w:color w:val="385623" w:themeColor="accent6" w:themeShade="80"/>
                <w:sz w:val="16"/>
              </w:rPr>
              <w:t xml:space="preserve">Yes, </w:t>
            </w:r>
            <w:r>
              <w:rPr>
                <w:color w:val="385623" w:themeColor="accent6" w:themeShade="80"/>
                <w:sz w:val="16"/>
              </w:rPr>
              <w:t xml:space="preserve">such </w:t>
            </w:r>
            <w:r w:rsidRPr="00161AE8">
              <w:rPr>
                <w:color w:val="385623" w:themeColor="accent6" w:themeShade="80"/>
                <w:sz w:val="16"/>
              </w:rPr>
              <w:t xml:space="preserve">as support and help to complete </w:t>
            </w:r>
            <w:r>
              <w:rPr>
                <w:color w:val="385623" w:themeColor="accent6" w:themeShade="80"/>
                <w:sz w:val="16"/>
              </w:rPr>
              <w:t>housing</w:t>
            </w:r>
            <w:r w:rsidRPr="00161AE8">
              <w:rPr>
                <w:color w:val="385623" w:themeColor="accent6" w:themeShade="80"/>
                <w:sz w:val="16"/>
              </w:rPr>
              <w:t xml:space="preserve"> applications</w:t>
            </w:r>
            <w:r w:rsidR="00251BF2">
              <w:rPr>
                <w:color w:val="385623" w:themeColor="accent6" w:themeShade="80"/>
                <w:sz w:val="16"/>
              </w:rPr>
              <w:t xml:space="preserve"> </w:t>
            </w:r>
            <w:r w:rsidRPr="00161AE8">
              <w:rPr>
                <w:color w:val="385623" w:themeColor="accent6" w:themeShade="80"/>
                <w:sz w:val="16"/>
              </w:rPr>
              <w:t>and eligibility screenings for tenancy or utilities for these units</w:t>
            </w:r>
            <w:r>
              <w:rPr>
                <w:color w:val="385623" w:themeColor="accent6" w:themeShade="80"/>
                <w:sz w:val="16"/>
              </w:rPr>
              <w:t>.</w:t>
            </w:r>
          </w:p>
        </w:tc>
        <w:tc>
          <w:tcPr>
            <w:tcW w:w="625" w:type="pct"/>
            <w:shd w:val="clear" w:color="auto" w:fill="C6EFCE"/>
            <w:hideMark/>
          </w:tcPr>
          <w:p w14:paraId="0B76D7CD" w14:textId="3EB80705" w:rsidR="00B630E6" w:rsidRPr="00006C31" w:rsidRDefault="00B630E6" w:rsidP="00445307">
            <w:pPr>
              <w:pStyle w:val="NoSpacing"/>
              <w:rPr>
                <w:sz w:val="16"/>
              </w:rPr>
            </w:pPr>
            <w:r w:rsidRPr="00161AE8">
              <w:rPr>
                <w:color w:val="385623" w:themeColor="accent6" w:themeShade="80"/>
                <w:sz w:val="16"/>
              </w:rPr>
              <w:t>Yes, such as counseling to develop a housing service plan to establish stable permanent housing</w:t>
            </w:r>
            <w:r>
              <w:rPr>
                <w:color w:val="385623" w:themeColor="accent6" w:themeShade="80"/>
                <w:sz w:val="16"/>
              </w:rPr>
              <w:t>.</w:t>
            </w:r>
          </w:p>
        </w:tc>
        <w:tc>
          <w:tcPr>
            <w:tcW w:w="625" w:type="pct"/>
            <w:shd w:val="clear" w:color="auto" w:fill="C6EFCE"/>
          </w:tcPr>
          <w:p w14:paraId="4C56A04C" w14:textId="5211C77B" w:rsidR="00B630E6" w:rsidRPr="00161AE8" w:rsidRDefault="00E135EB" w:rsidP="00445307">
            <w:pPr>
              <w:pStyle w:val="NoSpacing"/>
              <w:rPr>
                <w:color w:val="385623" w:themeColor="accent6" w:themeShade="80"/>
                <w:sz w:val="16"/>
              </w:rPr>
            </w:pPr>
            <w:r>
              <w:rPr>
                <w:color w:val="385623" w:themeColor="accent6" w:themeShade="80"/>
                <w:sz w:val="16"/>
              </w:rPr>
              <w:t>Yes,</w:t>
            </w:r>
            <w:r w:rsidR="007F65C6">
              <w:rPr>
                <w:color w:val="385623" w:themeColor="accent6" w:themeShade="80"/>
                <w:sz w:val="16"/>
              </w:rPr>
              <w:t xml:space="preserve"> such as </w:t>
            </w:r>
            <w:r>
              <w:rPr>
                <w:color w:val="385623" w:themeColor="accent6" w:themeShade="80"/>
                <w:sz w:val="16"/>
              </w:rPr>
              <w:t xml:space="preserve">costs for providing materials that inform </w:t>
            </w:r>
            <w:r w:rsidR="007F65C6">
              <w:rPr>
                <w:color w:val="385623" w:themeColor="accent6" w:themeShade="80"/>
                <w:sz w:val="16"/>
              </w:rPr>
              <w:t>households</w:t>
            </w:r>
            <w:r>
              <w:rPr>
                <w:color w:val="385623" w:themeColor="accent6" w:themeShade="80"/>
                <w:sz w:val="16"/>
              </w:rPr>
              <w:t xml:space="preserve"> of available housing</w:t>
            </w:r>
            <w:r w:rsidR="007F65C6">
              <w:rPr>
                <w:color w:val="385623" w:themeColor="accent6" w:themeShade="80"/>
                <w:sz w:val="16"/>
              </w:rPr>
              <w:t xml:space="preserve"> and housing assistance programs</w:t>
            </w:r>
            <w:r>
              <w:rPr>
                <w:color w:val="385623" w:themeColor="accent6" w:themeShade="80"/>
                <w:sz w:val="16"/>
              </w:rPr>
              <w:t>.</w:t>
            </w:r>
          </w:p>
        </w:tc>
      </w:tr>
      <w:tr w:rsidR="003D07E8" w:rsidRPr="00006C31" w14:paraId="491E8F1E" w14:textId="325058CE" w:rsidTr="004F1682">
        <w:trPr>
          <w:trHeight w:val="20"/>
        </w:trPr>
        <w:tc>
          <w:tcPr>
            <w:tcW w:w="625" w:type="pct"/>
            <w:shd w:val="clear" w:color="auto" w:fill="DEEAF6" w:themeFill="accent1" w:themeFillTint="33"/>
            <w:hideMark/>
          </w:tcPr>
          <w:p w14:paraId="10397D18" w14:textId="77777777" w:rsidR="003D07E8" w:rsidRPr="00006C31" w:rsidRDefault="003D07E8" w:rsidP="003D07E8">
            <w:pPr>
              <w:pStyle w:val="NoSpacing"/>
              <w:rPr>
                <w:b/>
                <w:sz w:val="16"/>
              </w:rPr>
            </w:pPr>
            <w:r w:rsidRPr="00006C31">
              <w:rPr>
                <w:b/>
                <w:sz w:val="16"/>
              </w:rPr>
              <w:t>6. Move-in support, such as supplies, furnishings, incidental costs, and minor repairs of housing units</w:t>
            </w:r>
          </w:p>
        </w:tc>
        <w:tc>
          <w:tcPr>
            <w:tcW w:w="625" w:type="pct"/>
            <w:shd w:val="clear" w:color="auto" w:fill="FFC7CE"/>
            <w:hideMark/>
          </w:tcPr>
          <w:p w14:paraId="0880B0DA" w14:textId="77777777" w:rsidR="003D07E8" w:rsidRPr="00161AE8" w:rsidRDefault="003D07E8" w:rsidP="003D07E8">
            <w:pPr>
              <w:pStyle w:val="NoSpacing"/>
              <w:rPr>
                <w:color w:val="C00000"/>
                <w:sz w:val="16"/>
              </w:rPr>
            </w:pPr>
            <w:r w:rsidRPr="00161AE8">
              <w:rPr>
                <w:color w:val="C00000"/>
                <w:sz w:val="16"/>
              </w:rPr>
              <w:t>No</w:t>
            </w:r>
          </w:p>
        </w:tc>
        <w:tc>
          <w:tcPr>
            <w:tcW w:w="625" w:type="pct"/>
            <w:shd w:val="clear" w:color="auto" w:fill="FFC7CE"/>
          </w:tcPr>
          <w:p w14:paraId="4C0D5856" w14:textId="77777777" w:rsidR="003D07E8" w:rsidRPr="00161AE8" w:rsidRDefault="003D07E8" w:rsidP="003D07E8">
            <w:pPr>
              <w:pStyle w:val="NoSpacing"/>
              <w:rPr>
                <w:color w:val="C00000"/>
                <w:sz w:val="16"/>
              </w:rPr>
            </w:pPr>
            <w:r w:rsidRPr="00161AE8">
              <w:rPr>
                <w:color w:val="C00000"/>
                <w:sz w:val="16"/>
              </w:rPr>
              <w:t>No</w:t>
            </w:r>
          </w:p>
        </w:tc>
        <w:tc>
          <w:tcPr>
            <w:tcW w:w="625" w:type="pct"/>
            <w:shd w:val="clear" w:color="auto" w:fill="C6EFCE"/>
          </w:tcPr>
          <w:p w14:paraId="0132E402" w14:textId="34F23165" w:rsidR="003D07E8" w:rsidRPr="004F1682" w:rsidRDefault="003D07E8">
            <w:pPr>
              <w:pStyle w:val="NoSpacing"/>
              <w:rPr>
                <w:color w:val="385623" w:themeColor="accent6" w:themeShade="80"/>
                <w:sz w:val="16"/>
              </w:rPr>
            </w:pPr>
            <w:r>
              <w:rPr>
                <w:color w:val="385623" w:themeColor="accent6" w:themeShade="80"/>
                <w:sz w:val="16"/>
              </w:rPr>
              <w:t>Yes, allowable as a facility-based operating cost. Supplies, durable furnishings, and maintenance.</w:t>
            </w:r>
          </w:p>
        </w:tc>
        <w:tc>
          <w:tcPr>
            <w:tcW w:w="625" w:type="pct"/>
            <w:shd w:val="clear" w:color="auto" w:fill="C6EFCE"/>
          </w:tcPr>
          <w:p w14:paraId="27C4569E" w14:textId="4A5DBCB8" w:rsidR="003D07E8" w:rsidRPr="004F1682" w:rsidRDefault="003D07E8" w:rsidP="003D07E8">
            <w:pPr>
              <w:pStyle w:val="NoSpacing"/>
              <w:rPr>
                <w:color w:val="385623" w:themeColor="accent6" w:themeShade="80"/>
                <w:sz w:val="16"/>
              </w:rPr>
            </w:pPr>
            <w:r>
              <w:rPr>
                <w:color w:val="385623" w:themeColor="accent6" w:themeShade="80"/>
                <w:sz w:val="16"/>
              </w:rPr>
              <w:t>Yes, allowable as a facility-based operating cost. Supplies, durable furnishings, and maintenance.</w:t>
            </w:r>
          </w:p>
        </w:tc>
        <w:tc>
          <w:tcPr>
            <w:tcW w:w="625" w:type="pct"/>
            <w:shd w:val="clear" w:color="auto" w:fill="FFEB9C"/>
          </w:tcPr>
          <w:p w14:paraId="3702BD79" w14:textId="091DAE32" w:rsidR="003D07E8" w:rsidRPr="00006C31" w:rsidRDefault="003D07E8" w:rsidP="003D07E8">
            <w:pPr>
              <w:pStyle w:val="NoSpacing"/>
              <w:rPr>
                <w:sz w:val="16"/>
              </w:rPr>
            </w:pPr>
            <w:r w:rsidRPr="00161AE8">
              <w:rPr>
                <w:color w:val="806000" w:themeColor="accent4" w:themeShade="80"/>
                <w:sz w:val="16"/>
              </w:rPr>
              <w:t xml:space="preserve">No, </w:t>
            </w:r>
            <w:r>
              <w:rPr>
                <w:color w:val="806000" w:themeColor="accent4" w:themeShade="80"/>
                <w:sz w:val="16"/>
              </w:rPr>
              <w:t>but</w:t>
            </w:r>
            <w:r w:rsidRPr="00161AE8">
              <w:rPr>
                <w:color w:val="806000" w:themeColor="accent4" w:themeShade="80"/>
                <w:sz w:val="16"/>
              </w:rPr>
              <w:t xml:space="preserve"> programs may coordinate with leveraged resources and donations for these purposes</w:t>
            </w:r>
            <w:r>
              <w:rPr>
                <w:color w:val="806000" w:themeColor="accent4" w:themeShade="80"/>
                <w:sz w:val="16"/>
              </w:rPr>
              <w:t>.</w:t>
            </w:r>
          </w:p>
        </w:tc>
        <w:tc>
          <w:tcPr>
            <w:tcW w:w="625" w:type="pct"/>
            <w:shd w:val="clear" w:color="auto" w:fill="FFC7CE"/>
            <w:hideMark/>
          </w:tcPr>
          <w:p w14:paraId="7F2BA9D0" w14:textId="77777777" w:rsidR="003D07E8" w:rsidRPr="00006C31" w:rsidRDefault="003D07E8" w:rsidP="003D07E8">
            <w:pPr>
              <w:pStyle w:val="NoSpacing"/>
              <w:rPr>
                <w:sz w:val="16"/>
              </w:rPr>
            </w:pPr>
            <w:r w:rsidRPr="00161AE8">
              <w:rPr>
                <w:color w:val="C00000"/>
                <w:sz w:val="16"/>
              </w:rPr>
              <w:t>No</w:t>
            </w:r>
          </w:p>
        </w:tc>
        <w:tc>
          <w:tcPr>
            <w:tcW w:w="625" w:type="pct"/>
            <w:shd w:val="clear" w:color="auto" w:fill="FFC7CE"/>
          </w:tcPr>
          <w:p w14:paraId="4F6B9E77" w14:textId="2687ECC2" w:rsidR="003D07E8" w:rsidRPr="00161AE8" w:rsidRDefault="003D07E8" w:rsidP="003D07E8">
            <w:pPr>
              <w:pStyle w:val="NoSpacing"/>
              <w:rPr>
                <w:color w:val="C00000"/>
                <w:sz w:val="16"/>
              </w:rPr>
            </w:pPr>
            <w:r>
              <w:rPr>
                <w:color w:val="C00000"/>
                <w:sz w:val="16"/>
              </w:rPr>
              <w:t>No</w:t>
            </w:r>
          </w:p>
        </w:tc>
      </w:tr>
      <w:tr w:rsidR="00825878" w:rsidRPr="00006C31" w14:paraId="3FE02AE5" w14:textId="6EAB2DF1" w:rsidTr="004F1682">
        <w:trPr>
          <w:trHeight w:val="20"/>
        </w:trPr>
        <w:tc>
          <w:tcPr>
            <w:tcW w:w="625" w:type="pct"/>
            <w:shd w:val="clear" w:color="auto" w:fill="DEEAF6" w:themeFill="accent1" w:themeFillTint="33"/>
            <w:hideMark/>
          </w:tcPr>
          <w:p w14:paraId="346543CC" w14:textId="77777777" w:rsidR="00825878" w:rsidRPr="00006C31" w:rsidRDefault="00825878" w:rsidP="00825878">
            <w:pPr>
              <w:pStyle w:val="NoSpacing"/>
              <w:rPr>
                <w:b/>
                <w:sz w:val="16"/>
              </w:rPr>
            </w:pPr>
            <w:r w:rsidRPr="00006C31">
              <w:rPr>
                <w:b/>
                <w:sz w:val="16"/>
              </w:rPr>
              <w:t>7. Other elements</w:t>
            </w:r>
          </w:p>
        </w:tc>
        <w:tc>
          <w:tcPr>
            <w:tcW w:w="625" w:type="pct"/>
            <w:shd w:val="clear" w:color="auto" w:fill="FFC7CE"/>
            <w:hideMark/>
          </w:tcPr>
          <w:p w14:paraId="2BE6B10B" w14:textId="77777777" w:rsidR="00825878" w:rsidRPr="00161AE8" w:rsidRDefault="00825878" w:rsidP="00825878">
            <w:pPr>
              <w:pStyle w:val="NoSpacing"/>
              <w:rPr>
                <w:color w:val="C00000"/>
                <w:sz w:val="16"/>
              </w:rPr>
            </w:pPr>
            <w:r w:rsidRPr="00161AE8">
              <w:rPr>
                <w:color w:val="C00000"/>
                <w:sz w:val="16"/>
              </w:rPr>
              <w:t>No</w:t>
            </w:r>
          </w:p>
        </w:tc>
        <w:tc>
          <w:tcPr>
            <w:tcW w:w="625" w:type="pct"/>
            <w:shd w:val="clear" w:color="auto" w:fill="C6EFCE"/>
          </w:tcPr>
          <w:p w14:paraId="4C22B4DC" w14:textId="03359067" w:rsidR="00825878" w:rsidRPr="00161AE8" w:rsidRDefault="00825878" w:rsidP="00825878">
            <w:pPr>
              <w:pStyle w:val="NoSpacing"/>
              <w:rPr>
                <w:color w:val="C00000"/>
                <w:sz w:val="16"/>
              </w:rPr>
            </w:pPr>
            <w:r>
              <w:rPr>
                <w:color w:val="385623" w:themeColor="accent6" w:themeShade="80"/>
                <w:sz w:val="16"/>
              </w:rPr>
              <w:t>Yes. L</w:t>
            </w:r>
            <w:r w:rsidRPr="00445307">
              <w:rPr>
                <w:color w:val="385623" w:themeColor="accent6" w:themeShade="80"/>
                <w:sz w:val="16"/>
              </w:rPr>
              <w:t>ate fees and other penalties if, in the event of nonpayment, the household risk</w:t>
            </w:r>
            <w:r w:rsidR="00F63901">
              <w:rPr>
                <w:color w:val="385623" w:themeColor="accent6" w:themeShade="80"/>
                <w:sz w:val="16"/>
              </w:rPr>
              <w:t>s</w:t>
            </w:r>
            <w:r w:rsidRPr="00445307">
              <w:rPr>
                <w:color w:val="385623" w:themeColor="accent6" w:themeShade="80"/>
                <w:sz w:val="16"/>
              </w:rPr>
              <w:t xml:space="preserve"> eviction or loss of housing</w:t>
            </w:r>
            <w:r>
              <w:rPr>
                <w:color w:val="385623" w:themeColor="accent6" w:themeShade="80"/>
                <w:sz w:val="16"/>
              </w:rPr>
              <w:t>.</w:t>
            </w:r>
            <w:r w:rsidRPr="00445307" w:rsidDel="00E436C2">
              <w:rPr>
                <w:color w:val="385623" w:themeColor="accent6" w:themeShade="80"/>
                <w:sz w:val="16"/>
              </w:rPr>
              <w:t xml:space="preserve"> </w:t>
            </w:r>
          </w:p>
        </w:tc>
        <w:tc>
          <w:tcPr>
            <w:tcW w:w="625" w:type="pct"/>
            <w:shd w:val="clear" w:color="auto" w:fill="C6EFCE"/>
          </w:tcPr>
          <w:p w14:paraId="7BE5C2C2" w14:textId="7F85DC1C" w:rsidR="00825878" w:rsidRPr="00161AE8" w:rsidRDefault="00825878" w:rsidP="00825878">
            <w:pPr>
              <w:pStyle w:val="NoSpacing"/>
              <w:rPr>
                <w:color w:val="385623" w:themeColor="accent6" w:themeShade="80"/>
                <w:sz w:val="16"/>
              </w:rPr>
            </w:pPr>
            <w:r>
              <w:rPr>
                <w:color w:val="385623" w:themeColor="accent6" w:themeShade="80"/>
                <w:sz w:val="16"/>
              </w:rPr>
              <w:t>Yes. N</w:t>
            </w:r>
            <w:r w:rsidRPr="00445307">
              <w:rPr>
                <w:color w:val="385623" w:themeColor="accent6" w:themeShade="80"/>
                <w:sz w:val="16"/>
              </w:rPr>
              <w:t>ecessary minimum costs for temporary shelters</w:t>
            </w:r>
            <w:r>
              <w:rPr>
                <w:color w:val="385623" w:themeColor="accent6" w:themeShade="80"/>
                <w:sz w:val="16"/>
              </w:rPr>
              <w:t>, including hotels/motels, if within 60-day limit.</w:t>
            </w:r>
          </w:p>
        </w:tc>
        <w:tc>
          <w:tcPr>
            <w:tcW w:w="625" w:type="pct"/>
            <w:shd w:val="clear" w:color="auto" w:fill="FFC7CE"/>
          </w:tcPr>
          <w:p w14:paraId="35B7D8A0" w14:textId="012C0A30" w:rsidR="00825878" w:rsidRPr="00FF6A7C" w:rsidRDefault="00825878" w:rsidP="00825878">
            <w:pPr>
              <w:pStyle w:val="NoSpacing"/>
              <w:rPr>
                <w:color w:val="385623" w:themeColor="accent6" w:themeShade="80"/>
                <w:sz w:val="16"/>
              </w:rPr>
            </w:pPr>
            <w:r w:rsidRPr="00161AE8">
              <w:rPr>
                <w:color w:val="C00000"/>
                <w:sz w:val="16"/>
              </w:rPr>
              <w:t>No</w:t>
            </w:r>
          </w:p>
        </w:tc>
        <w:tc>
          <w:tcPr>
            <w:tcW w:w="625" w:type="pct"/>
            <w:shd w:val="clear" w:color="auto" w:fill="C6EFCE"/>
          </w:tcPr>
          <w:p w14:paraId="6A8128CC" w14:textId="03210176" w:rsidR="00825878" w:rsidRPr="00161AE8" w:rsidRDefault="00825878" w:rsidP="00825878">
            <w:pPr>
              <w:pStyle w:val="NoSpacing"/>
              <w:rPr>
                <w:color w:val="385623" w:themeColor="accent6" w:themeShade="80"/>
                <w:sz w:val="16"/>
              </w:rPr>
            </w:pPr>
            <w:r>
              <w:rPr>
                <w:color w:val="385623" w:themeColor="accent6" w:themeShade="80"/>
                <w:sz w:val="16"/>
              </w:rPr>
              <w:t>Yes. A</w:t>
            </w:r>
            <w:r w:rsidRPr="009D04CD">
              <w:rPr>
                <w:color w:val="385623" w:themeColor="accent6" w:themeShade="80"/>
                <w:sz w:val="16"/>
              </w:rPr>
              <w:t xml:space="preserve">pplication and administrative fees, </w:t>
            </w:r>
            <w:r>
              <w:rPr>
                <w:color w:val="385623" w:themeColor="accent6" w:themeShade="80"/>
                <w:sz w:val="16"/>
              </w:rPr>
              <w:t xml:space="preserve">rental insurance (limited to the first payment only), </w:t>
            </w:r>
            <w:r w:rsidR="00CE654F">
              <w:rPr>
                <w:color w:val="385623" w:themeColor="accent6" w:themeShade="80"/>
                <w:sz w:val="16"/>
              </w:rPr>
              <w:t>r</w:t>
            </w:r>
            <w:r w:rsidRPr="00445307">
              <w:rPr>
                <w:color w:val="385623" w:themeColor="accent6" w:themeShade="80"/>
                <w:sz w:val="16"/>
              </w:rPr>
              <w:t>ental and utility arrears or other past expenses if a household must pay them to secure a new unit.</w:t>
            </w:r>
            <w:r>
              <w:rPr>
                <w:color w:val="385623" w:themeColor="accent6" w:themeShade="80"/>
                <w:sz w:val="16"/>
              </w:rPr>
              <w:t xml:space="preserve"> Tenant counseling, reviewing leases with households, and mediation of disputes with owners at the time of placing the household into the unit.</w:t>
            </w:r>
          </w:p>
        </w:tc>
        <w:tc>
          <w:tcPr>
            <w:tcW w:w="625" w:type="pct"/>
            <w:shd w:val="clear" w:color="auto" w:fill="C6EFCE"/>
            <w:hideMark/>
          </w:tcPr>
          <w:p w14:paraId="780701E2" w14:textId="445A5E04" w:rsidR="00825878" w:rsidRPr="00161AE8" w:rsidRDefault="00825878" w:rsidP="00825878">
            <w:pPr>
              <w:pStyle w:val="NoSpacing"/>
              <w:rPr>
                <w:color w:val="385623" w:themeColor="accent6" w:themeShade="80"/>
                <w:sz w:val="16"/>
              </w:rPr>
            </w:pPr>
            <w:r>
              <w:rPr>
                <w:color w:val="385623" w:themeColor="accent6" w:themeShade="80"/>
                <w:sz w:val="16"/>
              </w:rPr>
              <w:t xml:space="preserve">Yes. </w:t>
            </w:r>
            <w:r w:rsidRPr="00161AE8">
              <w:rPr>
                <w:color w:val="385623" w:themeColor="accent6" w:themeShade="80"/>
                <w:sz w:val="16"/>
              </w:rPr>
              <w:t xml:space="preserve">Help to access other benefits, such as </w:t>
            </w:r>
            <w:r w:rsidR="009C621C" w:rsidRPr="00161AE8">
              <w:rPr>
                <w:color w:val="385623" w:themeColor="accent6" w:themeShade="80"/>
                <w:sz w:val="16"/>
              </w:rPr>
              <w:t>healthcare</w:t>
            </w:r>
            <w:r w:rsidRPr="00161AE8">
              <w:rPr>
                <w:color w:val="385623" w:themeColor="accent6" w:themeShade="80"/>
                <w:sz w:val="16"/>
              </w:rPr>
              <w:t xml:space="preserve"> and other supportive services</w:t>
            </w:r>
            <w:r>
              <w:rPr>
                <w:color w:val="385623" w:themeColor="accent6" w:themeShade="80"/>
                <w:sz w:val="16"/>
              </w:rPr>
              <w:t>.</w:t>
            </w:r>
          </w:p>
        </w:tc>
        <w:tc>
          <w:tcPr>
            <w:tcW w:w="625" w:type="pct"/>
            <w:shd w:val="clear" w:color="auto" w:fill="C6EFCE"/>
          </w:tcPr>
          <w:p w14:paraId="380E7A47" w14:textId="3EF1A759" w:rsidR="00825878" w:rsidRDefault="00825878" w:rsidP="00825878">
            <w:pPr>
              <w:pStyle w:val="NoSpacing"/>
              <w:rPr>
                <w:color w:val="385623" w:themeColor="accent6" w:themeShade="80"/>
                <w:sz w:val="16"/>
              </w:rPr>
            </w:pPr>
            <w:r>
              <w:rPr>
                <w:color w:val="385623" w:themeColor="accent6" w:themeShade="80"/>
                <w:sz w:val="16"/>
              </w:rPr>
              <w:t>Yes. S</w:t>
            </w:r>
            <w:r w:rsidRPr="00C1595E">
              <w:rPr>
                <w:color w:val="385623" w:themeColor="accent6" w:themeShade="80"/>
                <w:sz w:val="16"/>
              </w:rPr>
              <w:t>earching for and referring households to</w:t>
            </w:r>
            <w:r>
              <w:rPr>
                <w:color w:val="385623" w:themeColor="accent6" w:themeShade="80"/>
                <w:sz w:val="16"/>
              </w:rPr>
              <w:t xml:space="preserve"> housing assistance and supportive services. Assisting </w:t>
            </w:r>
            <w:r w:rsidRPr="00C1595E">
              <w:rPr>
                <w:color w:val="385623" w:themeColor="accent6" w:themeShade="80"/>
                <w:sz w:val="16"/>
              </w:rPr>
              <w:t>with locating, acquiring, financing, and maintaining housing</w:t>
            </w:r>
            <w:r>
              <w:rPr>
                <w:color w:val="385623" w:themeColor="accent6" w:themeShade="80"/>
                <w:sz w:val="16"/>
              </w:rPr>
              <w:t>. D</w:t>
            </w:r>
            <w:r w:rsidRPr="00C1595E">
              <w:rPr>
                <w:color w:val="385623" w:themeColor="accent6" w:themeShade="80"/>
                <w:sz w:val="16"/>
              </w:rPr>
              <w:t>elivering housing counseling, guidance, and mediation</w:t>
            </w:r>
            <w:r>
              <w:rPr>
                <w:color w:val="385623" w:themeColor="accent6" w:themeShade="80"/>
                <w:sz w:val="16"/>
              </w:rPr>
              <w:t xml:space="preserve">. </w:t>
            </w:r>
            <w:r w:rsidRPr="00C1595E">
              <w:rPr>
                <w:color w:val="385623" w:themeColor="accent6" w:themeShade="80"/>
                <w:sz w:val="16"/>
              </w:rPr>
              <w:t xml:space="preserve">Holding housing information classes or presentations </w:t>
            </w:r>
            <w:r>
              <w:rPr>
                <w:color w:val="385623" w:themeColor="accent6" w:themeShade="80"/>
                <w:sz w:val="16"/>
              </w:rPr>
              <w:t>on l</w:t>
            </w:r>
            <w:r w:rsidRPr="00161AE8">
              <w:rPr>
                <w:color w:val="385623" w:themeColor="accent6" w:themeShade="80"/>
                <w:sz w:val="16"/>
              </w:rPr>
              <w:t>ife skills</w:t>
            </w:r>
            <w:r>
              <w:rPr>
                <w:color w:val="385623" w:themeColor="accent6" w:themeShade="80"/>
                <w:sz w:val="16"/>
              </w:rPr>
              <w:t xml:space="preserve">; </w:t>
            </w:r>
            <w:r w:rsidRPr="00161AE8">
              <w:rPr>
                <w:color w:val="385623" w:themeColor="accent6" w:themeShade="80"/>
                <w:sz w:val="16"/>
              </w:rPr>
              <w:t xml:space="preserve">unit cleaning, </w:t>
            </w:r>
            <w:r>
              <w:rPr>
                <w:color w:val="385623" w:themeColor="accent6" w:themeShade="80"/>
                <w:sz w:val="16"/>
              </w:rPr>
              <w:t>m</w:t>
            </w:r>
            <w:r w:rsidRPr="00161AE8">
              <w:rPr>
                <w:color w:val="385623" w:themeColor="accent6" w:themeShade="80"/>
                <w:sz w:val="16"/>
              </w:rPr>
              <w:t>aintenance</w:t>
            </w:r>
            <w:r>
              <w:rPr>
                <w:color w:val="385623" w:themeColor="accent6" w:themeShade="80"/>
                <w:sz w:val="16"/>
              </w:rPr>
              <w:t>,</w:t>
            </w:r>
            <w:r w:rsidRPr="00161AE8">
              <w:rPr>
                <w:color w:val="385623" w:themeColor="accent6" w:themeShade="80"/>
                <w:sz w:val="16"/>
              </w:rPr>
              <w:t xml:space="preserve"> and household budgeting</w:t>
            </w:r>
            <w:r>
              <w:rPr>
                <w:color w:val="385623" w:themeColor="accent6" w:themeShade="80"/>
                <w:sz w:val="16"/>
              </w:rPr>
              <w:t>.</w:t>
            </w:r>
          </w:p>
        </w:tc>
      </w:tr>
    </w:tbl>
    <w:p w14:paraId="759891B5" w14:textId="77777777" w:rsidR="00FE700C" w:rsidRDefault="00FE700C" w:rsidP="00EA32DB">
      <w:pPr>
        <w:pStyle w:val="NoSpacing"/>
        <w:sectPr w:rsidR="00FE700C" w:rsidSect="00ED208F">
          <w:pgSz w:w="15840" w:h="12240" w:orient="landscape"/>
          <w:pgMar w:top="720" w:right="720" w:bottom="720" w:left="720" w:header="504" w:footer="504" w:gutter="0"/>
          <w:pgBorders w:offsetFrom="page">
            <w:top w:val="single" w:sz="4" w:space="24" w:color="BFBFBF" w:themeColor="background1" w:themeShade="BF"/>
            <w:left w:val="single" w:sz="4" w:space="24" w:color="BFBFBF" w:themeColor="background1" w:themeShade="BF"/>
            <w:bottom w:val="single" w:sz="4" w:space="24" w:color="BFBFBF" w:themeColor="background1" w:themeShade="BF"/>
            <w:right w:val="single" w:sz="4" w:space="24" w:color="BFBFBF" w:themeColor="background1" w:themeShade="BF"/>
          </w:pgBorders>
          <w:cols w:space="720"/>
          <w:docGrid w:linePitch="360"/>
        </w:sectPr>
      </w:pPr>
    </w:p>
    <w:p w14:paraId="48F9DE7D" w14:textId="48F06DC2" w:rsidR="00F92181" w:rsidRDefault="00C00AC7" w:rsidP="00066B7E">
      <w:pPr>
        <w:pStyle w:val="Heading3"/>
      </w:pPr>
      <w:bookmarkStart w:id="19" w:name="_Toc140755470"/>
      <w:r>
        <w:lastRenderedPageBreak/>
        <w:t>Tenant-B</w:t>
      </w:r>
      <w:r w:rsidR="00DE659E" w:rsidRPr="00FE700C">
        <w:t xml:space="preserve">ased </w:t>
      </w:r>
      <w:r w:rsidR="00603EE4" w:rsidRPr="00FE700C">
        <w:t>R</w:t>
      </w:r>
      <w:r w:rsidR="00DE659E" w:rsidRPr="00FE700C">
        <w:t xml:space="preserve">ental </w:t>
      </w:r>
      <w:r w:rsidR="00603EE4" w:rsidRPr="00FE700C">
        <w:t>A</w:t>
      </w:r>
      <w:r w:rsidR="00DE659E" w:rsidRPr="00FE700C">
        <w:t xml:space="preserve">ssistance </w:t>
      </w:r>
      <w:r w:rsidR="00F92181" w:rsidRPr="00FE700C">
        <w:t>(TBRA)</w:t>
      </w:r>
      <w:r w:rsidR="00B20BFB" w:rsidRPr="00FE700C">
        <w:t xml:space="preserve"> Services</w:t>
      </w:r>
      <w:bookmarkEnd w:id="19"/>
    </w:p>
    <w:p w14:paraId="15E1087F" w14:textId="77777777" w:rsidR="00F92181" w:rsidRPr="00997CAD" w:rsidRDefault="00F92181">
      <w:pPr>
        <w:pStyle w:val="NoSpacing"/>
        <w:numPr>
          <w:ilvl w:val="1"/>
          <w:numId w:val="85"/>
        </w:numPr>
        <w:rPr>
          <w:rFonts w:cs="Times New Roman"/>
          <w:b/>
          <w:u w:val="single"/>
        </w:rPr>
      </w:pPr>
      <w:r w:rsidRPr="00997CAD">
        <w:rPr>
          <w:rFonts w:cs="Times New Roman"/>
          <w:b/>
          <w:u w:val="single"/>
        </w:rPr>
        <w:t>Purpose</w:t>
      </w:r>
    </w:p>
    <w:p w14:paraId="2CB776F9" w14:textId="34148B89" w:rsidR="00035FB9" w:rsidRDefault="00F92181">
      <w:pPr>
        <w:pStyle w:val="NoSpacing"/>
        <w:ind w:left="720"/>
        <w:rPr>
          <w:rFonts w:cs="Times New Roman"/>
        </w:rPr>
      </w:pPr>
      <w:r w:rsidRPr="008026D4">
        <w:rPr>
          <w:rFonts w:cs="Times New Roman"/>
        </w:rPr>
        <w:t xml:space="preserve">TBRA </w:t>
      </w:r>
      <w:r w:rsidR="008C271C">
        <w:rPr>
          <w:rFonts w:cs="Times New Roman"/>
        </w:rPr>
        <w:t>provides</w:t>
      </w:r>
      <w:r w:rsidR="008C271C" w:rsidRPr="008026D4">
        <w:rPr>
          <w:rFonts w:cs="Times New Roman"/>
        </w:rPr>
        <w:t xml:space="preserve"> </w:t>
      </w:r>
      <w:r w:rsidR="00DE659E" w:rsidRPr="008026D4">
        <w:rPr>
          <w:rFonts w:cs="Times New Roman"/>
        </w:rPr>
        <w:t>a</w:t>
      </w:r>
      <w:r w:rsidR="005E2C25">
        <w:rPr>
          <w:rFonts w:cs="Times New Roman"/>
        </w:rPr>
        <w:t>n ongoing and</w:t>
      </w:r>
      <w:r w:rsidR="00DE659E" w:rsidRPr="008026D4">
        <w:rPr>
          <w:rFonts w:cs="Times New Roman"/>
        </w:rPr>
        <w:t xml:space="preserve"> </w:t>
      </w:r>
      <w:r w:rsidR="002C5741">
        <w:rPr>
          <w:rFonts w:cs="Times New Roman"/>
        </w:rPr>
        <w:t xml:space="preserve">portable </w:t>
      </w:r>
      <w:r w:rsidR="00DE659E" w:rsidRPr="008026D4">
        <w:rPr>
          <w:rFonts w:cs="Times New Roman"/>
        </w:rPr>
        <w:t xml:space="preserve">rental subsidy </w:t>
      </w:r>
      <w:r w:rsidR="002C5741">
        <w:rPr>
          <w:rFonts w:cs="Times New Roman"/>
        </w:rPr>
        <w:t>that</w:t>
      </w:r>
      <w:r w:rsidR="00DE659E" w:rsidRPr="008026D4">
        <w:rPr>
          <w:rFonts w:cs="Times New Roman"/>
        </w:rPr>
        <w:t xml:space="preserve"> help</w:t>
      </w:r>
      <w:r w:rsidR="002C5741">
        <w:rPr>
          <w:rFonts w:cs="Times New Roman"/>
        </w:rPr>
        <w:t>s</w:t>
      </w:r>
      <w:r w:rsidR="00DE659E" w:rsidRPr="008026D4">
        <w:rPr>
          <w:rFonts w:cs="Times New Roman"/>
        </w:rPr>
        <w:t xml:space="preserve"> </w:t>
      </w:r>
      <w:r w:rsidR="00035FB9" w:rsidRPr="008026D4">
        <w:rPr>
          <w:rFonts w:cs="Times New Roman"/>
        </w:rPr>
        <w:t>households</w:t>
      </w:r>
      <w:r w:rsidR="00DE659E" w:rsidRPr="008026D4">
        <w:rPr>
          <w:rFonts w:cs="Times New Roman"/>
        </w:rPr>
        <w:t xml:space="preserve"> obtain</w:t>
      </w:r>
      <w:r w:rsidR="007C170B">
        <w:rPr>
          <w:rFonts w:cs="Times New Roman"/>
        </w:rPr>
        <w:t xml:space="preserve"> or maintain</w:t>
      </w:r>
      <w:r w:rsidR="00DE659E" w:rsidRPr="008026D4">
        <w:rPr>
          <w:rFonts w:cs="Times New Roman"/>
        </w:rPr>
        <w:t xml:space="preserve"> permanent housing, including assistance for shared housing arrangements, in the private rental housing market</w:t>
      </w:r>
      <w:r w:rsidR="00FF787E" w:rsidRPr="008026D4">
        <w:rPr>
          <w:rFonts w:cs="Times New Roman"/>
        </w:rPr>
        <w:t xml:space="preserve"> </w:t>
      </w:r>
      <w:r w:rsidR="00035FB9" w:rsidRPr="008026D4">
        <w:rPr>
          <w:rFonts w:cs="Times New Roman"/>
        </w:rPr>
        <w:t xml:space="preserve">until they </w:t>
      </w:r>
      <w:r w:rsidR="00967D3B">
        <w:rPr>
          <w:rFonts w:cs="Times New Roman"/>
        </w:rPr>
        <w:t>can</w:t>
      </w:r>
      <w:r w:rsidR="00035FB9" w:rsidRPr="008026D4">
        <w:rPr>
          <w:rFonts w:cs="Times New Roman"/>
        </w:rPr>
        <w:t xml:space="preserve"> enroll in the </w:t>
      </w:r>
      <w:r w:rsidR="00863178">
        <w:rPr>
          <w:rFonts w:cs="Times New Roman"/>
        </w:rPr>
        <w:t>Housing Choice Voucher Program (</w:t>
      </w:r>
      <w:r w:rsidR="00C2594C">
        <w:rPr>
          <w:rFonts w:cs="Times New Roman"/>
        </w:rPr>
        <w:t>HCVP</w:t>
      </w:r>
      <w:r w:rsidR="00863178">
        <w:rPr>
          <w:rFonts w:cs="Times New Roman"/>
        </w:rPr>
        <w:t>)</w:t>
      </w:r>
      <w:r w:rsidR="00035FB9" w:rsidRPr="008026D4">
        <w:rPr>
          <w:rFonts w:cs="Times New Roman"/>
        </w:rPr>
        <w:t xml:space="preserve"> or other affordable housing programs.</w:t>
      </w:r>
      <w:r w:rsidR="006B378E" w:rsidRPr="008026D4">
        <w:rPr>
          <w:rFonts w:cs="Times New Roman"/>
        </w:rPr>
        <w:t xml:space="preserve"> Under TBRA, household</w:t>
      </w:r>
      <w:r w:rsidR="00FD0FCE">
        <w:rPr>
          <w:rFonts w:cs="Times New Roman"/>
        </w:rPr>
        <w:t>s</w:t>
      </w:r>
      <w:r w:rsidR="006B378E" w:rsidRPr="008026D4">
        <w:rPr>
          <w:rFonts w:cs="Times New Roman"/>
        </w:rPr>
        <w:t xml:space="preserve"> select a housing unit of their </w:t>
      </w:r>
      <w:r w:rsidR="006B378E" w:rsidRPr="007B7A59">
        <w:rPr>
          <w:rFonts w:cs="Times New Roman"/>
        </w:rPr>
        <w:t xml:space="preserve">choice. </w:t>
      </w:r>
      <w:r w:rsidR="000B3112" w:rsidRPr="007B7A59">
        <w:rPr>
          <w:rFonts w:cs="Times New Roman"/>
        </w:rPr>
        <w:t xml:space="preserve">Unlike </w:t>
      </w:r>
      <w:r w:rsidR="00BB1AF9" w:rsidRPr="00DE48B8">
        <w:rPr>
          <w:rFonts w:cs="Times New Roman"/>
        </w:rPr>
        <w:t>FBRA</w:t>
      </w:r>
      <w:r w:rsidR="000B3112" w:rsidRPr="007B7A59">
        <w:rPr>
          <w:rFonts w:cs="Times New Roman"/>
        </w:rPr>
        <w:t>, services do not link to a specific unit</w:t>
      </w:r>
      <w:r w:rsidR="000B3112" w:rsidRPr="00DE48B8">
        <w:rPr>
          <w:rFonts w:cs="Times New Roman"/>
        </w:rPr>
        <w:t>.</w:t>
      </w:r>
      <w:r w:rsidR="000B3112" w:rsidRPr="007B7A59">
        <w:rPr>
          <w:rFonts w:cs="Times New Roman"/>
        </w:rPr>
        <w:t xml:space="preserve"> </w:t>
      </w:r>
      <w:r w:rsidR="006B378E" w:rsidRPr="007B7A59">
        <w:rPr>
          <w:rFonts w:cs="Times New Roman"/>
        </w:rPr>
        <w:t xml:space="preserve">If </w:t>
      </w:r>
      <w:r w:rsidR="00FD0FCE" w:rsidRPr="007B7A59">
        <w:rPr>
          <w:rFonts w:cs="Times New Roman"/>
        </w:rPr>
        <w:t xml:space="preserve">a </w:t>
      </w:r>
      <w:r w:rsidR="006B378E" w:rsidRPr="007B7A59">
        <w:rPr>
          <w:rFonts w:cs="Times New Roman"/>
        </w:rPr>
        <w:t>household moves out of the</w:t>
      </w:r>
      <w:r w:rsidR="00FD0FCE" w:rsidRPr="007B7A59">
        <w:rPr>
          <w:rFonts w:cs="Times New Roman"/>
        </w:rPr>
        <w:t>ir</w:t>
      </w:r>
      <w:r w:rsidR="006B378E" w:rsidRPr="007B7A59">
        <w:rPr>
          <w:rFonts w:cs="Times New Roman"/>
        </w:rPr>
        <w:t xml:space="preserve"> unit, the</w:t>
      </w:r>
      <w:r w:rsidR="00FD0FCE" w:rsidRPr="007B7A59">
        <w:rPr>
          <w:rFonts w:cs="Times New Roman"/>
        </w:rPr>
        <w:t>y</w:t>
      </w:r>
      <w:r w:rsidR="006B378E" w:rsidRPr="007B7A59">
        <w:rPr>
          <w:rFonts w:cs="Times New Roman"/>
        </w:rPr>
        <w:t xml:space="preserve"> </w:t>
      </w:r>
      <w:r w:rsidR="00FD0FCE" w:rsidRPr="007B7A59">
        <w:rPr>
          <w:rFonts w:cs="Times New Roman"/>
        </w:rPr>
        <w:t>may transfer their</w:t>
      </w:r>
      <w:r w:rsidR="006B378E" w:rsidRPr="007B7A59">
        <w:rPr>
          <w:rFonts w:cs="Times New Roman"/>
        </w:rPr>
        <w:t xml:space="preserve"> assistance to another unit</w:t>
      </w:r>
      <w:r w:rsidR="000B3112" w:rsidRPr="00DE48B8">
        <w:rPr>
          <w:rFonts w:cs="Times New Roman"/>
        </w:rPr>
        <w:t>, subject to individual program rules</w:t>
      </w:r>
      <w:r w:rsidR="006B378E" w:rsidRPr="007B7A59">
        <w:rPr>
          <w:rFonts w:cs="Times New Roman"/>
        </w:rPr>
        <w:t xml:space="preserve">. </w:t>
      </w:r>
      <w:r w:rsidR="00035FB9" w:rsidRPr="007B7A59">
        <w:rPr>
          <w:rFonts w:cs="Times New Roman"/>
        </w:rPr>
        <w:t>TBRA households that fail to apply for the</w:t>
      </w:r>
      <w:r w:rsidR="00035FB9" w:rsidRPr="008026D4">
        <w:rPr>
          <w:rFonts w:cs="Times New Roman"/>
        </w:rPr>
        <w:t xml:space="preserve"> HCV</w:t>
      </w:r>
      <w:r w:rsidR="00C2594C">
        <w:rPr>
          <w:rFonts w:cs="Times New Roman"/>
        </w:rPr>
        <w:t xml:space="preserve">P </w:t>
      </w:r>
      <w:r w:rsidR="00035FB9" w:rsidRPr="008026D4">
        <w:rPr>
          <w:rFonts w:cs="Times New Roman"/>
        </w:rPr>
        <w:t xml:space="preserve">and other affordable housing programs, renew applications as required, and/or accept assistance as offered </w:t>
      </w:r>
      <w:r w:rsidR="00B44E3E">
        <w:rPr>
          <w:rFonts w:cs="Times New Roman"/>
        </w:rPr>
        <w:t>may</w:t>
      </w:r>
      <w:r w:rsidR="00035FB9" w:rsidRPr="008026D4">
        <w:rPr>
          <w:rFonts w:cs="Times New Roman"/>
        </w:rPr>
        <w:t xml:space="preserve"> be terminated from the program</w:t>
      </w:r>
      <w:r w:rsidR="00244F41">
        <w:rPr>
          <w:rFonts w:cs="Times New Roman"/>
        </w:rPr>
        <w:t xml:space="preserve"> (see Section 11</w:t>
      </w:r>
      <w:r w:rsidR="000E74CF">
        <w:rPr>
          <w:rFonts w:cs="Times New Roman"/>
        </w:rPr>
        <w:t xml:space="preserve">. </w:t>
      </w:r>
      <w:r w:rsidR="000E74CF" w:rsidRPr="000E74CF">
        <w:rPr>
          <w:rFonts w:cs="Times New Roman"/>
        </w:rPr>
        <w:t>Linkage w</w:t>
      </w:r>
      <w:r w:rsidR="00244F41">
        <w:rPr>
          <w:rFonts w:cs="Times New Roman"/>
        </w:rPr>
        <w:t xml:space="preserve">ith </w:t>
      </w:r>
      <w:r w:rsidR="000E74CF" w:rsidRPr="000E74CF">
        <w:rPr>
          <w:rFonts w:cs="Times New Roman"/>
        </w:rPr>
        <w:t>Other Affordable Housing Programs</w:t>
      </w:r>
      <w:r w:rsidR="00035FB9" w:rsidRPr="008026D4">
        <w:rPr>
          <w:rFonts w:cs="Times New Roman"/>
        </w:rPr>
        <w:t>)</w:t>
      </w:r>
      <w:r w:rsidR="006B378E" w:rsidRPr="008026D4">
        <w:rPr>
          <w:rFonts w:cs="Times New Roman"/>
        </w:rPr>
        <w:t>.</w:t>
      </w:r>
    </w:p>
    <w:p w14:paraId="636F63AC" w14:textId="77777777" w:rsidR="00BE4BAB" w:rsidRPr="008026D4" w:rsidRDefault="00BE4BAB">
      <w:pPr>
        <w:pStyle w:val="NoSpacing"/>
        <w:ind w:left="720"/>
        <w:rPr>
          <w:rFonts w:cs="Times New Roman"/>
        </w:rPr>
      </w:pPr>
    </w:p>
    <w:p w14:paraId="762F56BE" w14:textId="644C9741" w:rsidR="00F92181" w:rsidRDefault="00BD3E63">
      <w:pPr>
        <w:pStyle w:val="NoSpacing"/>
        <w:numPr>
          <w:ilvl w:val="1"/>
          <w:numId w:val="85"/>
        </w:numPr>
        <w:rPr>
          <w:rFonts w:cs="Times New Roman"/>
          <w:b/>
          <w:u w:val="single"/>
        </w:rPr>
      </w:pPr>
      <w:r w:rsidRPr="00997CAD">
        <w:rPr>
          <w:rFonts w:cs="Times New Roman"/>
          <w:b/>
          <w:u w:val="single"/>
        </w:rPr>
        <w:t>Eligible</w:t>
      </w:r>
      <w:r w:rsidR="00F92181" w:rsidRPr="00997CAD">
        <w:rPr>
          <w:rFonts w:cs="Times New Roman"/>
          <w:b/>
          <w:u w:val="single"/>
        </w:rPr>
        <w:t xml:space="preserve"> Costs</w:t>
      </w:r>
    </w:p>
    <w:p w14:paraId="4473FA1E" w14:textId="4C0A9F4D" w:rsidR="00750637" w:rsidRDefault="00750637" w:rsidP="00750637">
      <w:pPr>
        <w:pStyle w:val="NoSpacing"/>
        <w:numPr>
          <w:ilvl w:val="2"/>
          <w:numId w:val="85"/>
        </w:numPr>
        <w:rPr>
          <w:rFonts w:cs="Times New Roman"/>
          <w:b/>
          <w:bCs/>
        </w:rPr>
      </w:pPr>
      <w:r w:rsidRPr="002A61C8">
        <w:rPr>
          <w:rFonts w:cs="Times New Roman"/>
          <w:b/>
          <w:bCs/>
        </w:rPr>
        <w:t>Service Delivery Costs</w:t>
      </w:r>
    </w:p>
    <w:p w14:paraId="4E8E3D4A" w14:textId="32177046" w:rsidR="00750637" w:rsidRDefault="00BB3C4D" w:rsidP="00750637">
      <w:pPr>
        <w:pStyle w:val="NoSpacing"/>
        <w:ind w:left="1440"/>
        <w:rPr>
          <w:rFonts w:cs="Times New Roman"/>
        </w:rPr>
      </w:pPr>
      <w:r>
        <w:rPr>
          <w:rFonts w:cs="Times New Roman"/>
        </w:rPr>
        <w:t xml:space="preserve">Generally, service delivery costs include </w:t>
      </w:r>
      <w:r w:rsidRPr="00BB3C4D">
        <w:rPr>
          <w:rFonts w:cs="Times New Roman"/>
        </w:rPr>
        <w:t xml:space="preserve">personnel, travel, equipment, </w:t>
      </w:r>
      <w:r>
        <w:rPr>
          <w:rFonts w:cs="Times New Roman"/>
        </w:rPr>
        <w:t>and supplies</w:t>
      </w:r>
      <w:r w:rsidRPr="00BB3C4D">
        <w:rPr>
          <w:rFonts w:cs="Times New Roman"/>
        </w:rPr>
        <w:t>. Costs must be</w:t>
      </w:r>
      <w:r>
        <w:rPr>
          <w:rFonts w:cs="Times New Roman"/>
        </w:rPr>
        <w:t xml:space="preserve"> </w:t>
      </w:r>
      <w:r w:rsidR="00D47D01">
        <w:rPr>
          <w:rFonts w:cs="Times New Roman"/>
        </w:rPr>
        <w:t xml:space="preserve">necessary, </w:t>
      </w:r>
      <w:r>
        <w:rPr>
          <w:rFonts w:cs="Times New Roman"/>
        </w:rPr>
        <w:t>reasonable, allowable, documented</w:t>
      </w:r>
      <w:r w:rsidR="0096731F">
        <w:rPr>
          <w:rFonts w:cs="Times New Roman"/>
        </w:rPr>
        <w:t>,</w:t>
      </w:r>
      <w:r>
        <w:rPr>
          <w:rFonts w:cs="Times New Roman"/>
        </w:rPr>
        <w:t xml:space="preserve"> and allocable to TBRA</w:t>
      </w:r>
      <w:r w:rsidRPr="00BB3C4D">
        <w:rPr>
          <w:rFonts w:cs="Times New Roman"/>
        </w:rPr>
        <w:t>.</w:t>
      </w:r>
      <w:r>
        <w:rPr>
          <w:rFonts w:cs="Times New Roman"/>
        </w:rPr>
        <w:t xml:space="preserve"> TBRA service delivery </w:t>
      </w:r>
      <w:r w:rsidR="0026256B">
        <w:rPr>
          <w:rFonts w:cs="Times New Roman"/>
        </w:rPr>
        <w:t>activities</w:t>
      </w:r>
      <w:r>
        <w:rPr>
          <w:rFonts w:cs="Times New Roman"/>
        </w:rPr>
        <w:t xml:space="preserve"> may include:</w:t>
      </w:r>
    </w:p>
    <w:p w14:paraId="00CE16C1" w14:textId="77777777" w:rsidR="0096731F" w:rsidRDefault="0096731F" w:rsidP="00FD5ABA">
      <w:pPr>
        <w:pStyle w:val="NoSpacing"/>
        <w:numPr>
          <w:ilvl w:val="0"/>
          <w:numId w:val="141"/>
        </w:numPr>
        <w:ind w:left="1890" w:hanging="450"/>
        <w:rPr>
          <w:rFonts w:ascii="Calibri" w:hAnsi="Calibri" w:cs="Calibri"/>
          <w:szCs w:val="20"/>
        </w:rPr>
      </w:pPr>
      <w:r>
        <w:rPr>
          <w:rFonts w:ascii="Calibri" w:hAnsi="Calibri" w:cs="Calibri"/>
          <w:szCs w:val="20"/>
        </w:rPr>
        <w:t>Assessing housing status and needs</w:t>
      </w:r>
    </w:p>
    <w:p w14:paraId="7D4BA694" w14:textId="77777777" w:rsidR="0096731F" w:rsidRPr="005D2A73" w:rsidRDefault="0096731F" w:rsidP="00FD5ABA">
      <w:pPr>
        <w:pStyle w:val="NoSpacing"/>
        <w:numPr>
          <w:ilvl w:val="0"/>
          <w:numId w:val="141"/>
        </w:numPr>
        <w:ind w:left="1890" w:hanging="450"/>
        <w:rPr>
          <w:rFonts w:ascii="Calibri" w:hAnsi="Calibri" w:cs="Calibri"/>
          <w:szCs w:val="20"/>
        </w:rPr>
      </w:pPr>
      <w:r w:rsidRPr="005D2A73">
        <w:rPr>
          <w:rFonts w:ascii="Calibri" w:hAnsi="Calibri" w:cs="Calibri"/>
          <w:szCs w:val="20"/>
        </w:rPr>
        <w:t xml:space="preserve">Collecting program eligibility documentation </w:t>
      </w:r>
      <w:r>
        <w:rPr>
          <w:rFonts w:ascii="Calibri" w:hAnsi="Calibri" w:cs="Calibri"/>
          <w:szCs w:val="20"/>
        </w:rPr>
        <w:t>and qualifying households for</w:t>
      </w:r>
      <w:r w:rsidRPr="005D2A73">
        <w:rPr>
          <w:rFonts w:ascii="Calibri" w:hAnsi="Calibri" w:cs="Calibri"/>
          <w:szCs w:val="20"/>
        </w:rPr>
        <w:t xml:space="preserve"> services</w:t>
      </w:r>
    </w:p>
    <w:p w14:paraId="5A426C02" w14:textId="77777777" w:rsidR="0096731F" w:rsidRPr="00164C95" w:rsidRDefault="0096731F" w:rsidP="00FD5ABA">
      <w:pPr>
        <w:pStyle w:val="NoSpacing"/>
        <w:numPr>
          <w:ilvl w:val="0"/>
          <w:numId w:val="141"/>
        </w:numPr>
        <w:ind w:left="1890" w:hanging="450"/>
        <w:rPr>
          <w:rFonts w:ascii="Calibri" w:hAnsi="Calibri" w:cs="Calibri"/>
          <w:szCs w:val="20"/>
        </w:rPr>
      </w:pPr>
      <w:r w:rsidRPr="00164C95">
        <w:rPr>
          <w:rFonts w:ascii="Calibri" w:hAnsi="Calibri" w:cs="Calibri"/>
          <w:szCs w:val="20"/>
        </w:rPr>
        <w:t>Performing initial eligibility certifications and annual</w:t>
      </w:r>
      <w:r>
        <w:rPr>
          <w:rFonts w:ascii="Calibri" w:hAnsi="Calibri" w:cs="Calibri"/>
          <w:szCs w:val="20"/>
        </w:rPr>
        <w:t xml:space="preserve"> and interim</w:t>
      </w:r>
      <w:r w:rsidRPr="00164C95">
        <w:rPr>
          <w:rFonts w:ascii="Calibri" w:hAnsi="Calibri" w:cs="Calibri"/>
          <w:szCs w:val="20"/>
        </w:rPr>
        <w:t xml:space="preserve"> eligibility recertifications</w:t>
      </w:r>
    </w:p>
    <w:p w14:paraId="413671DA" w14:textId="3820D492" w:rsidR="0096731F" w:rsidRPr="00164C95" w:rsidRDefault="0096731F" w:rsidP="00FD5ABA">
      <w:pPr>
        <w:pStyle w:val="NoSpacing"/>
        <w:numPr>
          <w:ilvl w:val="0"/>
          <w:numId w:val="141"/>
        </w:numPr>
        <w:ind w:left="1890" w:hanging="450"/>
        <w:rPr>
          <w:rFonts w:ascii="Calibri" w:hAnsi="Calibri" w:cs="Calibri"/>
          <w:szCs w:val="20"/>
        </w:rPr>
      </w:pPr>
      <w:r w:rsidRPr="00164C95">
        <w:rPr>
          <w:rFonts w:ascii="Calibri" w:hAnsi="Calibri" w:cs="Calibri"/>
          <w:szCs w:val="20"/>
        </w:rPr>
        <w:t xml:space="preserve">Referring </w:t>
      </w:r>
      <w:r w:rsidR="00C9681D">
        <w:rPr>
          <w:rFonts w:ascii="Calibri" w:hAnsi="Calibri" w:cs="Calibri"/>
          <w:szCs w:val="20"/>
        </w:rPr>
        <w:t xml:space="preserve">ineligible households </w:t>
      </w:r>
      <w:r w:rsidRPr="00164C95">
        <w:rPr>
          <w:rFonts w:ascii="Calibri" w:hAnsi="Calibri" w:cs="Calibri"/>
          <w:szCs w:val="20"/>
        </w:rPr>
        <w:t xml:space="preserve">to other housing assistance </w:t>
      </w:r>
      <w:r w:rsidR="00910D9D">
        <w:rPr>
          <w:rFonts w:ascii="Calibri" w:hAnsi="Calibri" w:cs="Calibri"/>
          <w:szCs w:val="20"/>
        </w:rPr>
        <w:t>services</w:t>
      </w:r>
    </w:p>
    <w:p w14:paraId="60BA8BF7" w14:textId="77777777" w:rsidR="0096731F" w:rsidRDefault="0096731F" w:rsidP="00FD5ABA">
      <w:pPr>
        <w:pStyle w:val="NoSpacing"/>
        <w:numPr>
          <w:ilvl w:val="0"/>
          <w:numId w:val="141"/>
        </w:numPr>
        <w:ind w:left="1890" w:hanging="450"/>
        <w:rPr>
          <w:rFonts w:ascii="Calibri" w:hAnsi="Calibri" w:cs="Calibri"/>
          <w:szCs w:val="20"/>
        </w:rPr>
      </w:pPr>
      <w:r w:rsidRPr="00164C95">
        <w:rPr>
          <w:rFonts w:ascii="Calibri" w:hAnsi="Calibri" w:cs="Calibri"/>
          <w:szCs w:val="20"/>
        </w:rPr>
        <w:t>Completing the File Structure Checklist</w:t>
      </w:r>
      <w:r>
        <w:rPr>
          <w:rFonts w:ascii="Calibri" w:hAnsi="Calibri" w:cs="Calibri"/>
          <w:szCs w:val="20"/>
        </w:rPr>
        <w:t xml:space="preserve"> and </w:t>
      </w:r>
      <w:r w:rsidRPr="00164C95">
        <w:rPr>
          <w:rFonts w:ascii="Calibri" w:hAnsi="Calibri" w:cs="Calibri"/>
          <w:szCs w:val="20"/>
        </w:rPr>
        <w:t>Forms A, B, C, D, E, F, G, H, I, J, O, and P</w:t>
      </w:r>
    </w:p>
    <w:p w14:paraId="6F985F6A" w14:textId="77777777" w:rsidR="0096731F" w:rsidRPr="00164C95" w:rsidRDefault="0096731F" w:rsidP="00FD5ABA">
      <w:pPr>
        <w:pStyle w:val="NoSpacing"/>
        <w:numPr>
          <w:ilvl w:val="0"/>
          <w:numId w:val="141"/>
        </w:numPr>
        <w:ind w:left="1890" w:hanging="450"/>
        <w:rPr>
          <w:rFonts w:ascii="Calibri" w:hAnsi="Calibri" w:cs="Calibri"/>
          <w:szCs w:val="20"/>
        </w:rPr>
      </w:pPr>
      <w:r>
        <w:rPr>
          <w:rFonts w:ascii="Calibri" w:hAnsi="Calibri" w:cs="Calibri"/>
          <w:szCs w:val="20"/>
        </w:rPr>
        <w:t>Completing and distributing applicable VAWA materials</w:t>
      </w:r>
    </w:p>
    <w:p w14:paraId="439159CC" w14:textId="42239ED8" w:rsidR="0096731F" w:rsidRPr="00164C95" w:rsidRDefault="0096731F" w:rsidP="00FD5ABA">
      <w:pPr>
        <w:pStyle w:val="NoSpacing"/>
        <w:numPr>
          <w:ilvl w:val="0"/>
          <w:numId w:val="141"/>
        </w:numPr>
        <w:ind w:left="1890" w:hanging="450"/>
        <w:rPr>
          <w:rFonts w:ascii="Calibri" w:hAnsi="Calibri" w:cs="Calibri"/>
          <w:szCs w:val="20"/>
        </w:rPr>
      </w:pPr>
      <w:r w:rsidRPr="00164C95">
        <w:rPr>
          <w:rFonts w:ascii="Calibri" w:hAnsi="Calibri" w:cs="Calibri"/>
          <w:szCs w:val="20"/>
        </w:rPr>
        <w:t xml:space="preserve">Collecting supporting documentation </w:t>
      </w:r>
      <w:r>
        <w:rPr>
          <w:rFonts w:ascii="Calibri" w:hAnsi="Calibri" w:cs="Calibri"/>
          <w:szCs w:val="20"/>
        </w:rPr>
        <w:t xml:space="preserve">and attaching it </w:t>
      </w:r>
      <w:r w:rsidRPr="00164C95">
        <w:rPr>
          <w:rFonts w:ascii="Calibri" w:hAnsi="Calibri" w:cs="Calibri"/>
          <w:szCs w:val="20"/>
        </w:rPr>
        <w:t xml:space="preserve">to </w:t>
      </w:r>
      <w:r>
        <w:rPr>
          <w:rFonts w:ascii="Calibri" w:hAnsi="Calibri" w:cs="Calibri"/>
          <w:szCs w:val="20"/>
        </w:rPr>
        <w:t xml:space="preserve">program forms </w:t>
      </w:r>
      <w:r w:rsidR="00FD5ABA">
        <w:rPr>
          <w:rFonts w:ascii="Calibri" w:hAnsi="Calibri" w:cs="Calibri"/>
          <w:szCs w:val="20"/>
        </w:rPr>
        <w:t>if required</w:t>
      </w:r>
      <w:r>
        <w:rPr>
          <w:rFonts w:ascii="Calibri" w:hAnsi="Calibri" w:cs="Calibri"/>
          <w:szCs w:val="20"/>
        </w:rPr>
        <w:t xml:space="preserve"> or</w:t>
      </w:r>
      <w:r w:rsidR="00910D9D">
        <w:rPr>
          <w:rFonts w:ascii="Calibri" w:hAnsi="Calibri" w:cs="Calibri"/>
          <w:szCs w:val="20"/>
        </w:rPr>
        <w:t xml:space="preserve"> </w:t>
      </w:r>
      <w:r w:rsidRPr="00164C95">
        <w:rPr>
          <w:rFonts w:ascii="Calibri" w:hAnsi="Calibri" w:cs="Calibri"/>
          <w:szCs w:val="20"/>
        </w:rPr>
        <w:t>applicable</w:t>
      </w:r>
    </w:p>
    <w:p w14:paraId="3A2EBD5A" w14:textId="77777777" w:rsidR="0096731F" w:rsidRPr="00164C95" w:rsidRDefault="0096731F" w:rsidP="00FD5ABA">
      <w:pPr>
        <w:pStyle w:val="NoSpacing"/>
        <w:numPr>
          <w:ilvl w:val="0"/>
          <w:numId w:val="141"/>
        </w:numPr>
        <w:ind w:left="1890" w:hanging="450"/>
        <w:rPr>
          <w:rFonts w:ascii="Calibri" w:hAnsi="Calibri" w:cs="Calibri"/>
          <w:szCs w:val="20"/>
        </w:rPr>
      </w:pPr>
      <w:r w:rsidRPr="00164C95">
        <w:rPr>
          <w:rFonts w:ascii="Calibri" w:hAnsi="Calibri" w:cs="Calibri"/>
          <w:szCs w:val="20"/>
        </w:rPr>
        <w:t xml:space="preserve">Traveling to proposed units </w:t>
      </w:r>
      <w:r>
        <w:rPr>
          <w:rFonts w:ascii="Calibri" w:hAnsi="Calibri" w:cs="Calibri"/>
          <w:szCs w:val="20"/>
        </w:rPr>
        <w:t>to complete</w:t>
      </w:r>
      <w:r w:rsidRPr="00164C95">
        <w:rPr>
          <w:rFonts w:ascii="Calibri" w:hAnsi="Calibri" w:cs="Calibri"/>
          <w:szCs w:val="20"/>
        </w:rPr>
        <w:t xml:space="preserve"> </w:t>
      </w:r>
      <w:r>
        <w:rPr>
          <w:rFonts w:ascii="Calibri" w:hAnsi="Calibri" w:cs="Calibri"/>
          <w:szCs w:val="20"/>
        </w:rPr>
        <w:t>HQS inspections</w:t>
      </w:r>
    </w:p>
    <w:p w14:paraId="2E230229" w14:textId="115A97DC" w:rsidR="0096731F" w:rsidRDefault="0096731F" w:rsidP="00FD5ABA">
      <w:pPr>
        <w:pStyle w:val="NoSpacing"/>
        <w:numPr>
          <w:ilvl w:val="0"/>
          <w:numId w:val="141"/>
        </w:numPr>
        <w:ind w:left="1890" w:hanging="450"/>
        <w:rPr>
          <w:rFonts w:ascii="Calibri" w:hAnsi="Calibri" w:cs="Calibri"/>
          <w:szCs w:val="20"/>
        </w:rPr>
      </w:pPr>
      <w:r w:rsidRPr="00164C95">
        <w:rPr>
          <w:rFonts w:ascii="Calibri" w:hAnsi="Calibri" w:cs="Calibri"/>
          <w:szCs w:val="20"/>
        </w:rPr>
        <w:t>Communicating with owners</w:t>
      </w:r>
      <w:r>
        <w:rPr>
          <w:rFonts w:ascii="Calibri" w:hAnsi="Calibri" w:cs="Calibri"/>
          <w:szCs w:val="20"/>
        </w:rPr>
        <w:t xml:space="preserve"> and</w:t>
      </w:r>
      <w:r w:rsidRPr="00164C95">
        <w:rPr>
          <w:rFonts w:ascii="Calibri" w:hAnsi="Calibri" w:cs="Calibri"/>
          <w:szCs w:val="20"/>
        </w:rPr>
        <w:t xml:space="preserve"> </w:t>
      </w:r>
      <w:r>
        <w:rPr>
          <w:rFonts w:ascii="Calibri" w:hAnsi="Calibri" w:cs="Calibri"/>
          <w:szCs w:val="20"/>
        </w:rPr>
        <w:t>utility</w:t>
      </w:r>
      <w:r w:rsidRPr="00164C95">
        <w:rPr>
          <w:rFonts w:ascii="Calibri" w:hAnsi="Calibri" w:cs="Calibri"/>
          <w:szCs w:val="20"/>
        </w:rPr>
        <w:t xml:space="preserve"> companies about program requirements</w:t>
      </w:r>
    </w:p>
    <w:p w14:paraId="011ED92D" w14:textId="76FDFE62" w:rsidR="00910D9D" w:rsidRPr="00164C95" w:rsidRDefault="00910D9D" w:rsidP="00FD5ABA">
      <w:pPr>
        <w:pStyle w:val="NoSpacing"/>
        <w:numPr>
          <w:ilvl w:val="0"/>
          <w:numId w:val="141"/>
        </w:numPr>
        <w:ind w:left="1890" w:hanging="450"/>
        <w:rPr>
          <w:rFonts w:ascii="Calibri" w:hAnsi="Calibri" w:cs="Calibri"/>
          <w:szCs w:val="20"/>
        </w:rPr>
      </w:pPr>
      <w:r>
        <w:rPr>
          <w:rFonts w:ascii="Calibri" w:hAnsi="Calibri" w:cs="Calibri"/>
          <w:szCs w:val="20"/>
        </w:rPr>
        <w:t xml:space="preserve">Reviewing </w:t>
      </w:r>
      <w:r w:rsidRPr="00910D9D">
        <w:rPr>
          <w:rFonts w:ascii="Calibri" w:hAnsi="Calibri" w:cs="Calibri"/>
          <w:szCs w:val="20"/>
        </w:rPr>
        <w:t xml:space="preserve">prospective leases </w:t>
      </w:r>
      <w:r>
        <w:rPr>
          <w:rFonts w:ascii="Calibri" w:hAnsi="Calibri" w:cs="Calibri"/>
          <w:szCs w:val="20"/>
        </w:rPr>
        <w:t>to ensure that they</w:t>
      </w:r>
      <w:r w:rsidRPr="00910D9D">
        <w:rPr>
          <w:rFonts w:ascii="Calibri" w:hAnsi="Calibri" w:cs="Calibri"/>
          <w:szCs w:val="20"/>
        </w:rPr>
        <w:t xml:space="preserve"> include and exclude certain provisions</w:t>
      </w:r>
    </w:p>
    <w:p w14:paraId="101697EB" w14:textId="77777777" w:rsidR="0096731F" w:rsidRDefault="0096731F" w:rsidP="00FD5ABA">
      <w:pPr>
        <w:pStyle w:val="NoSpacing"/>
        <w:numPr>
          <w:ilvl w:val="0"/>
          <w:numId w:val="141"/>
        </w:numPr>
        <w:ind w:left="1890" w:hanging="450"/>
        <w:rPr>
          <w:rFonts w:ascii="Calibri" w:hAnsi="Calibri" w:cs="Calibri"/>
          <w:szCs w:val="20"/>
        </w:rPr>
      </w:pPr>
      <w:r w:rsidRPr="00164C95">
        <w:rPr>
          <w:rFonts w:ascii="Calibri" w:hAnsi="Calibri" w:cs="Calibri"/>
          <w:szCs w:val="20"/>
        </w:rPr>
        <w:t>Requesting</w:t>
      </w:r>
      <w:r>
        <w:rPr>
          <w:rFonts w:ascii="Calibri" w:hAnsi="Calibri" w:cs="Calibri"/>
          <w:szCs w:val="20"/>
        </w:rPr>
        <w:t>, issuing, and documenting payments</w:t>
      </w:r>
    </w:p>
    <w:p w14:paraId="4DCECE9D" w14:textId="77777777" w:rsidR="0096731F" w:rsidRPr="00164C95" w:rsidRDefault="0096731F" w:rsidP="00FD5ABA">
      <w:pPr>
        <w:pStyle w:val="NoSpacing"/>
        <w:numPr>
          <w:ilvl w:val="0"/>
          <w:numId w:val="141"/>
        </w:numPr>
        <w:ind w:left="1890" w:hanging="450"/>
        <w:rPr>
          <w:rFonts w:ascii="Calibri" w:hAnsi="Calibri" w:cs="Calibri"/>
          <w:szCs w:val="20"/>
        </w:rPr>
      </w:pPr>
      <w:r w:rsidRPr="002428DE">
        <w:rPr>
          <w:rFonts w:ascii="Calibri" w:hAnsi="Calibri" w:cs="Calibri"/>
          <w:szCs w:val="20"/>
        </w:rPr>
        <w:t>Documenting housing assistance and supportive service outcomes</w:t>
      </w:r>
    </w:p>
    <w:p w14:paraId="11D93860" w14:textId="0985DAAB" w:rsidR="0096731F" w:rsidRDefault="0096731F" w:rsidP="00FD5ABA">
      <w:pPr>
        <w:pStyle w:val="NoSpacing"/>
        <w:numPr>
          <w:ilvl w:val="0"/>
          <w:numId w:val="141"/>
        </w:numPr>
        <w:ind w:left="1890" w:hanging="450"/>
        <w:rPr>
          <w:rFonts w:ascii="Calibri" w:hAnsi="Calibri" w:cs="Calibri"/>
          <w:szCs w:val="20"/>
        </w:rPr>
      </w:pPr>
      <w:r w:rsidRPr="00164C95">
        <w:rPr>
          <w:rFonts w:ascii="Calibri" w:hAnsi="Calibri" w:cs="Calibri"/>
          <w:szCs w:val="20"/>
        </w:rPr>
        <w:t>Recordkeeping</w:t>
      </w:r>
      <w:r>
        <w:rPr>
          <w:rFonts w:ascii="Calibri" w:hAnsi="Calibri" w:cs="Calibri"/>
          <w:szCs w:val="20"/>
        </w:rPr>
        <w:t>, logging time and effort, and maintaining case notes</w:t>
      </w:r>
    </w:p>
    <w:p w14:paraId="6F228D3D" w14:textId="095086DC" w:rsidR="00CA07B7" w:rsidRDefault="00CA07B7" w:rsidP="00FD5ABA">
      <w:pPr>
        <w:pStyle w:val="NoSpacing"/>
        <w:numPr>
          <w:ilvl w:val="0"/>
          <w:numId w:val="141"/>
        </w:numPr>
        <w:ind w:left="1890" w:hanging="450"/>
        <w:rPr>
          <w:rFonts w:ascii="Calibri" w:hAnsi="Calibri" w:cs="Calibri"/>
          <w:szCs w:val="20"/>
        </w:rPr>
      </w:pPr>
      <w:bookmarkStart w:id="20" w:name="_Hlk145588323"/>
      <w:r>
        <w:rPr>
          <w:rFonts w:ascii="Calibri" w:hAnsi="Calibri" w:cs="Calibri"/>
          <w:szCs w:val="20"/>
        </w:rPr>
        <w:t>Translating documents and interpreting speech</w:t>
      </w:r>
      <w:bookmarkEnd w:id="20"/>
    </w:p>
    <w:p w14:paraId="1D4BF69F" w14:textId="77777777" w:rsidR="0096731F" w:rsidRPr="002A61C8" w:rsidRDefault="0096731F" w:rsidP="002A61C8">
      <w:pPr>
        <w:pStyle w:val="NoSpacing"/>
        <w:ind w:left="1440"/>
        <w:rPr>
          <w:rFonts w:cs="Times New Roman"/>
        </w:rPr>
      </w:pPr>
    </w:p>
    <w:p w14:paraId="3E699D3F" w14:textId="1E791CFC" w:rsidR="00750637" w:rsidRDefault="00750637" w:rsidP="00750637">
      <w:pPr>
        <w:pStyle w:val="NoSpacing"/>
        <w:numPr>
          <w:ilvl w:val="2"/>
          <w:numId w:val="85"/>
        </w:numPr>
        <w:rPr>
          <w:rFonts w:cs="Times New Roman"/>
        </w:rPr>
      </w:pPr>
      <w:r w:rsidRPr="002A61C8">
        <w:rPr>
          <w:rFonts w:cs="Times New Roman"/>
          <w:b/>
          <w:bCs/>
        </w:rPr>
        <w:t>Housing Assistance Costs</w:t>
      </w:r>
    </w:p>
    <w:p w14:paraId="19E0D5B7" w14:textId="404E2996" w:rsidR="00BD3E63" w:rsidRDefault="00C95F48" w:rsidP="002A61C8">
      <w:pPr>
        <w:pStyle w:val="NoSpacing"/>
        <w:ind w:left="1440"/>
        <w:rPr>
          <w:rFonts w:cs="Times New Roman"/>
        </w:rPr>
      </w:pPr>
      <w:r w:rsidRPr="008026D4">
        <w:rPr>
          <w:rFonts w:cs="Times New Roman"/>
        </w:rPr>
        <w:t xml:space="preserve">TBRA </w:t>
      </w:r>
      <w:r>
        <w:rPr>
          <w:rFonts w:cs="Times New Roman"/>
        </w:rPr>
        <w:t xml:space="preserve">only </w:t>
      </w:r>
      <w:r w:rsidR="00461AE2">
        <w:rPr>
          <w:rFonts w:cs="Times New Roman"/>
        </w:rPr>
        <w:t>pays</w:t>
      </w:r>
      <w:r>
        <w:rPr>
          <w:rFonts w:cs="Times New Roman"/>
        </w:rPr>
        <w:t xml:space="preserve"> current rental </w:t>
      </w:r>
      <w:r w:rsidR="009C621C">
        <w:rPr>
          <w:rFonts w:cs="Times New Roman"/>
        </w:rPr>
        <w:t>costs and</w:t>
      </w:r>
      <w:r w:rsidR="00E22024">
        <w:rPr>
          <w:rFonts w:cs="Times New Roman"/>
        </w:rPr>
        <w:t xml:space="preserve"> cannot pay more </w:t>
      </w:r>
      <w:r w:rsidR="00AB2FD6">
        <w:rPr>
          <w:rFonts w:cs="Times New Roman"/>
        </w:rPr>
        <w:t xml:space="preserve">or less </w:t>
      </w:r>
      <w:r w:rsidR="00E22024">
        <w:rPr>
          <w:rFonts w:cs="Times New Roman"/>
        </w:rPr>
        <w:t xml:space="preserve">than </w:t>
      </w:r>
      <w:r w:rsidR="00AB2FD6">
        <w:rPr>
          <w:rFonts w:cs="Times New Roman"/>
        </w:rPr>
        <w:t>a</w:t>
      </w:r>
      <w:r>
        <w:rPr>
          <w:rFonts w:cs="Times New Roman"/>
        </w:rPr>
        <w:t xml:space="preserve"> </w:t>
      </w:r>
      <w:r w:rsidR="00AB2FD6">
        <w:rPr>
          <w:rFonts w:cs="Times New Roman"/>
        </w:rPr>
        <w:t>household’s c</w:t>
      </w:r>
      <w:r w:rsidR="00DC6EDA">
        <w:rPr>
          <w:rFonts w:cs="Times New Roman"/>
        </w:rPr>
        <w:t xml:space="preserve">alculated </w:t>
      </w:r>
      <w:r w:rsidR="00034D7E">
        <w:rPr>
          <w:rFonts w:cs="Times New Roman"/>
        </w:rPr>
        <w:t xml:space="preserve">monthly </w:t>
      </w:r>
      <w:r w:rsidR="00AB2FD6">
        <w:rPr>
          <w:rFonts w:cs="Times New Roman"/>
        </w:rPr>
        <w:t>rental assistance subsidy</w:t>
      </w:r>
      <w:r w:rsidR="0055524C">
        <w:rPr>
          <w:rFonts w:cs="Times New Roman"/>
        </w:rPr>
        <w:t xml:space="preserve"> </w:t>
      </w:r>
      <w:r w:rsidR="00034D7E">
        <w:rPr>
          <w:rFonts w:cs="Times New Roman"/>
        </w:rPr>
        <w:t>(</w:t>
      </w:r>
      <w:r w:rsidR="003C24C6">
        <w:rPr>
          <w:rFonts w:cs="Times New Roman"/>
        </w:rPr>
        <w:t xml:space="preserve">see 8. </w:t>
      </w:r>
      <w:r w:rsidR="003C24C6" w:rsidRPr="00C21ED4">
        <w:rPr>
          <w:rFonts w:cs="Times New Roman"/>
        </w:rPr>
        <w:t xml:space="preserve">Calculating Monthly Household and </w:t>
      </w:r>
      <w:r w:rsidR="003C24C6">
        <w:rPr>
          <w:rFonts w:cs="Times New Roman"/>
        </w:rPr>
        <w:t>Project Sponsor</w:t>
      </w:r>
      <w:r w:rsidR="003C24C6" w:rsidRPr="00C21ED4">
        <w:rPr>
          <w:rFonts w:cs="Times New Roman"/>
        </w:rPr>
        <w:t xml:space="preserve"> Rent Payments</w:t>
      </w:r>
      <w:r w:rsidR="00DC6EDA">
        <w:rPr>
          <w:rFonts w:cs="Times New Roman"/>
        </w:rPr>
        <w:t>).</w:t>
      </w:r>
      <w:r w:rsidR="006F5C1B">
        <w:rPr>
          <w:rFonts w:cs="Times New Roman"/>
        </w:rPr>
        <w:t xml:space="preserve"> </w:t>
      </w:r>
      <w:r w:rsidR="00AC4214" w:rsidRPr="008026D4">
        <w:rPr>
          <w:rFonts w:cs="Times New Roman"/>
        </w:rPr>
        <w:t xml:space="preserve">In </w:t>
      </w:r>
      <w:r>
        <w:rPr>
          <w:rFonts w:cs="Times New Roman"/>
        </w:rPr>
        <w:t>some</w:t>
      </w:r>
      <w:r w:rsidRPr="008026D4">
        <w:rPr>
          <w:rFonts w:cs="Times New Roman"/>
        </w:rPr>
        <w:t xml:space="preserve"> </w:t>
      </w:r>
      <w:r w:rsidR="00AC4214" w:rsidRPr="008026D4">
        <w:rPr>
          <w:rFonts w:cs="Times New Roman"/>
        </w:rPr>
        <w:t xml:space="preserve">circumstances, TBRA </w:t>
      </w:r>
      <w:r w:rsidR="004204E7">
        <w:rPr>
          <w:rFonts w:cs="Times New Roman"/>
        </w:rPr>
        <w:t xml:space="preserve">reimburses </w:t>
      </w:r>
      <w:r w:rsidR="00C81C26">
        <w:rPr>
          <w:rFonts w:cs="Times New Roman"/>
        </w:rPr>
        <w:t>a households’ monthly</w:t>
      </w:r>
      <w:r w:rsidR="004204E7">
        <w:rPr>
          <w:rFonts w:cs="Times New Roman"/>
        </w:rPr>
        <w:t xml:space="preserve"> utility costs</w:t>
      </w:r>
      <w:r w:rsidR="00DC6EDA">
        <w:rPr>
          <w:rFonts w:cs="Times New Roman"/>
        </w:rPr>
        <w:t xml:space="preserve"> (see 9. Utility Allowances and Reimbursements below)</w:t>
      </w:r>
      <w:r w:rsidR="00AC4214" w:rsidRPr="008026D4">
        <w:rPr>
          <w:rFonts w:cs="Times New Roman"/>
        </w:rPr>
        <w:t>.</w:t>
      </w:r>
      <w:r w:rsidR="00AC4214">
        <w:rPr>
          <w:rFonts w:cs="Times New Roman"/>
        </w:rPr>
        <w:t xml:space="preserve"> </w:t>
      </w:r>
      <w:r w:rsidR="00154339">
        <w:rPr>
          <w:rFonts w:cs="Times New Roman"/>
        </w:rPr>
        <w:t>I</w:t>
      </w:r>
      <w:r w:rsidR="00154339" w:rsidRPr="00013E4A">
        <w:rPr>
          <w:rFonts w:cs="Times New Roman"/>
        </w:rPr>
        <w:t>n shared housing arrangements</w:t>
      </w:r>
      <w:r w:rsidR="00967D3B">
        <w:rPr>
          <w:rFonts w:cs="Times New Roman"/>
        </w:rPr>
        <w:t>,</w:t>
      </w:r>
      <w:r w:rsidR="00154339" w:rsidRPr="00013E4A">
        <w:rPr>
          <w:rFonts w:cs="Times New Roman"/>
        </w:rPr>
        <w:t xml:space="preserve"> </w:t>
      </w:r>
      <w:r w:rsidR="00100DB8" w:rsidRPr="00100DB8">
        <w:rPr>
          <w:rFonts w:cs="Times New Roman"/>
        </w:rPr>
        <w:t xml:space="preserve">where two or more unrelated households </w:t>
      </w:r>
      <w:r w:rsidR="00206548">
        <w:rPr>
          <w:rFonts w:cs="Times New Roman"/>
        </w:rPr>
        <w:t xml:space="preserve">voluntarily </w:t>
      </w:r>
      <w:r w:rsidR="00100DB8" w:rsidRPr="00100DB8">
        <w:rPr>
          <w:rFonts w:cs="Times New Roman"/>
        </w:rPr>
        <w:t xml:space="preserve">live together in </w:t>
      </w:r>
      <w:r w:rsidR="00100DB8">
        <w:rPr>
          <w:rFonts w:cs="Times New Roman"/>
        </w:rPr>
        <w:t>a</w:t>
      </w:r>
      <w:r w:rsidR="00100DB8" w:rsidRPr="00100DB8">
        <w:rPr>
          <w:rFonts w:cs="Times New Roman"/>
        </w:rPr>
        <w:t xml:space="preserve"> unit</w:t>
      </w:r>
      <w:r w:rsidR="00100DB8" w:rsidRPr="00100DB8" w:rsidDel="00100DB8">
        <w:rPr>
          <w:rFonts w:cs="Times New Roman"/>
        </w:rPr>
        <w:t xml:space="preserve"> </w:t>
      </w:r>
      <w:r w:rsidR="00F105CD">
        <w:rPr>
          <w:rFonts w:cs="Times New Roman"/>
        </w:rPr>
        <w:t xml:space="preserve">and </w:t>
      </w:r>
      <w:r w:rsidR="008F331C">
        <w:rPr>
          <w:rFonts w:cs="Times New Roman"/>
        </w:rPr>
        <w:t>divide</w:t>
      </w:r>
      <w:r w:rsidR="00F105CD">
        <w:rPr>
          <w:rFonts w:cs="Times New Roman"/>
        </w:rPr>
        <w:t xml:space="preserve"> </w:t>
      </w:r>
      <w:r w:rsidR="004204E7">
        <w:rPr>
          <w:rFonts w:cs="Times New Roman"/>
        </w:rPr>
        <w:t>rental costs</w:t>
      </w:r>
      <w:r w:rsidR="00154339">
        <w:rPr>
          <w:rFonts w:cs="Times New Roman"/>
        </w:rPr>
        <w:t xml:space="preserve">, </w:t>
      </w:r>
      <w:bookmarkStart w:id="21" w:name="_Hlk92461481"/>
      <w:r w:rsidR="00154339">
        <w:rPr>
          <w:rFonts w:cs="Times New Roman"/>
        </w:rPr>
        <w:t xml:space="preserve">Project Sponsors prorate rental assistance for the portion of the unit occupied by the </w:t>
      </w:r>
      <w:r w:rsidR="00EA4A06">
        <w:rPr>
          <w:rFonts w:cs="Times New Roman"/>
        </w:rPr>
        <w:t xml:space="preserve">participant </w:t>
      </w:r>
      <w:r w:rsidR="00154339">
        <w:rPr>
          <w:rFonts w:cs="Times New Roman"/>
        </w:rPr>
        <w:t>household.</w:t>
      </w:r>
      <w:bookmarkEnd w:id="21"/>
    </w:p>
    <w:p w14:paraId="10C07D1D" w14:textId="6D0EE9C5" w:rsidR="00207EF7" w:rsidRDefault="00207EF7" w:rsidP="002A61C8">
      <w:pPr>
        <w:pStyle w:val="NoSpacing"/>
        <w:ind w:left="1440"/>
        <w:rPr>
          <w:rFonts w:cs="Times New Roman"/>
          <w:color w:val="C00000"/>
        </w:rPr>
      </w:pPr>
      <w:r>
        <w:rPr>
          <w:rFonts w:cs="Times New Roman"/>
          <w:b/>
          <w:color w:val="C00000"/>
        </w:rPr>
        <w:t>NOTE:</w:t>
      </w:r>
      <w:r>
        <w:rPr>
          <w:rFonts w:cs="Times New Roman"/>
          <w:color w:val="C00000"/>
        </w:rPr>
        <w:t xml:space="preserve"> See </w:t>
      </w:r>
      <w:r w:rsidRPr="009658B2">
        <w:rPr>
          <w:rFonts w:cs="Times New Roman"/>
          <w:color w:val="C00000"/>
        </w:rPr>
        <w:t xml:space="preserve">Appendix H: </w:t>
      </w:r>
      <w:r w:rsidR="009541ED">
        <w:rPr>
          <w:rFonts w:cs="Times New Roman"/>
          <w:color w:val="C00000"/>
        </w:rPr>
        <w:t>Rental Assistance</w:t>
      </w:r>
      <w:r>
        <w:rPr>
          <w:rFonts w:cs="Times New Roman"/>
          <w:color w:val="C00000"/>
        </w:rPr>
        <w:t xml:space="preserve"> </w:t>
      </w:r>
      <w:r w:rsidRPr="009658B2">
        <w:rPr>
          <w:rFonts w:cs="Times New Roman"/>
          <w:color w:val="C00000"/>
        </w:rPr>
        <w:t>Instructions for Shared Housing Arrangements</w:t>
      </w:r>
      <w:r>
        <w:rPr>
          <w:rFonts w:cs="Times New Roman"/>
          <w:color w:val="C00000"/>
        </w:rPr>
        <w:t>.</w:t>
      </w:r>
    </w:p>
    <w:p w14:paraId="434FA7CF" w14:textId="77777777" w:rsidR="00BE4BAB" w:rsidRDefault="00BE4BAB">
      <w:pPr>
        <w:pStyle w:val="NoSpacing"/>
        <w:ind w:left="720"/>
        <w:rPr>
          <w:rFonts w:cs="Times New Roman"/>
          <w:b/>
        </w:rPr>
      </w:pPr>
    </w:p>
    <w:p w14:paraId="617383CD" w14:textId="1D69B980" w:rsidR="00BD3E63" w:rsidRPr="00997CAD" w:rsidRDefault="00BD3E63">
      <w:pPr>
        <w:pStyle w:val="NoSpacing"/>
        <w:numPr>
          <w:ilvl w:val="1"/>
          <w:numId w:val="85"/>
        </w:numPr>
        <w:rPr>
          <w:rFonts w:cs="Times New Roman"/>
          <w:b/>
          <w:u w:val="single"/>
        </w:rPr>
      </w:pPr>
      <w:r w:rsidRPr="00997CAD">
        <w:rPr>
          <w:rFonts w:cs="Times New Roman"/>
          <w:b/>
          <w:u w:val="single"/>
        </w:rPr>
        <w:t>Ineligible Costs</w:t>
      </w:r>
    </w:p>
    <w:p w14:paraId="57B2B543" w14:textId="702A3AB7" w:rsidR="008F1F1B" w:rsidRDefault="00BB227A">
      <w:pPr>
        <w:pStyle w:val="NoSpacing"/>
        <w:ind w:left="720"/>
        <w:rPr>
          <w:rFonts w:cs="Times New Roman"/>
        </w:rPr>
      </w:pPr>
      <w:r>
        <w:rPr>
          <w:rFonts w:cs="Times New Roman"/>
        </w:rPr>
        <w:t xml:space="preserve">While not an exhaustive list, </w:t>
      </w:r>
      <w:r w:rsidR="008F1F1B" w:rsidRPr="008026D4">
        <w:rPr>
          <w:rFonts w:cs="Times New Roman"/>
        </w:rPr>
        <w:t>TBRA cannot pay rental or utility debts, late or reconnect fees, or mortgages.</w:t>
      </w:r>
      <w:r w:rsidR="00034D7E">
        <w:rPr>
          <w:rFonts w:cs="Times New Roman"/>
        </w:rPr>
        <w:t xml:space="preserve"> Per 24 CFR </w:t>
      </w:r>
      <w:r w:rsidR="00034D7E" w:rsidRPr="00034D7E">
        <w:rPr>
          <w:rFonts w:cs="Times New Roman"/>
        </w:rPr>
        <w:t>§574.320</w:t>
      </w:r>
      <w:r w:rsidR="00034D7E">
        <w:rPr>
          <w:rFonts w:cs="Times New Roman"/>
        </w:rPr>
        <w:t xml:space="preserve">(a)(1), TBRA cannot pay </w:t>
      </w:r>
      <w:r w:rsidR="00FA2B4F">
        <w:rPr>
          <w:rFonts w:cs="Times New Roman"/>
        </w:rPr>
        <w:t>more or less than</w:t>
      </w:r>
      <w:r w:rsidR="00034D7E">
        <w:rPr>
          <w:rFonts w:cs="Times New Roman"/>
        </w:rPr>
        <w:t xml:space="preserve"> </w:t>
      </w:r>
      <w:r w:rsidR="006E6ED9">
        <w:rPr>
          <w:rFonts w:cs="Times New Roman"/>
        </w:rPr>
        <w:t>a household’s</w:t>
      </w:r>
      <w:r w:rsidR="00551FA2">
        <w:rPr>
          <w:rFonts w:cs="Times New Roman"/>
        </w:rPr>
        <w:t xml:space="preserve"> calculated monthly rental assistance subsidy</w:t>
      </w:r>
      <w:r w:rsidR="00034D7E">
        <w:rPr>
          <w:rFonts w:cs="Times New Roman"/>
        </w:rPr>
        <w:t xml:space="preserve"> (see</w:t>
      </w:r>
      <w:r w:rsidR="001C6CD3">
        <w:rPr>
          <w:rFonts w:cs="Times New Roman"/>
        </w:rPr>
        <w:t xml:space="preserve"> 2.</w:t>
      </w:r>
      <w:r w:rsidR="00034D7E">
        <w:rPr>
          <w:rFonts w:cs="Times New Roman"/>
        </w:rPr>
        <w:t xml:space="preserve"> Eligible Costs above).</w:t>
      </w:r>
      <w:r w:rsidR="008F1F1B" w:rsidRPr="008026D4">
        <w:rPr>
          <w:rFonts w:cs="Times New Roman"/>
        </w:rPr>
        <w:t xml:space="preserve"> </w:t>
      </w:r>
      <w:r w:rsidR="00293059">
        <w:rPr>
          <w:rFonts w:cs="Times New Roman"/>
        </w:rPr>
        <w:t xml:space="preserve">While </w:t>
      </w:r>
      <w:r w:rsidR="008F1F1B" w:rsidRPr="008026D4">
        <w:rPr>
          <w:rFonts w:cs="Times New Roman"/>
        </w:rPr>
        <w:t xml:space="preserve">TBRA cannot pay initial move-in costs (e.g., application and administrative fees, </w:t>
      </w:r>
      <w:proofErr w:type="gramStart"/>
      <w:r w:rsidR="008F1F1B" w:rsidRPr="008026D4">
        <w:rPr>
          <w:rFonts w:cs="Times New Roman"/>
        </w:rPr>
        <w:t>security</w:t>
      </w:r>
      <w:proofErr w:type="gramEnd"/>
      <w:r w:rsidR="008F1F1B" w:rsidRPr="008026D4">
        <w:rPr>
          <w:rFonts w:cs="Times New Roman"/>
        </w:rPr>
        <w:t xml:space="preserve"> </w:t>
      </w:r>
      <w:r w:rsidR="001A296F">
        <w:rPr>
          <w:rFonts w:cs="Times New Roman"/>
        </w:rPr>
        <w:t>and utility</w:t>
      </w:r>
      <w:r w:rsidR="008F1F1B" w:rsidRPr="008026D4">
        <w:rPr>
          <w:rFonts w:cs="Times New Roman"/>
        </w:rPr>
        <w:t xml:space="preserve"> deposits, etc.)</w:t>
      </w:r>
      <w:r w:rsidR="00293059">
        <w:rPr>
          <w:rFonts w:cs="Times New Roman"/>
        </w:rPr>
        <w:t xml:space="preserve">, </w:t>
      </w:r>
      <w:r w:rsidR="00872B57">
        <w:rPr>
          <w:rFonts w:cs="Times New Roman"/>
        </w:rPr>
        <w:t xml:space="preserve">Project Sponsors </w:t>
      </w:r>
      <w:r w:rsidR="00BE7A03">
        <w:rPr>
          <w:rFonts w:cs="Times New Roman"/>
        </w:rPr>
        <w:t>can</w:t>
      </w:r>
      <w:r w:rsidR="00293059">
        <w:rPr>
          <w:rFonts w:cs="Times New Roman"/>
        </w:rPr>
        <w:t xml:space="preserve"> </w:t>
      </w:r>
      <w:r w:rsidR="00C71993">
        <w:rPr>
          <w:rFonts w:cs="Times New Roman"/>
        </w:rPr>
        <w:t>pay such costs using PHP</w:t>
      </w:r>
      <w:r w:rsidR="008F1F1B" w:rsidRPr="008026D4">
        <w:rPr>
          <w:rFonts w:cs="Times New Roman"/>
        </w:rPr>
        <w:t>.</w:t>
      </w:r>
    </w:p>
    <w:p w14:paraId="2B7999CC" w14:textId="1F1B7073" w:rsidR="00A11E5E" w:rsidRDefault="00A11E5E">
      <w:pPr>
        <w:pStyle w:val="NoSpacing"/>
        <w:ind w:left="720"/>
        <w:rPr>
          <w:rFonts w:cs="Times New Roman"/>
          <w:color w:val="C00000"/>
        </w:rPr>
      </w:pPr>
      <w:r w:rsidRPr="00A11E5E">
        <w:rPr>
          <w:rFonts w:cs="Times New Roman"/>
          <w:b/>
          <w:color w:val="C00000"/>
        </w:rPr>
        <w:t>NOTE:</w:t>
      </w:r>
      <w:r w:rsidRPr="00A11E5E">
        <w:rPr>
          <w:rFonts w:cs="Times New Roman"/>
          <w:color w:val="C00000"/>
        </w:rPr>
        <w:t xml:space="preserve"> Households cannot receive TBRA</w:t>
      </w:r>
      <w:r w:rsidR="0049226F">
        <w:rPr>
          <w:rFonts w:cs="Times New Roman"/>
          <w:color w:val="C00000"/>
        </w:rPr>
        <w:t xml:space="preserve">, STRMU, or FBHA </w:t>
      </w:r>
      <w:r w:rsidRPr="00A11E5E">
        <w:rPr>
          <w:rFonts w:cs="Times New Roman"/>
          <w:color w:val="C00000"/>
        </w:rPr>
        <w:t>services at the same time</w:t>
      </w:r>
      <w:r w:rsidR="00964DB9">
        <w:rPr>
          <w:rFonts w:cs="Times New Roman"/>
          <w:color w:val="C00000"/>
        </w:rPr>
        <w:t xml:space="preserve"> (i.e., TBRA</w:t>
      </w:r>
      <w:r w:rsidR="0049226F">
        <w:rPr>
          <w:rFonts w:cs="Times New Roman"/>
          <w:color w:val="C00000"/>
        </w:rPr>
        <w:t xml:space="preserve">, STRMU, and FBHA </w:t>
      </w:r>
      <w:r w:rsidR="00964DB9">
        <w:rPr>
          <w:rFonts w:cs="Times New Roman"/>
          <w:color w:val="C00000"/>
        </w:rPr>
        <w:t xml:space="preserve">service periods </w:t>
      </w:r>
      <w:r w:rsidR="00AA7986">
        <w:rPr>
          <w:rFonts w:cs="Times New Roman"/>
          <w:color w:val="C00000"/>
        </w:rPr>
        <w:t>cannot</w:t>
      </w:r>
      <w:r w:rsidR="00964DB9">
        <w:rPr>
          <w:rFonts w:cs="Times New Roman"/>
          <w:color w:val="C00000"/>
        </w:rPr>
        <w:t xml:space="preserve"> overlap)</w:t>
      </w:r>
      <w:r w:rsidRPr="00A11E5E">
        <w:rPr>
          <w:rFonts w:cs="Times New Roman"/>
          <w:color w:val="C00000"/>
        </w:rPr>
        <w:t>.</w:t>
      </w:r>
    </w:p>
    <w:p w14:paraId="61E5805F" w14:textId="77777777" w:rsidR="00BE4BAB" w:rsidRPr="00A11E5E" w:rsidRDefault="00BE4BAB">
      <w:pPr>
        <w:pStyle w:val="NoSpacing"/>
        <w:ind w:left="720"/>
        <w:rPr>
          <w:rFonts w:cs="Times New Roman"/>
        </w:rPr>
      </w:pPr>
    </w:p>
    <w:p w14:paraId="0A977B4A" w14:textId="7AB5A9E4" w:rsidR="00977749" w:rsidRPr="00997CAD" w:rsidRDefault="00977749">
      <w:pPr>
        <w:pStyle w:val="NoSpacing"/>
        <w:numPr>
          <w:ilvl w:val="1"/>
          <w:numId w:val="85"/>
        </w:numPr>
        <w:rPr>
          <w:rFonts w:cs="Times New Roman"/>
          <w:b/>
          <w:u w:val="single"/>
        </w:rPr>
      </w:pPr>
      <w:r w:rsidRPr="00997CAD">
        <w:rPr>
          <w:rFonts w:cs="Times New Roman"/>
          <w:b/>
          <w:u w:val="single"/>
        </w:rPr>
        <w:t xml:space="preserve">Establishing Additional Service </w:t>
      </w:r>
      <w:r w:rsidR="006B3988">
        <w:rPr>
          <w:rFonts w:cs="Times New Roman"/>
          <w:b/>
          <w:u w:val="single"/>
        </w:rPr>
        <w:t>Requirements</w:t>
      </w:r>
    </w:p>
    <w:p w14:paraId="6FCC6FB1" w14:textId="2DA5A475" w:rsidR="00342042" w:rsidRDefault="00F60BE9">
      <w:pPr>
        <w:pStyle w:val="NoSpacing"/>
        <w:ind w:left="720"/>
        <w:rPr>
          <w:rFonts w:cs="Times New Roman"/>
        </w:rPr>
      </w:pPr>
      <w:r w:rsidRPr="00AA771E">
        <w:rPr>
          <w:rFonts w:cs="Times New Roman"/>
        </w:rPr>
        <w:t xml:space="preserve">HUD permits </w:t>
      </w:r>
      <w:r w:rsidR="00977749" w:rsidRPr="008026D4">
        <w:rPr>
          <w:rFonts w:cs="Times New Roman"/>
        </w:rPr>
        <w:t xml:space="preserve">Project Sponsors </w:t>
      </w:r>
      <w:r>
        <w:rPr>
          <w:rFonts w:cs="Times New Roman"/>
        </w:rPr>
        <w:t xml:space="preserve">to </w:t>
      </w:r>
      <w:r w:rsidR="00977749" w:rsidRPr="008026D4">
        <w:rPr>
          <w:rFonts w:cs="Times New Roman"/>
        </w:rPr>
        <w:t xml:space="preserve">establish additional </w:t>
      </w:r>
      <w:r w:rsidR="006919D0">
        <w:rPr>
          <w:rFonts w:cs="Times New Roman"/>
        </w:rPr>
        <w:t xml:space="preserve">TBRA </w:t>
      </w:r>
      <w:r w:rsidR="00977749" w:rsidRPr="008026D4">
        <w:rPr>
          <w:rFonts w:cs="Times New Roman"/>
        </w:rPr>
        <w:t xml:space="preserve">service </w:t>
      </w:r>
      <w:r w:rsidR="006B3988">
        <w:rPr>
          <w:rFonts w:cs="Times New Roman"/>
        </w:rPr>
        <w:t>requirements</w:t>
      </w:r>
      <w:r w:rsidR="00977749" w:rsidRPr="008026D4">
        <w:rPr>
          <w:rFonts w:cs="Times New Roman"/>
        </w:rPr>
        <w:t xml:space="preserve"> </w:t>
      </w:r>
      <w:r w:rsidR="00D34186" w:rsidRPr="00AA771E">
        <w:rPr>
          <w:rFonts w:cs="Times New Roman"/>
        </w:rPr>
        <w:t xml:space="preserve">as a means of prioritizing benefits to those </w:t>
      </w:r>
      <w:r w:rsidR="00D34186">
        <w:rPr>
          <w:rFonts w:cs="Times New Roman"/>
        </w:rPr>
        <w:t>with the greatest need</w:t>
      </w:r>
      <w:r w:rsidR="00AA771E" w:rsidRPr="00AA771E">
        <w:rPr>
          <w:rFonts w:cs="Times New Roman"/>
        </w:rPr>
        <w:t xml:space="preserve">. </w:t>
      </w:r>
      <w:r w:rsidR="00D22435" w:rsidRPr="00D22435">
        <w:rPr>
          <w:rFonts w:cs="Times New Roman"/>
        </w:rPr>
        <w:t>HUD</w:t>
      </w:r>
      <w:r w:rsidR="005A2088">
        <w:rPr>
          <w:rFonts w:cs="Times New Roman"/>
        </w:rPr>
        <w:t>’</w:t>
      </w:r>
      <w:r w:rsidR="00D22435" w:rsidRPr="00D22435">
        <w:rPr>
          <w:rFonts w:cs="Times New Roman"/>
        </w:rPr>
        <w:t>s Office of Fair Housing and Equal Opportunity (FHEO) must approve local preferences to ensure such practices do not discriminate or inadvertently exclude any persons by design or omission.</w:t>
      </w:r>
      <w:r w:rsidR="00AA771E">
        <w:rPr>
          <w:rFonts w:cs="Times New Roman"/>
        </w:rPr>
        <w:t xml:space="preserve"> </w:t>
      </w:r>
      <w:r w:rsidR="00977749" w:rsidRPr="008026D4">
        <w:rPr>
          <w:rFonts w:cs="Times New Roman"/>
        </w:rPr>
        <w:t xml:space="preserve">If a Project Sponsor establishes additional </w:t>
      </w:r>
      <w:r w:rsidR="006B3988">
        <w:rPr>
          <w:rFonts w:cs="Times New Roman"/>
        </w:rPr>
        <w:t>service requirements</w:t>
      </w:r>
      <w:r w:rsidR="00977749" w:rsidRPr="008026D4">
        <w:rPr>
          <w:rFonts w:cs="Times New Roman"/>
        </w:rPr>
        <w:t xml:space="preserve">, they must collaborate with </w:t>
      </w:r>
      <w:r w:rsidR="00570DA0">
        <w:rPr>
          <w:rFonts w:cs="Times New Roman"/>
        </w:rPr>
        <w:lastRenderedPageBreak/>
        <w:t>their AA</w:t>
      </w:r>
      <w:r w:rsidR="00977749" w:rsidRPr="008026D4">
        <w:rPr>
          <w:rFonts w:cs="Times New Roman"/>
        </w:rPr>
        <w:t xml:space="preserve"> to develop a local program policy</w:t>
      </w:r>
      <w:r w:rsidR="00AA771E">
        <w:rPr>
          <w:rFonts w:cs="Times New Roman"/>
        </w:rPr>
        <w:t xml:space="preserve">. </w:t>
      </w:r>
      <w:r w:rsidR="00570DA0">
        <w:rPr>
          <w:rFonts w:cs="Times New Roman"/>
        </w:rPr>
        <w:t>Their AA</w:t>
      </w:r>
      <w:r w:rsidR="00977749" w:rsidRPr="008026D4">
        <w:rPr>
          <w:rFonts w:cs="Times New Roman"/>
        </w:rPr>
        <w:t xml:space="preserve"> must </w:t>
      </w:r>
      <w:r w:rsidR="00AA771E">
        <w:rPr>
          <w:rFonts w:cs="Times New Roman"/>
        </w:rPr>
        <w:t xml:space="preserve">consult with DSHS and DSHS must consult with HUD before </w:t>
      </w:r>
      <w:r w:rsidR="008C271C">
        <w:rPr>
          <w:rFonts w:cs="Times New Roman"/>
        </w:rPr>
        <w:t>DSHS approves the policy</w:t>
      </w:r>
      <w:r w:rsidR="00977749" w:rsidRPr="008026D4">
        <w:rPr>
          <w:rFonts w:cs="Times New Roman"/>
        </w:rPr>
        <w:t xml:space="preserve">. For example, a Project Sponsor could </w:t>
      </w:r>
      <w:r w:rsidR="006B3988">
        <w:rPr>
          <w:rFonts w:cs="Times New Roman"/>
        </w:rPr>
        <w:t>prioritize</w:t>
      </w:r>
      <w:r w:rsidR="006B3988" w:rsidRPr="008026D4">
        <w:rPr>
          <w:rFonts w:cs="Times New Roman"/>
        </w:rPr>
        <w:t xml:space="preserve"> </w:t>
      </w:r>
      <w:r w:rsidR="00977749" w:rsidRPr="008026D4">
        <w:rPr>
          <w:rFonts w:cs="Times New Roman"/>
        </w:rPr>
        <w:t xml:space="preserve">TBRA services to households at or below 30 percent of area median income per the household’s county of residence. </w:t>
      </w:r>
      <w:r w:rsidR="009C621C">
        <w:rPr>
          <w:rFonts w:cs="Times New Roman"/>
        </w:rPr>
        <w:t>Or</w:t>
      </w:r>
      <w:r w:rsidR="005B76AF">
        <w:rPr>
          <w:rFonts w:cs="Times New Roman"/>
        </w:rPr>
        <w:t xml:space="preserve"> a Project Sponsor could establish a cap on the amount of time household</w:t>
      </w:r>
      <w:r w:rsidR="006B3988">
        <w:rPr>
          <w:rFonts w:cs="Times New Roman"/>
        </w:rPr>
        <w:t>s</w:t>
      </w:r>
      <w:r w:rsidR="005B76AF">
        <w:rPr>
          <w:rFonts w:cs="Times New Roman"/>
        </w:rPr>
        <w:t xml:space="preserve"> can receive TBRA services. </w:t>
      </w:r>
      <w:r w:rsidR="009C621C" w:rsidRPr="008026D4">
        <w:rPr>
          <w:rFonts w:cs="Times New Roman"/>
        </w:rPr>
        <w:t>Or</w:t>
      </w:r>
      <w:r w:rsidR="00977749" w:rsidRPr="008026D4">
        <w:rPr>
          <w:rFonts w:cs="Times New Roman"/>
        </w:rPr>
        <w:t xml:space="preserve"> a Project Sponsor could </w:t>
      </w:r>
      <w:r w:rsidR="006B3988">
        <w:rPr>
          <w:rFonts w:cs="Times New Roman"/>
        </w:rPr>
        <w:t>prioritize</w:t>
      </w:r>
      <w:r w:rsidR="006B3988" w:rsidRPr="008026D4">
        <w:rPr>
          <w:rFonts w:cs="Times New Roman"/>
        </w:rPr>
        <w:t xml:space="preserve"> </w:t>
      </w:r>
      <w:r w:rsidR="00977749" w:rsidRPr="008026D4">
        <w:rPr>
          <w:rFonts w:cs="Times New Roman"/>
        </w:rPr>
        <w:t xml:space="preserve">TBRA services to waitlisted households or </w:t>
      </w:r>
      <w:bookmarkStart w:id="22" w:name="_Hlk136440221"/>
      <w:r w:rsidR="00977749" w:rsidRPr="008026D4">
        <w:rPr>
          <w:rFonts w:cs="Times New Roman"/>
        </w:rPr>
        <w:t xml:space="preserve">households </w:t>
      </w:r>
      <w:r w:rsidR="00CF2F22">
        <w:rPr>
          <w:rFonts w:cs="Times New Roman"/>
        </w:rPr>
        <w:t>with members who are</w:t>
      </w:r>
      <w:r w:rsidR="00977749" w:rsidRPr="008026D4">
        <w:rPr>
          <w:rFonts w:cs="Times New Roman"/>
        </w:rPr>
        <w:t xml:space="preserve"> unemployed, </w:t>
      </w:r>
      <w:r w:rsidR="00CF2F22">
        <w:rPr>
          <w:rFonts w:cs="Times New Roman"/>
        </w:rPr>
        <w:t>discharging</w:t>
      </w:r>
      <w:r w:rsidR="00977749" w:rsidRPr="008026D4">
        <w:rPr>
          <w:rFonts w:cs="Times New Roman"/>
        </w:rPr>
        <w:t xml:space="preserve"> from a hospital, person</w:t>
      </w:r>
      <w:r w:rsidR="00CF2F22">
        <w:rPr>
          <w:rFonts w:cs="Times New Roman"/>
        </w:rPr>
        <w:t>s</w:t>
      </w:r>
      <w:r w:rsidR="00977749" w:rsidRPr="008026D4">
        <w:rPr>
          <w:rFonts w:cs="Times New Roman"/>
        </w:rPr>
        <w:t xml:space="preserve"> with special needs, or </w:t>
      </w:r>
      <w:r w:rsidR="00D16646">
        <w:rPr>
          <w:rFonts w:cs="Times New Roman"/>
        </w:rPr>
        <w:t>presenting</w:t>
      </w:r>
      <w:r w:rsidR="00977749" w:rsidRPr="008026D4">
        <w:rPr>
          <w:rFonts w:cs="Times New Roman"/>
        </w:rPr>
        <w:t xml:space="preserve"> with some other specific situation</w:t>
      </w:r>
      <w:bookmarkEnd w:id="22"/>
      <w:r w:rsidR="00977749" w:rsidRPr="008026D4">
        <w:rPr>
          <w:rFonts w:cs="Times New Roman"/>
        </w:rPr>
        <w:t>.</w:t>
      </w:r>
    </w:p>
    <w:p w14:paraId="3C7AA3FD" w14:textId="77777777" w:rsidR="00BE4BAB" w:rsidRDefault="00BE4BAB">
      <w:pPr>
        <w:pStyle w:val="NoSpacing"/>
        <w:ind w:left="720"/>
        <w:rPr>
          <w:rFonts w:cs="Times New Roman"/>
        </w:rPr>
      </w:pPr>
    </w:p>
    <w:p w14:paraId="2DD702EE" w14:textId="10E5BF95" w:rsidR="00342042" w:rsidRPr="00997CAD" w:rsidRDefault="00342042">
      <w:pPr>
        <w:pStyle w:val="NoSpacing"/>
        <w:numPr>
          <w:ilvl w:val="1"/>
          <w:numId w:val="85"/>
        </w:numPr>
        <w:rPr>
          <w:rFonts w:cs="Times New Roman"/>
          <w:b/>
          <w:u w:val="single"/>
        </w:rPr>
      </w:pPr>
      <w:r w:rsidRPr="00997CAD">
        <w:rPr>
          <w:rFonts w:cs="Times New Roman"/>
          <w:b/>
          <w:u w:val="single"/>
        </w:rPr>
        <w:t>Housing Status</w:t>
      </w:r>
    </w:p>
    <w:p w14:paraId="04C19FA0" w14:textId="43E2DB96" w:rsidR="00342042" w:rsidRPr="008026D4" w:rsidRDefault="00D4419E">
      <w:pPr>
        <w:pStyle w:val="NoSpacing"/>
        <w:ind w:left="720"/>
        <w:rPr>
          <w:rFonts w:cs="Times New Roman"/>
        </w:rPr>
      </w:pPr>
      <w:r w:rsidRPr="00D4419E">
        <w:rPr>
          <w:rFonts w:cs="Times New Roman"/>
        </w:rPr>
        <w:t>Households can be housed or homeless</w:t>
      </w:r>
      <w:r w:rsidR="00D70E14">
        <w:rPr>
          <w:rFonts w:cs="Times New Roman"/>
        </w:rPr>
        <w:t>.</w:t>
      </w:r>
      <w:r>
        <w:rPr>
          <w:rFonts w:cs="Times New Roman"/>
        </w:rPr>
        <w:t xml:space="preserve"> </w:t>
      </w:r>
      <w:bookmarkStart w:id="23" w:name="_Hlk137654703"/>
      <w:r w:rsidR="009576AE">
        <w:rPr>
          <w:rFonts w:cs="Times New Roman"/>
        </w:rPr>
        <w:t>To</w:t>
      </w:r>
      <w:r>
        <w:rPr>
          <w:rFonts w:cs="Times New Roman"/>
        </w:rPr>
        <w:t xml:space="preserve"> receive TBRA services, h</w:t>
      </w:r>
      <w:r w:rsidR="00342042" w:rsidRPr="00342042">
        <w:rPr>
          <w:rFonts w:cs="Times New Roman"/>
        </w:rPr>
        <w:t xml:space="preserve">ouseholds must </w:t>
      </w:r>
      <w:r w:rsidR="00645F72">
        <w:rPr>
          <w:rFonts w:cs="Times New Roman"/>
        </w:rPr>
        <w:t xml:space="preserve">present evidence of </w:t>
      </w:r>
      <w:r>
        <w:rPr>
          <w:rFonts w:cs="Times New Roman"/>
        </w:rPr>
        <w:t xml:space="preserve">current or imminent </w:t>
      </w:r>
      <w:r w:rsidR="00571416">
        <w:rPr>
          <w:rFonts w:cs="Times New Roman"/>
        </w:rPr>
        <w:t>tenancy in the private unassisted housing market</w:t>
      </w:r>
      <w:r w:rsidR="00342042" w:rsidRPr="00342042">
        <w:rPr>
          <w:rFonts w:cs="Times New Roman"/>
        </w:rPr>
        <w:t xml:space="preserve">. </w:t>
      </w:r>
      <w:r w:rsidR="00342042">
        <w:rPr>
          <w:rFonts w:cs="Times New Roman"/>
        </w:rPr>
        <w:t>TBRA</w:t>
      </w:r>
      <w:r w:rsidR="00342042" w:rsidRPr="00342042">
        <w:rPr>
          <w:rFonts w:cs="Times New Roman"/>
        </w:rPr>
        <w:t xml:space="preserve"> </w:t>
      </w:r>
      <w:r w:rsidR="008C271C">
        <w:rPr>
          <w:rFonts w:cs="Times New Roman"/>
        </w:rPr>
        <w:t>alleviates</w:t>
      </w:r>
      <w:r w:rsidR="00342042">
        <w:rPr>
          <w:rFonts w:cs="Times New Roman"/>
        </w:rPr>
        <w:t xml:space="preserve"> the rent burden of low-income households.</w:t>
      </w:r>
      <w:r w:rsidR="00342042" w:rsidRPr="00342042">
        <w:rPr>
          <w:rFonts w:cs="Times New Roman"/>
        </w:rPr>
        <w:t xml:space="preserve"> As such, </w:t>
      </w:r>
      <w:r w:rsidR="00342042">
        <w:rPr>
          <w:rFonts w:cs="Times New Roman"/>
        </w:rPr>
        <w:t xml:space="preserve">TBRA </w:t>
      </w:r>
      <w:r w:rsidR="00AA7986">
        <w:rPr>
          <w:rFonts w:cs="Times New Roman"/>
        </w:rPr>
        <w:t>cannot</w:t>
      </w:r>
      <w:r w:rsidR="00342042">
        <w:rPr>
          <w:rFonts w:cs="Times New Roman"/>
        </w:rPr>
        <w:t xml:space="preserve"> assist mortgagers</w:t>
      </w:r>
      <w:r w:rsidR="00342042" w:rsidRPr="00342042">
        <w:rPr>
          <w:rFonts w:cs="Times New Roman"/>
        </w:rPr>
        <w:t>.</w:t>
      </w:r>
    </w:p>
    <w:bookmarkEnd w:id="23"/>
    <w:p w14:paraId="488004F1" w14:textId="58BCB4D9" w:rsidR="00560A75" w:rsidRDefault="00310E77">
      <w:pPr>
        <w:pStyle w:val="NoSpacing"/>
        <w:numPr>
          <w:ilvl w:val="2"/>
          <w:numId w:val="85"/>
        </w:numPr>
        <w:rPr>
          <w:rFonts w:cs="Times New Roman"/>
        </w:rPr>
      </w:pPr>
      <w:r w:rsidRPr="00ED208F">
        <w:rPr>
          <w:rFonts w:cs="Times New Roman"/>
          <w:b/>
        </w:rPr>
        <w:t>Rent</w:t>
      </w:r>
    </w:p>
    <w:p w14:paraId="02239CA4" w14:textId="76A77FB6" w:rsidR="00310E77" w:rsidRDefault="00310E77">
      <w:pPr>
        <w:pStyle w:val="NoSpacing"/>
        <w:ind w:left="1440"/>
        <w:rPr>
          <w:rFonts w:cs="Times New Roman"/>
        </w:rPr>
      </w:pPr>
      <w:r w:rsidRPr="00310E77">
        <w:rPr>
          <w:rFonts w:cs="Times New Roman"/>
        </w:rPr>
        <w:t xml:space="preserve">To </w:t>
      </w:r>
      <w:r>
        <w:rPr>
          <w:rFonts w:cs="Times New Roman"/>
        </w:rPr>
        <w:t>receive TBRA services</w:t>
      </w:r>
      <w:r w:rsidRPr="00310E77">
        <w:rPr>
          <w:rFonts w:cs="Times New Roman"/>
        </w:rPr>
        <w:t>, households must have a legal right to reside in the</w:t>
      </w:r>
      <w:r w:rsidR="00571416">
        <w:rPr>
          <w:rFonts w:cs="Times New Roman"/>
        </w:rPr>
        <w:t xml:space="preserve"> private unassisted</w:t>
      </w:r>
      <w:r w:rsidRPr="00310E77">
        <w:rPr>
          <w:rFonts w:cs="Times New Roman"/>
        </w:rPr>
        <w:t xml:space="preserve"> unit and prove responsibility for paying the rent. Satisfactory evidence of tenancy includes a lease naming the </w:t>
      </w:r>
      <w:r>
        <w:rPr>
          <w:rFonts w:cs="Times New Roman"/>
        </w:rPr>
        <w:t xml:space="preserve">eligible individual </w:t>
      </w:r>
      <w:r w:rsidRPr="00310E77">
        <w:rPr>
          <w:rFonts w:cs="Times New Roman"/>
        </w:rPr>
        <w:t xml:space="preserve">as the leaseholder or occupant. </w:t>
      </w:r>
      <w:r w:rsidR="002A5045">
        <w:rPr>
          <w:rFonts w:cs="Times New Roman"/>
        </w:rPr>
        <w:t>Generally</w:t>
      </w:r>
      <w:r w:rsidRPr="00310E77">
        <w:rPr>
          <w:rFonts w:cs="Times New Roman"/>
        </w:rPr>
        <w:t xml:space="preserve">, if the </w:t>
      </w:r>
      <w:r w:rsidR="00D041EE">
        <w:rPr>
          <w:rFonts w:cs="Times New Roman"/>
        </w:rPr>
        <w:t xml:space="preserve">lease does not name the </w:t>
      </w:r>
      <w:r w:rsidRPr="00310E77">
        <w:rPr>
          <w:rFonts w:cs="Times New Roman"/>
        </w:rPr>
        <w:t xml:space="preserve">eligible </w:t>
      </w:r>
      <w:r>
        <w:rPr>
          <w:rFonts w:cs="Times New Roman"/>
        </w:rPr>
        <w:t>individual</w:t>
      </w:r>
      <w:r w:rsidRPr="00310E77">
        <w:rPr>
          <w:rFonts w:cs="Times New Roman"/>
        </w:rPr>
        <w:t xml:space="preserve"> as a tenant or occupant, </w:t>
      </w:r>
      <w:r w:rsidR="00D041EE">
        <w:rPr>
          <w:rFonts w:cs="Times New Roman"/>
        </w:rPr>
        <w:t>then they have</w:t>
      </w:r>
      <w:r w:rsidRPr="00310E77">
        <w:rPr>
          <w:rFonts w:cs="Times New Roman"/>
        </w:rPr>
        <w:t xml:space="preserve"> no legal right to reside in the unit</w:t>
      </w:r>
      <w:r w:rsidR="00D041EE">
        <w:rPr>
          <w:rFonts w:cs="Times New Roman"/>
        </w:rPr>
        <w:t xml:space="preserve">, disqualifying them from </w:t>
      </w:r>
      <w:r>
        <w:rPr>
          <w:rFonts w:cs="Times New Roman"/>
        </w:rPr>
        <w:t>TBRA</w:t>
      </w:r>
      <w:r w:rsidR="006171FD">
        <w:rPr>
          <w:rFonts w:cs="Times New Roman"/>
        </w:rPr>
        <w:t xml:space="preserve"> housing assistance</w:t>
      </w:r>
      <w:r w:rsidRPr="00310E77">
        <w:rPr>
          <w:rFonts w:cs="Times New Roman"/>
        </w:rPr>
        <w:t xml:space="preserve"> </w:t>
      </w:r>
      <w:r>
        <w:rPr>
          <w:rFonts w:cs="Times New Roman"/>
        </w:rPr>
        <w:t>services</w:t>
      </w:r>
      <w:r w:rsidR="00BE6355">
        <w:rPr>
          <w:rFonts w:cs="Times New Roman"/>
        </w:rPr>
        <w:t xml:space="preserve"> (see Appendix I: Tenant Lease </w:t>
      </w:r>
      <w:r w:rsidR="001C6CD3">
        <w:rPr>
          <w:rFonts w:cs="Times New Roman"/>
        </w:rPr>
        <w:t>Provisions</w:t>
      </w:r>
      <w:r w:rsidR="00BE6355">
        <w:rPr>
          <w:rFonts w:cs="Times New Roman"/>
        </w:rPr>
        <w:t xml:space="preserve"> for </w:t>
      </w:r>
      <w:r w:rsidR="00F57BA1">
        <w:rPr>
          <w:rFonts w:cs="Times New Roman"/>
        </w:rPr>
        <w:t xml:space="preserve">additional </w:t>
      </w:r>
      <w:r w:rsidR="002C2298">
        <w:rPr>
          <w:rFonts w:cs="Times New Roman"/>
        </w:rPr>
        <w:t>guidance</w:t>
      </w:r>
      <w:r w:rsidR="00F57BA1">
        <w:rPr>
          <w:rFonts w:cs="Times New Roman"/>
        </w:rPr>
        <w:t xml:space="preserve"> about</w:t>
      </w:r>
      <w:r w:rsidR="00BE6355">
        <w:rPr>
          <w:rFonts w:cs="Times New Roman"/>
        </w:rPr>
        <w:t xml:space="preserve"> lease </w:t>
      </w:r>
      <w:r w:rsidR="001C6CD3">
        <w:rPr>
          <w:rFonts w:cs="Times New Roman"/>
        </w:rPr>
        <w:t>components</w:t>
      </w:r>
      <w:r w:rsidR="00BE6355">
        <w:rPr>
          <w:rFonts w:cs="Times New Roman"/>
        </w:rPr>
        <w:t>)</w:t>
      </w:r>
      <w:r w:rsidRPr="00310E77">
        <w:rPr>
          <w:rFonts w:cs="Times New Roman"/>
        </w:rPr>
        <w:t>.</w:t>
      </w:r>
    </w:p>
    <w:p w14:paraId="47F1F4D4" w14:textId="77777777" w:rsidR="00BE4BAB" w:rsidRDefault="00BE4BAB">
      <w:pPr>
        <w:pStyle w:val="NoSpacing"/>
        <w:ind w:left="1440"/>
        <w:rPr>
          <w:rFonts w:cs="Times New Roman"/>
        </w:rPr>
      </w:pPr>
    </w:p>
    <w:p w14:paraId="2DAD39FE" w14:textId="7E97BE2E" w:rsidR="00560A75" w:rsidRDefault="00A636EC">
      <w:pPr>
        <w:pStyle w:val="NoSpacing"/>
        <w:numPr>
          <w:ilvl w:val="2"/>
          <w:numId w:val="85"/>
        </w:numPr>
        <w:rPr>
          <w:rFonts w:cs="Times New Roman"/>
        </w:rPr>
      </w:pPr>
      <w:r w:rsidRPr="00ED208F">
        <w:rPr>
          <w:rFonts w:cs="Times New Roman"/>
          <w:b/>
        </w:rPr>
        <w:t>Utilities</w:t>
      </w:r>
    </w:p>
    <w:p w14:paraId="1E088DD1" w14:textId="4A147828" w:rsidR="00A636EC" w:rsidRDefault="002C6FB6">
      <w:pPr>
        <w:pStyle w:val="NoSpacing"/>
        <w:ind w:left="1440"/>
        <w:rPr>
          <w:rFonts w:cs="Times New Roman"/>
        </w:rPr>
      </w:pPr>
      <w:r>
        <w:rPr>
          <w:rFonts w:cs="Times New Roman"/>
        </w:rPr>
        <w:t>If</w:t>
      </w:r>
      <w:r w:rsidR="00A636EC">
        <w:rPr>
          <w:rFonts w:cs="Times New Roman"/>
        </w:rPr>
        <w:t xml:space="preserve"> a </w:t>
      </w:r>
      <w:r w:rsidR="00126812">
        <w:rPr>
          <w:rFonts w:cs="Times New Roman"/>
        </w:rPr>
        <w:t>TBRA-assisted household</w:t>
      </w:r>
      <w:r w:rsidR="00A636EC">
        <w:rPr>
          <w:rFonts w:cs="Times New Roman"/>
        </w:rPr>
        <w:t xml:space="preserve"> qualifies for a utility reimbursement, </w:t>
      </w:r>
      <w:r w:rsidR="00126812">
        <w:rPr>
          <w:rFonts w:cs="Times New Roman"/>
        </w:rPr>
        <w:t>then the Project Sponsor pays this amount to the</w:t>
      </w:r>
      <w:r w:rsidR="00A636EC" w:rsidRPr="008026D4">
        <w:rPr>
          <w:rFonts w:cs="Times New Roman"/>
        </w:rPr>
        <w:t xml:space="preserve"> utility vendor</w:t>
      </w:r>
      <w:r w:rsidR="00635FCF">
        <w:rPr>
          <w:rFonts w:cs="Times New Roman"/>
        </w:rPr>
        <w:t xml:space="preserve"> (see </w:t>
      </w:r>
      <w:r w:rsidR="007C37DB">
        <w:rPr>
          <w:rFonts w:cs="Times New Roman"/>
        </w:rPr>
        <w:t>9</w:t>
      </w:r>
      <w:r w:rsidR="00635FCF">
        <w:rPr>
          <w:rFonts w:cs="Times New Roman"/>
        </w:rPr>
        <w:t xml:space="preserve">. </w:t>
      </w:r>
      <w:r w:rsidR="00635FCF" w:rsidRPr="00635FCF">
        <w:rPr>
          <w:rFonts w:cs="Times New Roman"/>
        </w:rPr>
        <w:t>Utility Allowances and Reimbursements</w:t>
      </w:r>
      <w:r w:rsidR="00635FCF">
        <w:rPr>
          <w:rFonts w:cs="Times New Roman"/>
        </w:rPr>
        <w:t xml:space="preserve"> below)</w:t>
      </w:r>
      <w:r w:rsidR="00A636EC" w:rsidRPr="008026D4">
        <w:rPr>
          <w:rFonts w:cs="Times New Roman"/>
        </w:rPr>
        <w:t>.</w:t>
      </w:r>
      <w:r w:rsidR="00635FCF">
        <w:rPr>
          <w:rFonts w:cs="Times New Roman"/>
        </w:rPr>
        <w:t xml:space="preserve"> </w:t>
      </w:r>
      <w:r w:rsidR="00635FCF" w:rsidRPr="00635FCF">
        <w:rPr>
          <w:rFonts w:cs="Times New Roman"/>
        </w:rPr>
        <w:t>Failure to provide a reimbursement of this amount would violate 24 CFR §574.310(d).</w:t>
      </w:r>
      <w:r w:rsidR="00635FCF">
        <w:rPr>
          <w:rFonts w:cs="Times New Roman"/>
        </w:rPr>
        <w:t xml:space="preserve"> </w:t>
      </w:r>
      <w:r w:rsidR="00925A8F">
        <w:rPr>
          <w:rFonts w:cs="Times New Roman"/>
        </w:rPr>
        <w:t xml:space="preserve">To receive a utility reimbursement, a </w:t>
      </w:r>
      <w:r w:rsidR="00635FCF">
        <w:rPr>
          <w:rFonts w:cs="Times New Roman"/>
        </w:rPr>
        <w:t xml:space="preserve">household member must </w:t>
      </w:r>
      <w:r w:rsidR="00B95ED1">
        <w:rPr>
          <w:rFonts w:cs="Times New Roman"/>
        </w:rPr>
        <w:t>have a utility account in their name</w:t>
      </w:r>
      <w:r w:rsidR="00635FCF">
        <w:rPr>
          <w:rFonts w:cs="Times New Roman"/>
        </w:rPr>
        <w:t>.</w:t>
      </w:r>
      <w:r w:rsidR="00AC79D1">
        <w:rPr>
          <w:rFonts w:cs="Times New Roman"/>
        </w:rPr>
        <w:t xml:space="preserve"> I</w:t>
      </w:r>
      <w:r w:rsidR="00635FCF" w:rsidRPr="00635FCF">
        <w:rPr>
          <w:rFonts w:cs="Times New Roman"/>
        </w:rPr>
        <w:t xml:space="preserve">ndividuals </w:t>
      </w:r>
      <w:r w:rsidR="00B95ED1">
        <w:rPr>
          <w:rFonts w:cs="Times New Roman"/>
        </w:rPr>
        <w:t>with</w:t>
      </w:r>
      <w:r w:rsidR="00635FCF" w:rsidRPr="00635FCF">
        <w:rPr>
          <w:rFonts w:cs="Times New Roman"/>
        </w:rPr>
        <w:t xml:space="preserve"> prior </w:t>
      </w:r>
      <w:r w:rsidR="00B95ED1">
        <w:rPr>
          <w:rFonts w:cs="Times New Roman"/>
        </w:rPr>
        <w:t>utility debt</w:t>
      </w:r>
      <w:r w:rsidR="00635FCF" w:rsidRPr="00635FCF">
        <w:rPr>
          <w:rFonts w:cs="Times New Roman"/>
        </w:rPr>
        <w:t xml:space="preserve"> </w:t>
      </w:r>
      <w:r w:rsidR="00B95ED1">
        <w:rPr>
          <w:rFonts w:cs="Times New Roman"/>
        </w:rPr>
        <w:t xml:space="preserve">or </w:t>
      </w:r>
      <w:r w:rsidR="00A5673E">
        <w:rPr>
          <w:rFonts w:cs="Times New Roman"/>
        </w:rPr>
        <w:t>poor credit history</w:t>
      </w:r>
      <w:r w:rsidR="00B95ED1">
        <w:rPr>
          <w:rFonts w:cs="Times New Roman"/>
        </w:rPr>
        <w:t xml:space="preserve"> </w:t>
      </w:r>
      <w:r w:rsidR="004E12F5">
        <w:rPr>
          <w:rFonts w:cs="Times New Roman"/>
        </w:rPr>
        <w:t>may</w:t>
      </w:r>
      <w:r w:rsidR="00635FCF" w:rsidRPr="00635FCF">
        <w:rPr>
          <w:rFonts w:cs="Times New Roman"/>
        </w:rPr>
        <w:t xml:space="preserve"> </w:t>
      </w:r>
      <w:r w:rsidR="0063217F">
        <w:rPr>
          <w:rFonts w:cs="Times New Roman"/>
        </w:rPr>
        <w:t>encounter</w:t>
      </w:r>
      <w:r w:rsidR="00A5673E">
        <w:rPr>
          <w:rFonts w:cs="Times New Roman"/>
        </w:rPr>
        <w:t xml:space="preserve"> barriers to</w:t>
      </w:r>
      <w:r w:rsidR="00B95ED1">
        <w:rPr>
          <w:rFonts w:cs="Times New Roman"/>
        </w:rPr>
        <w:t xml:space="preserve"> establishing utility </w:t>
      </w:r>
      <w:r w:rsidR="00A5673E">
        <w:rPr>
          <w:rFonts w:cs="Times New Roman"/>
        </w:rPr>
        <w:t>accounts</w:t>
      </w:r>
      <w:r w:rsidR="00B95ED1">
        <w:rPr>
          <w:rFonts w:cs="Times New Roman"/>
        </w:rPr>
        <w:t xml:space="preserve"> in their name</w:t>
      </w:r>
      <w:r w:rsidR="00A5673E">
        <w:rPr>
          <w:rFonts w:cs="Times New Roman"/>
        </w:rPr>
        <w:t>,</w:t>
      </w:r>
      <w:r w:rsidR="006A2AA3">
        <w:rPr>
          <w:rFonts w:cs="Times New Roman"/>
        </w:rPr>
        <w:t xml:space="preserve"> sometimes</w:t>
      </w:r>
      <w:r w:rsidR="00A5673E">
        <w:rPr>
          <w:rFonts w:cs="Times New Roman"/>
        </w:rPr>
        <w:t xml:space="preserve"> relying on utility accounts established in someone else’s name and bearing responsibility </w:t>
      </w:r>
      <w:r w:rsidR="00635FCF" w:rsidRPr="00635FCF">
        <w:rPr>
          <w:rFonts w:cs="Times New Roman"/>
        </w:rPr>
        <w:t xml:space="preserve">for </w:t>
      </w:r>
      <w:r w:rsidR="00A5673E">
        <w:rPr>
          <w:rFonts w:cs="Times New Roman"/>
        </w:rPr>
        <w:t xml:space="preserve">paying </w:t>
      </w:r>
      <w:r w:rsidR="006A2AA3">
        <w:rPr>
          <w:rFonts w:cs="Times New Roman"/>
        </w:rPr>
        <w:t>the utility expenses</w:t>
      </w:r>
      <w:r w:rsidR="00635FCF" w:rsidRPr="006A2AA3">
        <w:rPr>
          <w:rFonts w:cs="Times New Roman"/>
        </w:rPr>
        <w:t xml:space="preserve">. </w:t>
      </w:r>
      <w:r w:rsidR="001C251B" w:rsidRPr="006A2AA3">
        <w:rPr>
          <w:rFonts w:cs="Times New Roman"/>
        </w:rPr>
        <w:t xml:space="preserve">Project Sponsors cannot exclude such households from receiving utility reimbursements. </w:t>
      </w:r>
      <w:r w:rsidR="00AC79D1" w:rsidRPr="00DE48B8">
        <w:rPr>
          <w:rFonts w:cs="Times New Roman"/>
        </w:rPr>
        <w:t>Instead, Project Sponsors obtain proof of the household’s</w:t>
      </w:r>
      <w:r w:rsidRPr="006A2AA3">
        <w:rPr>
          <w:rFonts w:cs="Times New Roman"/>
        </w:rPr>
        <w:t xml:space="preserve"> </w:t>
      </w:r>
      <w:r w:rsidR="00635FCF" w:rsidRPr="006A2AA3">
        <w:rPr>
          <w:rFonts w:cs="Times New Roman"/>
        </w:rPr>
        <w:t xml:space="preserve">responsibility </w:t>
      </w:r>
      <w:r w:rsidR="00AC79D1" w:rsidRPr="00DE48B8">
        <w:rPr>
          <w:rFonts w:cs="Times New Roman"/>
        </w:rPr>
        <w:t>for</w:t>
      </w:r>
      <w:r w:rsidR="00635FCF" w:rsidRPr="006A2AA3">
        <w:rPr>
          <w:rFonts w:cs="Times New Roman"/>
        </w:rPr>
        <w:t xml:space="preserve"> </w:t>
      </w:r>
      <w:r w:rsidR="0063217F" w:rsidRPr="006A2AA3">
        <w:rPr>
          <w:rFonts w:cs="Times New Roman"/>
        </w:rPr>
        <w:t xml:space="preserve">paying </w:t>
      </w:r>
      <w:r w:rsidR="006A2AA3" w:rsidRPr="006A2AA3">
        <w:rPr>
          <w:rFonts w:cs="Times New Roman"/>
        </w:rPr>
        <w:t>the</w:t>
      </w:r>
      <w:r w:rsidR="0063217F" w:rsidRPr="006A2AA3">
        <w:rPr>
          <w:rFonts w:cs="Times New Roman"/>
        </w:rPr>
        <w:t xml:space="preserve"> </w:t>
      </w:r>
      <w:r w:rsidR="006A2AA3" w:rsidRPr="006A2AA3">
        <w:rPr>
          <w:rFonts w:cs="Times New Roman"/>
        </w:rPr>
        <w:t xml:space="preserve">utility </w:t>
      </w:r>
      <w:r w:rsidR="0063217F" w:rsidRPr="006A2AA3">
        <w:rPr>
          <w:rFonts w:cs="Times New Roman"/>
        </w:rPr>
        <w:t>expenses</w:t>
      </w:r>
      <w:r w:rsidR="00635FCF" w:rsidRPr="006A2AA3">
        <w:rPr>
          <w:rFonts w:cs="Times New Roman"/>
        </w:rPr>
        <w:t>. For example, if a household</w:t>
      </w:r>
      <w:r w:rsidR="00635FCF">
        <w:rPr>
          <w:rFonts w:cs="Times New Roman"/>
        </w:rPr>
        <w:t xml:space="preserve"> </w:t>
      </w:r>
      <w:r w:rsidR="00AC79D1">
        <w:rPr>
          <w:rFonts w:cs="Times New Roman"/>
        </w:rPr>
        <w:t>uses a utility account in</w:t>
      </w:r>
      <w:r w:rsidR="00635FCF">
        <w:rPr>
          <w:rFonts w:cs="Times New Roman"/>
        </w:rPr>
        <w:t xml:space="preserve"> someone else’s name, a Project Sponsor could request a copy of the account holder’s photo identification and a signed statement from the account holder confirming that the household </w:t>
      </w:r>
      <w:r w:rsidR="001C251B">
        <w:rPr>
          <w:rFonts w:cs="Times New Roman"/>
        </w:rPr>
        <w:t>bears responsibility</w:t>
      </w:r>
      <w:r w:rsidR="00635FCF">
        <w:rPr>
          <w:rFonts w:cs="Times New Roman"/>
        </w:rPr>
        <w:t xml:space="preserve"> for </w:t>
      </w:r>
      <w:r w:rsidR="006A2AA3">
        <w:rPr>
          <w:rFonts w:cs="Times New Roman"/>
        </w:rPr>
        <w:t>paying the utility expenses</w:t>
      </w:r>
      <w:r w:rsidR="00635FCF">
        <w:rPr>
          <w:rFonts w:cs="Times New Roman"/>
        </w:rPr>
        <w:t>.</w:t>
      </w:r>
    </w:p>
    <w:p w14:paraId="00FCE108" w14:textId="0C81863C" w:rsidR="00133EB2" w:rsidRPr="00ED208F" w:rsidRDefault="00133EB2">
      <w:pPr>
        <w:pStyle w:val="NoSpacing"/>
        <w:ind w:left="720"/>
        <w:rPr>
          <w:rFonts w:cs="Times New Roman"/>
        </w:rPr>
      </w:pPr>
    </w:p>
    <w:p w14:paraId="36B0B985" w14:textId="34576060" w:rsidR="00133EB2" w:rsidRPr="00997CAD" w:rsidRDefault="00133EB2">
      <w:pPr>
        <w:pStyle w:val="NoSpacing"/>
        <w:numPr>
          <w:ilvl w:val="1"/>
          <w:numId w:val="85"/>
        </w:numPr>
        <w:rPr>
          <w:rFonts w:cs="Times New Roman"/>
          <w:b/>
          <w:u w:val="single"/>
        </w:rPr>
      </w:pPr>
      <w:r w:rsidRPr="00133EB2">
        <w:rPr>
          <w:rFonts w:cs="Times New Roman"/>
          <w:b/>
          <w:u w:val="single"/>
        </w:rPr>
        <w:t>Occupancy Standards</w:t>
      </w:r>
    </w:p>
    <w:p w14:paraId="5AFC2414" w14:textId="17A117B1" w:rsidR="0026546A" w:rsidRPr="008026D4" w:rsidRDefault="0026546A">
      <w:pPr>
        <w:pStyle w:val="NoSpacing"/>
        <w:ind w:left="720"/>
        <w:rPr>
          <w:rFonts w:cs="Times New Roman"/>
        </w:rPr>
      </w:pPr>
      <w:r w:rsidRPr="008026D4">
        <w:rPr>
          <w:rFonts w:cs="Times New Roman"/>
        </w:rPr>
        <w:t xml:space="preserve">TBRA </w:t>
      </w:r>
      <w:r w:rsidR="007C37DB">
        <w:rPr>
          <w:rFonts w:cs="Times New Roman"/>
        </w:rPr>
        <w:t>O</w:t>
      </w:r>
      <w:r w:rsidRPr="008026D4">
        <w:rPr>
          <w:rFonts w:cs="Times New Roman"/>
        </w:rPr>
        <w:t xml:space="preserve">ccupancy </w:t>
      </w:r>
      <w:r w:rsidR="007C37DB">
        <w:rPr>
          <w:rFonts w:cs="Times New Roman"/>
        </w:rPr>
        <w:t>S</w:t>
      </w:r>
      <w:r w:rsidRPr="008026D4">
        <w:rPr>
          <w:rFonts w:cs="Times New Roman"/>
        </w:rPr>
        <w:t>tandards provide</w:t>
      </w:r>
      <w:r w:rsidR="00C03A7C">
        <w:rPr>
          <w:rFonts w:cs="Times New Roman"/>
        </w:rPr>
        <w:t xml:space="preserve"> for t</w:t>
      </w:r>
      <w:r w:rsidRPr="008026D4">
        <w:rPr>
          <w:rFonts w:cs="Times New Roman"/>
        </w:rPr>
        <w:t xml:space="preserve">he smallest </w:t>
      </w:r>
      <w:r w:rsidR="00C03A7C">
        <w:rPr>
          <w:rFonts w:cs="Times New Roman"/>
        </w:rPr>
        <w:t xml:space="preserve">unit size (i.e., number of bedrooms) </w:t>
      </w:r>
      <w:r w:rsidR="00543B07">
        <w:rPr>
          <w:rFonts w:cs="Times New Roman"/>
        </w:rPr>
        <w:t>a household needs</w:t>
      </w:r>
      <w:r w:rsidRPr="008026D4">
        <w:rPr>
          <w:rFonts w:cs="Times New Roman"/>
        </w:rPr>
        <w:t xml:space="preserve"> without overcrowding</w:t>
      </w:r>
      <w:r w:rsidR="00544FBB">
        <w:rPr>
          <w:rFonts w:cs="Times New Roman"/>
        </w:rPr>
        <w:t xml:space="preserve">. They also </w:t>
      </w:r>
      <w:r w:rsidR="00C03A7C">
        <w:rPr>
          <w:rFonts w:cs="Times New Roman"/>
        </w:rPr>
        <w:t>establish g</w:t>
      </w:r>
      <w:r w:rsidR="007C37DB">
        <w:rPr>
          <w:rFonts w:cs="Times New Roman"/>
        </w:rPr>
        <w:t xml:space="preserve">uidelines for </w:t>
      </w:r>
      <w:r w:rsidR="009A118F">
        <w:rPr>
          <w:rFonts w:cs="Times New Roman"/>
        </w:rPr>
        <w:t>selecting a</w:t>
      </w:r>
      <w:r w:rsidR="007C37DB" w:rsidRPr="007C37DB">
        <w:t xml:space="preserve"> </w:t>
      </w:r>
      <w:r w:rsidR="001D4010">
        <w:rPr>
          <w:rFonts w:cs="Times New Roman"/>
        </w:rPr>
        <w:t>rent standard</w:t>
      </w:r>
      <w:r w:rsidR="007C37DB" w:rsidRPr="007C37DB">
        <w:rPr>
          <w:rFonts w:cs="Times New Roman"/>
        </w:rPr>
        <w:t xml:space="preserve"> (</w:t>
      </w:r>
      <w:r w:rsidR="007C37DB" w:rsidRPr="00DF3006">
        <w:rPr>
          <w:rFonts w:cs="Times New Roman"/>
        </w:rPr>
        <w:t>see</w:t>
      </w:r>
      <w:r w:rsidR="007C37DB" w:rsidRPr="007C37DB">
        <w:rPr>
          <w:rFonts w:cs="Times New Roman"/>
        </w:rPr>
        <w:t xml:space="preserve"> </w:t>
      </w:r>
      <w:r w:rsidR="004044AB">
        <w:rPr>
          <w:rFonts w:cs="Times New Roman"/>
        </w:rPr>
        <w:t>7</w:t>
      </w:r>
      <w:r w:rsidR="007C37DB" w:rsidRPr="007C37DB">
        <w:rPr>
          <w:rFonts w:cs="Times New Roman"/>
        </w:rPr>
        <w:t>. Rent Standard and Rent Reasonableness below)</w:t>
      </w:r>
      <w:r w:rsidR="006751C4">
        <w:rPr>
          <w:rFonts w:cs="Times New Roman"/>
        </w:rPr>
        <w:t>.</w:t>
      </w:r>
      <w:r w:rsidR="00C03A7C">
        <w:rPr>
          <w:rFonts w:cs="Times New Roman"/>
        </w:rPr>
        <w:t xml:space="preserve"> </w:t>
      </w:r>
      <w:bookmarkStart w:id="24" w:name="_Hlk137114423"/>
      <w:r w:rsidR="00D73486">
        <w:rPr>
          <w:rFonts w:cs="Times New Roman"/>
        </w:rPr>
        <w:t xml:space="preserve">Project Sponsors determine </w:t>
      </w:r>
      <w:r w:rsidR="00BF378D">
        <w:rPr>
          <w:rFonts w:cs="Times New Roman"/>
        </w:rPr>
        <w:t xml:space="preserve">the </w:t>
      </w:r>
      <w:r w:rsidR="00C03A7C">
        <w:rPr>
          <w:rFonts w:cs="Times New Roman"/>
        </w:rPr>
        <w:t xml:space="preserve">unit size </w:t>
      </w:r>
      <w:r w:rsidR="00BF378D">
        <w:rPr>
          <w:rFonts w:cs="Times New Roman"/>
        </w:rPr>
        <w:t xml:space="preserve">a </w:t>
      </w:r>
      <w:proofErr w:type="gramStart"/>
      <w:r w:rsidR="00BF378D">
        <w:rPr>
          <w:rFonts w:cs="Times New Roman"/>
        </w:rPr>
        <w:t>household needs</w:t>
      </w:r>
      <w:proofErr w:type="gramEnd"/>
      <w:r w:rsidR="00BF378D">
        <w:rPr>
          <w:rFonts w:cs="Times New Roman"/>
        </w:rPr>
        <w:t xml:space="preserve"> based on household size and composition</w:t>
      </w:r>
      <w:r w:rsidR="00D73486">
        <w:rPr>
          <w:rFonts w:cs="Times New Roman"/>
        </w:rPr>
        <w:t xml:space="preserve">. </w:t>
      </w:r>
      <w:r w:rsidR="004D3B8B" w:rsidRPr="004D3B8B">
        <w:rPr>
          <w:rFonts w:cs="Times New Roman"/>
        </w:rPr>
        <w:t>Project Sponsors apply unit size determinations in a uniform, consistent, and non-discriminatory manner for all households of like size and composition.</w:t>
      </w:r>
      <w:r w:rsidR="004D3B8B">
        <w:rPr>
          <w:rFonts w:cs="Times New Roman"/>
        </w:rPr>
        <w:t xml:space="preserve"> </w:t>
      </w:r>
      <w:r w:rsidR="00544FBB">
        <w:rPr>
          <w:rFonts w:cs="Times New Roman"/>
        </w:rPr>
        <w:t>A bedroom</w:t>
      </w:r>
      <w:r w:rsidR="00813E87" w:rsidRPr="00813E87">
        <w:rPr>
          <w:rFonts w:cs="Times New Roman"/>
        </w:rPr>
        <w:t xml:space="preserve"> must meet</w:t>
      </w:r>
      <w:r w:rsidR="00813E87">
        <w:rPr>
          <w:rFonts w:cs="Times New Roman"/>
        </w:rPr>
        <w:t xml:space="preserve"> </w:t>
      </w:r>
      <w:r w:rsidR="002014C7">
        <w:rPr>
          <w:rFonts w:cs="Times New Roman"/>
        </w:rPr>
        <w:t>applicable</w:t>
      </w:r>
      <w:r w:rsidR="002014C7" w:rsidRPr="00813E87">
        <w:rPr>
          <w:rFonts w:cs="Times New Roman"/>
        </w:rPr>
        <w:t xml:space="preserve"> </w:t>
      </w:r>
      <w:r w:rsidR="004A16AC">
        <w:rPr>
          <w:rFonts w:cs="Times New Roman"/>
        </w:rPr>
        <w:t xml:space="preserve">Housing Quality </w:t>
      </w:r>
      <w:r w:rsidR="00244F41">
        <w:rPr>
          <w:rFonts w:cs="Times New Roman"/>
        </w:rPr>
        <w:t>Standards</w:t>
      </w:r>
      <w:r w:rsidR="002014C7">
        <w:rPr>
          <w:rFonts w:cs="Times New Roman"/>
        </w:rPr>
        <w:t xml:space="preserve"> (HQS)</w:t>
      </w:r>
      <w:r w:rsidR="00244F41">
        <w:rPr>
          <w:rFonts w:cs="Times New Roman"/>
        </w:rPr>
        <w:t xml:space="preserve"> (see Section 10</w:t>
      </w:r>
      <w:r w:rsidR="00813E87">
        <w:rPr>
          <w:rFonts w:cs="Times New Roman"/>
        </w:rPr>
        <w:t xml:space="preserve">. </w:t>
      </w:r>
      <w:r w:rsidR="004A16AC">
        <w:rPr>
          <w:rFonts w:cs="Times New Roman"/>
        </w:rPr>
        <w:t xml:space="preserve">Housing Quality </w:t>
      </w:r>
      <w:r w:rsidR="00813E87">
        <w:rPr>
          <w:rFonts w:cs="Times New Roman"/>
        </w:rPr>
        <w:t>Standards)</w:t>
      </w:r>
      <w:r w:rsidR="00813E87" w:rsidRPr="00813E87">
        <w:rPr>
          <w:rFonts w:cs="Times New Roman"/>
        </w:rPr>
        <w:t xml:space="preserve"> and provide a private area where household members may sleep.</w:t>
      </w:r>
      <w:r w:rsidR="006C5D92">
        <w:rPr>
          <w:rFonts w:cs="Times New Roman"/>
        </w:rPr>
        <w:t xml:space="preserve"> </w:t>
      </w:r>
      <w:r w:rsidR="00813E87" w:rsidRPr="00813E87">
        <w:rPr>
          <w:rFonts w:cs="Times New Roman"/>
        </w:rPr>
        <w:t xml:space="preserve">If </w:t>
      </w:r>
      <w:r w:rsidR="00FA4461">
        <w:rPr>
          <w:rFonts w:cs="Times New Roman"/>
        </w:rPr>
        <w:t>entering an</w:t>
      </w:r>
      <w:r w:rsidR="00813E87" w:rsidRPr="00813E87">
        <w:rPr>
          <w:rFonts w:cs="Times New Roman"/>
        </w:rPr>
        <w:t xml:space="preserve"> area </w:t>
      </w:r>
      <w:r w:rsidR="00491D58">
        <w:rPr>
          <w:rFonts w:cs="Times New Roman"/>
        </w:rPr>
        <w:t>necessitates</w:t>
      </w:r>
      <w:r w:rsidR="00813E87" w:rsidRPr="00813E87">
        <w:rPr>
          <w:rFonts w:cs="Times New Roman"/>
        </w:rPr>
        <w:t xml:space="preserve"> </w:t>
      </w:r>
      <w:r w:rsidR="00FA4461">
        <w:rPr>
          <w:rFonts w:cs="Times New Roman"/>
        </w:rPr>
        <w:t>passing</w:t>
      </w:r>
      <w:r w:rsidR="00813E87" w:rsidRPr="00813E87">
        <w:rPr>
          <w:rFonts w:cs="Times New Roman"/>
        </w:rPr>
        <w:t xml:space="preserve"> through another room, </w:t>
      </w:r>
      <w:r w:rsidR="00BB7225">
        <w:rPr>
          <w:rFonts w:cs="Times New Roman"/>
        </w:rPr>
        <w:t xml:space="preserve">then </w:t>
      </w:r>
      <w:r w:rsidR="00813E87">
        <w:rPr>
          <w:rFonts w:cs="Times New Roman"/>
        </w:rPr>
        <w:t>the</w:t>
      </w:r>
      <w:r w:rsidR="00813E87" w:rsidRPr="00813E87">
        <w:rPr>
          <w:rFonts w:cs="Times New Roman"/>
        </w:rPr>
        <w:t xml:space="preserve"> space may </w:t>
      </w:r>
      <w:r w:rsidR="00FA4461">
        <w:rPr>
          <w:rFonts w:cs="Times New Roman"/>
        </w:rPr>
        <w:t>count</w:t>
      </w:r>
      <w:r w:rsidR="00813E87" w:rsidRPr="00813E87">
        <w:rPr>
          <w:rFonts w:cs="Times New Roman"/>
        </w:rPr>
        <w:t xml:space="preserve"> as a living/sleeping area</w:t>
      </w:r>
      <w:r w:rsidR="00813E87">
        <w:rPr>
          <w:rFonts w:cs="Times New Roman"/>
        </w:rPr>
        <w:t>,</w:t>
      </w:r>
      <w:r w:rsidR="00813E87" w:rsidRPr="00813E87">
        <w:rPr>
          <w:rFonts w:cs="Times New Roman"/>
        </w:rPr>
        <w:t xml:space="preserve"> but </w:t>
      </w:r>
      <w:r w:rsidR="00FA4461">
        <w:rPr>
          <w:rFonts w:cs="Times New Roman"/>
        </w:rPr>
        <w:t>not a</w:t>
      </w:r>
      <w:r w:rsidR="00813E87" w:rsidRPr="00813E87">
        <w:rPr>
          <w:rFonts w:cs="Times New Roman"/>
        </w:rPr>
        <w:t xml:space="preserve"> bedroom. The living room may </w:t>
      </w:r>
      <w:r w:rsidR="00FA4461">
        <w:rPr>
          <w:rFonts w:cs="Times New Roman"/>
        </w:rPr>
        <w:t>count</w:t>
      </w:r>
      <w:r w:rsidR="00813E87" w:rsidRPr="00813E87">
        <w:rPr>
          <w:rFonts w:cs="Times New Roman"/>
        </w:rPr>
        <w:t xml:space="preserve"> as a </w:t>
      </w:r>
      <w:r w:rsidR="00813E87">
        <w:rPr>
          <w:rFonts w:cs="Times New Roman"/>
        </w:rPr>
        <w:t>living/</w:t>
      </w:r>
      <w:r w:rsidR="00813E87" w:rsidRPr="00813E87">
        <w:rPr>
          <w:rFonts w:cs="Times New Roman"/>
        </w:rPr>
        <w:t xml:space="preserve">sleeping </w:t>
      </w:r>
      <w:r w:rsidR="00BB7225">
        <w:rPr>
          <w:rFonts w:cs="Times New Roman"/>
        </w:rPr>
        <w:t>area</w:t>
      </w:r>
      <w:r w:rsidR="00813E87">
        <w:rPr>
          <w:rFonts w:cs="Times New Roman"/>
        </w:rPr>
        <w:t>, but not a bedroom.</w:t>
      </w:r>
      <w:r w:rsidR="00813E87" w:rsidRPr="00813E87">
        <w:rPr>
          <w:rFonts w:cs="Times New Roman"/>
        </w:rPr>
        <w:t xml:space="preserve"> </w:t>
      </w:r>
      <w:r w:rsidR="00813E87">
        <w:rPr>
          <w:rFonts w:cs="Times New Roman"/>
        </w:rPr>
        <w:t>Kitchens and bathrooms</w:t>
      </w:r>
      <w:r w:rsidR="00813E87" w:rsidRPr="00813E87">
        <w:rPr>
          <w:rFonts w:cs="Times New Roman"/>
        </w:rPr>
        <w:t xml:space="preserve"> </w:t>
      </w:r>
      <w:r w:rsidR="00AA7986">
        <w:rPr>
          <w:rFonts w:cs="Times New Roman"/>
        </w:rPr>
        <w:t>cannot</w:t>
      </w:r>
      <w:r w:rsidR="00813E87" w:rsidRPr="00813E87">
        <w:rPr>
          <w:rFonts w:cs="Times New Roman"/>
        </w:rPr>
        <w:t xml:space="preserve"> </w:t>
      </w:r>
      <w:r w:rsidR="00AA7986">
        <w:rPr>
          <w:rFonts w:cs="Times New Roman"/>
        </w:rPr>
        <w:t>count</w:t>
      </w:r>
      <w:r w:rsidR="00813E87" w:rsidRPr="00813E87">
        <w:rPr>
          <w:rFonts w:cs="Times New Roman"/>
        </w:rPr>
        <w:t xml:space="preserve"> as </w:t>
      </w:r>
      <w:r w:rsidR="002B0C94">
        <w:rPr>
          <w:rFonts w:cs="Times New Roman"/>
        </w:rPr>
        <w:t>living/</w:t>
      </w:r>
      <w:r w:rsidR="00813E87" w:rsidRPr="00813E87">
        <w:rPr>
          <w:rFonts w:cs="Times New Roman"/>
        </w:rPr>
        <w:t xml:space="preserve">sleeping </w:t>
      </w:r>
      <w:r w:rsidR="00BB7225">
        <w:rPr>
          <w:rFonts w:cs="Times New Roman"/>
        </w:rPr>
        <w:t>areas or bedrooms</w:t>
      </w:r>
      <w:r w:rsidR="00813E87" w:rsidRPr="00813E87">
        <w:rPr>
          <w:rFonts w:cs="Times New Roman"/>
        </w:rPr>
        <w:t xml:space="preserve">. </w:t>
      </w:r>
      <w:r w:rsidR="00646FEB">
        <w:rPr>
          <w:rFonts w:cs="Times New Roman"/>
        </w:rPr>
        <w:t xml:space="preserve">When determining </w:t>
      </w:r>
      <w:r w:rsidR="00BA5FB0">
        <w:rPr>
          <w:rFonts w:cs="Times New Roman"/>
        </w:rPr>
        <w:t>an appropriate</w:t>
      </w:r>
      <w:r w:rsidR="00646FEB">
        <w:rPr>
          <w:rFonts w:cs="Times New Roman"/>
        </w:rPr>
        <w:t xml:space="preserve"> unit size, Project Sponsors</w:t>
      </w:r>
      <w:bookmarkEnd w:id="24"/>
      <w:r w:rsidR="00646FEB">
        <w:rPr>
          <w:rFonts w:cs="Times New Roman"/>
        </w:rPr>
        <w:t>:</w:t>
      </w:r>
    </w:p>
    <w:p w14:paraId="1600E6E3" w14:textId="611A3CAC" w:rsidR="0026546A" w:rsidRPr="008026D4" w:rsidRDefault="00646FEB">
      <w:pPr>
        <w:pStyle w:val="NoSpacing"/>
        <w:numPr>
          <w:ilvl w:val="2"/>
          <w:numId w:val="85"/>
        </w:numPr>
        <w:rPr>
          <w:rFonts w:cs="Times New Roman"/>
        </w:rPr>
      </w:pPr>
      <w:r>
        <w:rPr>
          <w:rFonts w:cs="Times New Roman"/>
        </w:rPr>
        <w:t>P</w:t>
      </w:r>
      <w:r w:rsidR="0026546A" w:rsidRPr="008026D4">
        <w:rPr>
          <w:rFonts w:cs="Times New Roman"/>
        </w:rPr>
        <w:t xml:space="preserve">rovide </w:t>
      </w:r>
      <w:r>
        <w:rPr>
          <w:rFonts w:cs="Times New Roman"/>
        </w:rPr>
        <w:t xml:space="preserve">for </w:t>
      </w:r>
      <w:r w:rsidR="0026546A" w:rsidRPr="008026D4">
        <w:rPr>
          <w:rFonts w:cs="Times New Roman"/>
        </w:rPr>
        <w:t>the smallest numb</w:t>
      </w:r>
      <w:r w:rsidR="00EF17D1">
        <w:rPr>
          <w:rFonts w:cs="Times New Roman"/>
        </w:rPr>
        <w:t>er of bedrooms</w:t>
      </w:r>
      <w:r w:rsidR="00BC19D4">
        <w:rPr>
          <w:rFonts w:cs="Times New Roman"/>
        </w:rPr>
        <w:t xml:space="preserve"> a household</w:t>
      </w:r>
      <w:r w:rsidR="00EF17D1">
        <w:rPr>
          <w:rFonts w:cs="Times New Roman"/>
        </w:rPr>
        <w:t xml:space="preserve"> </w:t>
      </w:r>
      <w:r w:rsidR="00543B07">
        <w:rPr>
          <w:rFonts w:cs="Times New Roman"/>
        </w:rPr>
        <w:t>need</w:t>
      </w:r>
      <w:r w:rsidR="00BC19D4">
        <w:rPr>
          <w:rFonts w:cs="Times New Roman"/>
        </w:rPr>
        <w:t>s</w:t>
      </w:r>
      <w:r w:rsidR="00EF17D1">
        <w:rPr>
          <w:rFonts w:cs="Times New Roman"/>
        </w:rPr>
        <w:t xml:space="preserve"> </w:t>
      </w:r>
      <w:r w:rsidR="0026546A" w:rsidRPr="008026D4">
        <w:rPr>
          <w:rFonts w:cs="Times New Roman"/>
        </w:rPr>
        <w:t>without overcrowding.</w:t>
      </w:r>
    </w:p>
    <w:p w14:paraId="1BDA0084" w14:textId="4FA2B7F8" w:rsidR="0026546A" w:rsidRPr="008026D4" w:rsidRDefault="00646FEB">
      <w:pPr>
        <w:pStyle w:val="NoSpacing"/>
        <w:numPr>
          <w:ilvl w:val="2"/>
          <w:numId w:val="85"/>
        </w:numPr>
        <w:rPr>
          <w:rFonts w:cs="Times New Roman"/>
        </w:rPr>
      </w:pPr>
      <w:r>
        <w:rPr>
          <w:rFonts w:cs="Times New Roman"/>
        </w:rPr>
        <w:t>C</w:t>
      </w:r>
      <w:r w:rsidR="006947F0">
        <w:rPr>
          <w:rFonts w:cs="Times New Roman"/>
        </w:rPr>
        <w:t>omply</w:t>
      </w:r>
      <w:r w:rsidR="0026546A" w:rsidRPr="008026D4">
        <w:rPr>
          <w:rFonts w:cs="Times New Roman"/>
        </w:rPr>
        <w:t xml:space="preserve"> with space requirements under </w:t>
      </w:r>
      <w:r w:rsidR="002014C7">
        <w:rPr>
          <w:rFonts w:cs="Times New Roman"/>
        </w:rPr>
        <w:t>HQS</w:t>
      </w:r>
      <w:r w:rsidR="0026546A" w:rsidRPr="008026D4">
        <w:rPr>
          <w:rFonts w:cs="Times New Roman"/>
        </w:rPr>
        <w:t>.</w:t>
      </w:r>
    </w:p>
    <w:p w14:paraId="54E275CF" w14:textId="40E11A47" w:rsidR="0026546A" w:rsidRPr="008026D4" w:rsidRDefault="00646FEB" w:rsidP="00646FEB">
      <w:pPr>
        <w:pStyle w:val="NoSpacing"/>
        <w:numPr>
          <w:ilvl w:val="2"/>
          <w:numId w:val="85"/>
        </w:numPr>
        <w:rPr>
          <w:rFonts w:cs="Times New Roman"/>
        </w:rPr>
      </w:pPr>
      <w:r>
        <w:rPr>
          <w:rFonts w:cs="Times New Roman"/>
        </w:rPr>
        <w:t xml:space="preserve">Include </w:t>
      </w:r>
      <w:r w:rsidR="0026546A" w:rsidRPr="008026D4">
        <w:rPr>
          <w:rFonts w:cs="Times New Roman"/>
        </w:rPr>
        <w:t>child</w:t>
      </w:r>
      <w:r>
        <w:rPr>
          <w:rFonts w:cs="Times New Roman"/>
        </w:rPr>
        <w:t>ren</w:t>
      </w:r>
      <w:r w:rsidR="0026546A" w:rsidRPr="008026D4">
        <w:rPr>
          <w:rFonts w:cs="Times New Roman"/>
        </w:rPr>
        <w:t xml:space="preserve"> temporarily away from the home because of placement in foster care.</w:t>
      </w:r>
    </w:p>
    <w:p w14:paraId="51A0DD0A" w14:textId="19416B4E" w:rsidR="00BC19D4" w:rsidRDefault="00646FEB">
      <w:pPr>
        <w:pStyle w:val="NoSpacing"/>
        <w:numPr>
          <w:ilvl w:val="2"/>
          <w:numId w:val="85"/>
        </w:numPr>
        <w:rPr>
          <w:rFonts w:cs="Times New Roman"/>
        </w:rPr>
      </w:pPr>
      <w:r>
        <w:rPr>
          <w:rFonts w:cs="Times New Roman"/>
        </w:rPr>
        <w:t>Treat a</w:t>
      </w:r>
      <w:r w:rsidR="00C03A7C">
        <w:rPr>
          <w:rFonts w:cs="Times New Roman"/>
        </w:rPr>
        <w:t xml:space="preserve"> household consisting of </w:t>
      </w:r>
      <w:r>
        <w:rPr>
          <w:rFonts w:cs="Times New Roman"/>
        </w:rPr>
        <w:t>only one</w:t>
      </w:r>
      <w:r w:rsidR="0026546A" w:rsidRPr="008026D4">
        <w:rPr>
          <w:rFonts w:cs="Times New Roman"/>
        </w:rPr>
        <w:t xml:space="preserve"> </w:t>
      </w:r>
      <w:r w:rsidR="00CD6AAA">
        <w:rPr>
          <w:rFonts w:cs="Times New Roman"/>
        </w:rPr>
        <w:t>pregnant person</w:t>
      </w:r>
      <w:r w:rsidR="00C03A7C">
        <w:rPr>
          <w:rFonts w:cs="Times New Roman"/>
        </w:rPr>
        <w:t xml:space="preserve"> </w:t>
      </w:r>
      <w:r>
        <w:rPr>
          <w:rFonts w:cs="Times New Roman"/>
        </w:rPr>
        <w:t>as</w:t>
      </w:r>
      <w:r w:rsidR="0026546A" w:rsidRPr="008026D4">
        <w:rPr>
          <w:rFonts w:cs="Times New Roman"/>
        </w:rPr>
        <w:t xml:space="preserve"> </w:t>
      </w:r>
      <w:r w:rsidR="00C03A7C">
        <w:rPr>
          <w:rFonts w:cs="Times New Roman"/>
        </w:rPr>
        <w:t xml:space="preserve">a </w:t>
      </w:r>
      <w:r w:rsidR="003674F0">
        <w:rPr>
          <w:rFonts w:cs="Times New Roman"/>
        </w:rPr>
        <w:t>two</w:t>
      </w:r>
      <w:r w:rsidR="00C03A7C">
        <w:rPr>
          <w:rFonts w:cs="Times New Roman"/>
        </w:rPr>
        <w:t>-person household</w:t>
      </w:r>
      <w:r w:rsidR="00BC19D4">
        <w:rPr>
          <w:rFonts w:cs="Times New Roman"/>
        </w:rPr>
        <w:t>.</w:t>
      </w:r>
    </w:p>
    <w:p w14:paraId="177D35CB" w14:textId="077D7295" w:rsidR="0026546A" w:rsidRPr="008026D4" w:rsidRDefault="00DC0694">
      <w:pPr>
        <w:pStyle w:val="NoSpacing"/>
        <w:numPr>
          <w:ilvl w:val="2"/>
          <w:numId w:val="85"/>
        </w:numPr>
        <w:rPr>
          <w:rFonts w:cs="Times New Roman"/>
        </w:rPr>
      </w:pPr>
      <w:r>
        <w:rPr>
          <w:rFonts w:cs="Times New Roman"/>
        </w:rPr>
        <w:t>Permit s</w:t>
      </w:r>
      <w:r w:rsidR="00EF17D1">
        <w:rPr>
          <w:rFonts w:cs="Times New Roman"/>
        </w:rPr>
        <w:t xml:space="preserve">mall children (less than </w:t>
      </w:r>
      <w:r>
        <w:rPr>
          <w:rFonts w:cs="Times New Roman"/>
        </w:rPr>
        <w:t>two</w:t>
      </w:r>
      <w:r w:rsidR="00EF17D1">
        <w:rPr>
          <w:rFonts w:cs="Times New Roman"/>
        </w:rPr>
        <w:t xml:space="preserve"> years of age) </w:t>
      </w:r>
      <w:r>
        <w:rPr>
          <w:rFonts w:cs="Times New Roman"/>
        </w:rPr>
        <w:t xml:space="preserve">to </w:t>
      </w:r>
      <w:r w:rsidR="00EF17D1">
        <w:rPr>
          <w:rFonts w:cs="Times New Roman"/>
        </w:rPr>
        <w:t>share a one-bedroom with a single parent.</w:t>
      </w:r>
    </w:p>
    <w:p w14:paraId="1514173E" w14:textId="387A16A3" w:rsidR="0026546A" w:rsidRPr="008026D4" w:rsidRDefault="00DC0694">
      <w:pPr>
        <w:pStyle w:val="NoSpacing"/>
        <w:numPr>
          <w:ilvl w:val="2"/>
          <w:numId w:val="85"/>
        </w:numPr>
        <w:rPr>
          <w:rFonts w:cs="Times New Roman"/>
        </w:rPr>
      </w:pPr>
      <w:r>
        <w:rPr>
          <w:rFonts w:cs="Times New Roman"/>
        </w:rPr>
        <w:t>Count a</w:t>
      </w:r>
      <w:r w:rsidR="0026546A" w:rsidRPr="008026D4">
        <w:rPr>
          <w:rFonts w:cs="Times New Roman"/>
        </w:rPr>
        <w:t>ny live-in aide</w:t>
      </w:r>
      <w:r>
        <w:rPr>
          <w:rFonts w:cs="Times New Roman"/>
        </w:rPr>
        <w:t xml:space="preserve"> (approved by the Project Sponsor to reside in the unit)</w:t>
      </w:r>
      <w:r w:rsidR="0026546A" w:rsidRPr="008026D4">
        <w:rPr>
          <w:rFonts w:cs="Times New Roman"/>
        </w:rPr>
        <w:t>.</w:t>
      </w:r>
    </w:p>
    <w:p w14:paraId="41BBC1A0" w14:textId="65E0A8E0" w:rsidR="0026546A" w:rsidRPr="008026D4" w:rsidRDefault="00BA5FB0">
      <w:pPr>
        <w:pStyle w:val="NoSpacing"/>
        <w:numPr>
          <w:ilvl w:val="2"/>
          <w:numId w:val="85"/>
        </w:numPr>
        <w:rPr>
          <w:rFonts w:cs="Times New Roman"/>
        </w:rPr>
      </w:pPr>
      <w:r>
        <w:rPr>
          <w:rFonts w:cs="Times New Roman"/>
        </w:rPr>
        <w:t>Allow</w:t>
      </w:r>
      <w:r w:rsidRPr="008026D4">
        <w:rPr>
          <w:rFonts w:cs="Times New Roman"/>
        </w:rPr>
        <w:t xml:space="preserve"> </w:t>
      </w:r>
      <w:r w:rsidR="0026546A" w:rsidRPr="008026D4">
        <w:rPr>
          <w:rFonts w:cs="Times New Roman"/>
        </w:rPr>
        <w:t xml:space="preserve">elderly or disabled household members </w:t>
      </w:r>
      <w:r>
        <w:rPr>
          <w:rFonts w:cs="Times New Roman"/>
        </w:rPr>
        <w:t>to occupy</w:t>
      </w:r>
      <w:r w:rsidR="0026546A" w:rsidRPr="008026D4">
        <w:rPr>
          <w:rFonts w:cs="Times New Roman"/>
        </w:rPr>
        <w:t xml:space="preserve"> separate bedrooms.</w:t>
      </w:r>
    </w:p>
    <w:p w14:paraId="46778043" w14:textId="77777777" w:rsidR="00BE4BAB" w:rsidRDefault="00BE4BAB">
      <w:pPr>
        <w:pStyle w:val="NoSpacing"/>
        <w:ind w:left="720"/>
        <w:rPr>
          <w:rFonts w:cs="Times New Roman"/>
        </w:rPr>
      </w:pPr>
    </w:p>
    <w:p w14:paraId="73C53CC9" w14:textId="5CCD68BB" w:rsidR="006F5C1B" w:rsidRDefault="009A3172" w:rsidP="00066B7E">
      <w:pPr>
        <w:pStyle w:val="NoSpacing"/>
        <w:ind w:left="720"/>
      </w:pPr>
      <w:r w:rsidRPr="008026D4">
        <w:rPr>
          <w:rFonts w:cs="Times New Roman"/>
        </w:rPr>
        <w:t>Project Sponsors may grant</w:t>
      </w:r>
      <w:r w:rsidR="0056063D">
        <w:rPr>
          <w:rFonts w:cs="Times New Roman"/>
        </w:rPr>
        <w:t xml:space="preserve"> an</w:t>
      </w:r>
      <w:r w:rsidRPr="008026D4">
        <w:rPr>
          <w:rFonts w:cs="Times New Roman"/>
        </w:rPr>
        <w:t xml:space="preserve"> exception to the </w:t>
      </w:r>
      <w:r w:rsidR="00347EC1">
        <w:rPr>
          <w:rFonts w:cs="Times New Roman"/>
        </w:rPr>
        <w:t xml:space="preserve">occupancy </w:t>
      </w:r>
      <w:r w:rsidRPr="008026D4">
        <w:rPr>
          <w:rFonts w:cs="Times New Roman"/>
        </w:rPr>
        <w:t xml:space="preserve">standards if </w:t>
      </w:r>
      <w:r w:rsidR="00750C7D">
        <w:rPr>
          <w:rFonts w:cs="Times New Roman"/>
        </w:rPr>
        <w:t>justified</w:t>
      </w:r>
      <w:r w:rsidRPr="008026D4">
        <w:rPr>
          <w:rFonts w:cs="Times New Roman"/>
        </w:rPr>
        <w:t xml:space="preserve"> by the age, sex, health, </w:t>
      </w:r>
      <w:r w:rsidR="00D74042">
        <w:rPr>
          <w:rFonts w:cs="Times New Roman"/>
        </w:rPr>
        <w:t>disability</w:t>
      </w:r>
      <w:r w:rsidRPr="008026D4">
        <w:rPr>
          <w:rFonts w:cs="Times New Roman"/>
        </w:rPr>
        <w:t xml:space="preserve">, or relationship of household members or other personal circumstances. </w:t>
      </w:r>
      <w:r w:rsidR="003674F0">
        <w:rPr>
          <w:rFonts w:cs="Times New Roman"/>
        </w:rPr>
        <w:t xml:space="preserve">Project Sponsors </w:t>
      </w:r>
      <w:r w:rsidR="00BA5FB0">
        <w:rPr>
          <w:rFonts w:cs="Times New Roman"/>
        </w:rPr>
        <w:t xml:space="preserve">must </w:t>
      </w:r>
      <w:r w:rsidR="00BA5FB0">
        <w:rPr>
          <w:rFonts w:cs="Times New Roman"/>
        </w:rPr>
        <w:lastRenderedPageBreak/>
        <w:t xml:space="preserve">document such exceptions </w:t>
      </w:r>
      <w:r w:rsidR="003674F0">
        <w:rPr>
          <w:rFonts w:cs="Times New Roman"/>
        </w:rPr>
        <w:t xml:space="preserve">in the household’s </w:t>
      </w:r>
      <w:r w:rsidR="002228D2">
        <w:rPr>
          <w:rFonts w:cs="Times New Roman"/>
        </w:rPr>
        <w:t>record</w:t>
      </w:r>
      <w:r w:rsidR="003674F0">
        <w:rPr>
          <w:rFonts w:cs="Times New Roman"/>
        </w:rPr>
        <w:t>.</w:t>
      </w:r>
      <w:r w:rsidR="004F0194">
        <w:rPr>
          <w:rFonts w:cs="Times New Roman"/>
        </w:rPr>
        <w:t xml:space="preserve"> </w:t>
      </w:r>
      <w:r w:rsidR="003F6A3E" w:rsidRPr="008026D4">
        <w:rPr>
          <w:rFonts w:cs="Times New Roman"/>
        </w:rPr>
        <w:t xml:space="preserve">The </w:t>
      </w:r>
      <w:r w:rsidR="00187B99" w:rsidRPr="008026D4">
        <w:rPr>
          <w:rFonts w:cs="Times New Roman"/>
        </w:rPr>
        <w:t>DSHS</w:t>
      </w:r>
      <w:r w:rsidR="003F6A3E" w:rsidRPr="008026D4">
        <w:rPr>
          <w:rFonts w:cs="Times New Roman"/>
        </w:rPr>
        <w:t xml:space="preserve"> HOPWA Program uses </w:t>
      </w:r>
      <w:r w:rsidRPr="008026D4">
        <w:rPr>
          <w:rFonts w:cs="Times New Roman"/>
        </w:rPr>
        <w:t xml:space="preserve">the </w:t>
      </w:r>
      <w:hyperlink r:id="rId86" w:history="1">
        <w:r w:rsidR="00281D7B">
          <w:rPr>
            <w:rStyle w:val="Hyperlink"/>
            <w:rFonts w:cs="Times New Roman"/>
          </w:rPr>
          <w:t>HOPWA Rental Assistance Guidebook</w:t>
        </w:r>
      </w:hyperlink>
      <w:r w:rsidRPr="008026D4">
        <w:rPr>
          <w:rFonts w:cs="Times New Roman"/>
        </w:rPr>
        <w:t xml:space="preserve"> </w:t>
      </w:r>
      <w:r w:rsidR="003F6A3E" w:rsidRPr="008026D4">
        <w:rPr>
          <w:rFonts w:cs="Times New Roman"/>
        </w:rPr>
        <w:t>t</w:t>
      </w:r>
      <w:r w:rsidR="00753DC0" w:rsidRPr="008026D4">
        <w:rPr>
          <w:rFonts w:cs="Times New Roman"/>
        </w:rPr>
        <w:t>o regulate allowable unit size</w:t>
      </w:r>
      <w:r w:rsidR="00AE1C39">
        <w:rPr>
          <w:rFonts w:cs="Times New Roman"/>
        </w:rPr>
        <w:t>s</w:t>
      </w:r>
      <w:r w:rsidR="009A118F">
        <w:rPr>
          <w:rFonts w:cs="Times New Roman"/>
        </w:rPr>
        <w:t>.</w:t>
      </w:r>
    </w:p>
    <w:tbl>
      <w:tblPr>
        <w:tblW w:w="10224" w:type="dxa"/>
        <w:tblInd w:w="72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20" w:type="dxa"/>
          <w:right w:w="120" w:type="dxa"/>
        </w:tblCellMar>
        <w:tblLook w:val="0000" w:firstRow="0" w:lastRow="0" w:firstColumn="0" w:lastColumn="0" w:noHBand="0" w:noVBand="0"/>
      </w:tblPr>
      <w:tblGrid>
        <w:gridCol w:w="1284"/>
        <w:gridCol w:w="2235"/>
        <w:gridCol w:w="2235"/>
        <w:gridCol w:w="4470"/>
      </w:tblGrid>
      <w:tr w:rsidR="009A3172" w:rsidRPr="00692FFC" w14:paraId="60C00423" w14:textId="77777777" w:rsidTr="000B43DF">
        <w:trPr>
          <w:trHeight w:val="20"/>
        </w:trPr>
        <w:tc>
          <w:tcPr>
            <w:tcW w:w="5000" w:type="pct"/>
            <w:gridSpan w:val="4"/>
            <w:shd w:val="clear" w:color="auto" w:fill="9CC2E5" w:themeFill="accent1" w:themeFillTint="99"/>
          </w:tcPr>
          <w:p w14:paraId="5A894F9C" w14:textId="53512104" w:rsidR="009A3172" w:rsidRPr="00692FFC" w:rsidRDefault="005336B6" w:rsidP="000E4A24">
            <w:pPr>
              <w:tabs>
                <w:tab w:val="center" w:pos="3795"/>
              </w:tabs>
              <w:spacing w:after="0" w:line="240" w:lineRule="auto"/>
              <w:jc w:val="center"/>
              <w:rPr>
                <w:rFonts w:cs="Times New Roman"/>
              </w:rPr>
            </w:pPr>
            <w:r w:rsidRPr="00692FFC">
              <w:rPr>
                <w:rFonts w:cs="Times New Roman"/>
                <w:b/>
              </w:rPr>
              <w:t>TBRA</w:t>
            </w:r>
            <w:r w:rsidR="009A3172" w:rsidRPr="00692FFC">
              <w:rPr>
                <w:rFonts w:cs="Times New Roman"/>
                <w:b/>
              </w:rPr>
              <w:t xml:space="preserve"> Occupancy Standards: Permissible Unit Sizes</w:t>
            </w:r>
          </w:p>
        </w:tc>
      </w:tr>
      <w:tr w:rsidR="004F0194" w:rsidRPr="00692FFC" w14:paraId="36A82496" w14:textId="77777777" w:rsidTr="00066B7E">
        <w:trPr>
          <w:trHeight w:val="20"/>
        </w:trPr>
        <w:tc>
          <w:tcPr>
            <w:tcW w:w="628" w:type="pct"/>
            <w:shd w:val="clear" w:color="auto" w:fill="BDD6EE" w:themeFill="accent1" w:themeFillTint="66"/>
          </w:tcPr>
          <w:p w14:paraId="59ADAAB5" w14:textId="13BEDEF7" w:rsidR="004F0194" w:rsidRPr="00692FFC" w:rsidRDefault="004F0194" w:rsidP="000E4A24">
            <w:pPr>
              <w:spacing w:after="0" w:line="240" w:lineRule="auto"/>
              <w:jc w:val="center"/>
              <w:rPr>
                <w:rFonts w:cs="Times New Roman"/>
                <w:b/>
              </w:rPr>
            </w:pPr>
            <w:r w:rsidRPr="00692FFC">
              <w:rPr>
                <w:rFonts w:cs="Times New Roman"/>
                <w:b/>
              </w:rPr>
              <w:t>Bedrooms</w:t>
            </w:r>
          </w:p>
        </w:tc>
        <w:tc>
          <w:tcPr>
            <w:tcW w:w="1093" w:type="pct"/>
            <w:shd w:val="clear" w:color="auto" w:fill="BDD6EE" w:themeFill="accent1" w:themeFillTint="66"/>
          </w:tcPr>
          <w:p w14:paraId="31AB7FBD" w14:textId="77777777" w:rsidR="004F0194" w:rsidRPr="00692FFC" w:rsidRDefault="004F0194">
            <w:pPr>
              <w:spacing w:after="0" w:line="240" w:lineRule="auto"/>
              <w:jc w:val="center"/>
              <w:rPr>
                <w:rFonts w:cs="Times New Roman"/>
                <w:b/>
              </w:rPr>
            </w:pPr>
            <w:r w:rsidRPr="00692FFC">
              <w:rPr>
                <w:rFonts w:cs="Times New Roman"/>
                <w:b/>
              </w:rPr>
              <w:t xml:space="preserve">Minimum Number of </w:t>
            </w:r>
          </w:p>
          <w:p w14:paraId="7C23F919" w14:textId="22299E52" w:rsidR="004F0194" w:rsidRPr="00692FFC" w:rsidRDefault="004F0194">
            <w:pPr>
              <w:spacing w:after="0" w:line="240" w:lineRule="auto"/>
              <w:jc w:val="center"/>
              <w:rPr>
                <w:rFonts w:cs="Times New Roman"/>
                <w:b/>
              </w:rPr>
            </w:pPr>
            <w:r w:rsidRPr="00692FFC">
              <w:rPr>
                <w:rFonts w:cs="Times New Roman"/>
                <w:b/>
              </w:rPr>
              <w:t>Household Members</w:t>
            </w:r>
          </w:p>
        </w:tc>
        <w:tc>
          <w:tcPr>
            <w:tcW w:w="1093" w:type="pct"/>
            <w:shd w:val="clear" w:color="auto" w:fill="BDD6EE" w:themeFill="accent1" w:themeFillTint="66"/>
          </w:tcPr>
          <w:p w14:paraId="3570A741" w14:textId="77777777" w:rsidR="004F0194" w:rsidRPr="00692FFC" w:rsidRDefault="004F0194">
            <w:pPr>
              <w:spacing w:after="0" w:line="240" w:lineRule="auto"/>
              <w:jc w:val="center"/>
              <w:rPr>
                <w:rFonts w:cs="Times New Roman"/>
                <w:b/>
              </w:rPr>
            </w:pPr>
            <w:r w:rsidRPr="00692FFC">
              <w:rPr>
                <w:rFonts w:cs="Times New Roman"/>
                <w:b/>
              </w:rPr>
              <w:t xml:space="preserve">Maximum Number of </w:t>
            </w:r>
          </w:p>
          <w:p w14:paraId="11F0FB02" w14:textId="58932DF9" w:rsidR="004F0194" w:rsidRPr="00066B7E" w:rsidRDefault="004F0194">
            <w:pPr>
              <w:spacing w:after="0" w:line="240" w:lineRule="auto"/>
              <w:jc w:val="center"/>
              <w:rPr>
                <w:rFonts w:cs="Times New Roman"/>
                <w:b/>
              </w:rPr>
            </w:pPr>
            <w:r w:rsidRPr="00692FFC">
              <w:rPr>
                <w:rFonts w:cs="Times New Roman"/>
                <w:b/>
              </w:rPr>
              <w:t>Household Membe</w:t>
            </w:r>
            <w:r w:rsidRPr="00066B7E">
              <w:rPr>
                <w:rFonts w:cs="Times New Roman"/>
                <w:b/>
              </w:rPr>
              <w:t>rs</w:t>
            </w:r>
          </w:p>
        </w:tc>
        <w:tc>
          <w:tcPr>
            <w:tcW w:w="2186" w:type="pct"/>
            <w:shd w:val="clear" w:color="auto" w:fill="BDD6EE" w:themeFill="accent1" w:themeFillTint="66"/>
          </w:tcPr>
          <w:p w14:paraId="679412F5" w14:textId="49092AC9" w:rsidR="004F0194" w:rsidRPr="00692FFC" w:rsidRDefault="004F0194">
            <w:pPr>
              <w:spacing w:after="0" w:line="240" w:lineRule="auto"/>
              <w:jc w:val="center"/>
              <w:rPr>
                <w:rFonts w:cs="Times New Roman"/>
                <w:b/>
              </w:rPr>
            </w:pPr>
            <w:r w:rsidRPr="00066B7E">
              <w:rPr>
                <w:rFonts w:cs="Times New Roman"/>
                <w:b/>
              </w:rPr>
              <w:t>Maximum Occupancy</w:t>
            </w:r>
            <w:r w:rsidRPr="00692FFC">
              <w:rPr>
                <w:rFonts w:cs="Times New Roman"/>
                <w:b/>
              </w:rPr>
              <w:t xml:space="preserve"> if </w:t>
            </w:r>
            <w:r w:rsidR="002B3F3B">
              <w:rPr>
                <w:rFonts w:cs="Times New Roman"/>
                <w:b/>
              </w:rPr>
              <w:t>Using the</w:t>
            </w:r>
            <w:r w:rsidR="002B3F3B" w:rsidRPr="00692FFC">
              <w:rPr>
                <w:rFonts w:cs="Times New Roman"/>
                <w:b/>
              </w:rPr>
              <w:t xml:space="preserve"> </w:t>
            </w:r>
            <w:r w:rsidRPr="00692FFC">
              <w:rPr>
                <w:rFonts w:cs="Times New Roman"/>
                <w:b/>
              </w:rPr>
              <w:t>Living Room</w:t>
            </w:r>
            <w:r w:rsidR="002B3F3B">
              <w:rPr>
                <w:rFonts w:cs="Times New Roman"/>
                <w:b/>
              </w:rPr>
              <w:t xml:space="preserve"> </w:t>
            </w:r>
            <w:r w:rsidRPr="00692FFC">
              <w:rPr>
                <w:rFonts w:cs="Times New Roman"/>
                <w:b/>
              </w:rPr>
              <w:t>as a Sleeping Area</w:t>
            </w:r>
          </w:p>
        </w:tc>
      </w:tr>
      <w:tr w:rsidR="004F0194" w:rsidRPr="00692FFC" w14:paraId="470F5EE2" w14:textId="77777777" w:rsidTr="00066B7E">
        <w:trPr>
          <w:trHeight w:val="20"/>
        </w:trPr>
        <w:tc>
          <w:tcPr>
            <w:tcW w:w="628" w:type="pct"/>
            <w:shd w:val="clear" w:color="auto" w:fill="BDD6EE" w:themeFill="accent1" w:themeFillTint="66"/>
          </w:tcPr>
          <w:p w14:paraId="6B905153" w14:textId="77777777" w:rsidR="004F0194" w:rsidRPr="00692FFC" w:rsidRDefault="004F0194" w:rsidP="000E4A24">
            <w:pPr>
              <w:spacing w:after="0" w:line="240" w:lineRule="auto"/>
              <w:jc w:val="center"/>
              <w:rPr>
                <w:rFonts w:cs="Times New Roman"/>
                <w:b/>
              </w:rPr>
            </w:pPr>
            <w:r w:rsidRPr="00692FFC">
              <w:rPr>
                <w:rFonts w:cs="Times New Roman"/>
                <w:b/>
              </w:rPr>
              <w:t>0</w:t>
            </w:r>
          </w:p>
        </w:tc>
        <w:tc>
          <w:tcPr>
            <w:tcW w:w="1093" w:type="pct"/>
            <w:shd w:val="clear" w:color="auto" w:fill="DEEAF6" w:themeFill="accent1" w:themeFillTint="33"/>
          </w:tcPr>
          <w:p w14:paraId="1A8CDE42" w14:textId="77777777" w:rsidR="004F0194" w:rsidRPr="00692FFC" w:rsidRDefault="004F0194">
            <w:pPr>
              <w:spacing w:after="0" w:line="240" w:lineRule="auto"/>
              <w:jc w:val="center"/>
              <w:rPr>
                <w:rFonts w:cs="Times New Roman"/>
              </w:rPr>
            </w:pPr>
            <w:r w:rsidRPr="00692FFC">
              <w:rPr>
                <w:rFonts w:cs="Times New Roman"/>
              </w:rPr>
              <w:t>1</w:t>
            </w:r>
          </w:p>
        </w:tc>
        <w:tc>
          <w:tcPr>
            <w:tcW w:w="1093" w:type="pct"/>
            <w:shd w:val="clear" w:color="auto" w:fill="DEEAF6" w:themeFill="accent1" w:themeFillTint="33"/>
          </w:tcPr>
          <w:p w14:paraId="5FC13205" w14:textId="178D1BFC" w:rsidR="004F0194" w:rsidRPr="00692FFC" w:rsidRDefault="004F0194">
            <w:pPr>
              <w:spacing w:after="0" w:line="240" w:lineRule="auto"/>
              <w:jc w:val="center"/>
              <w:rPr>
                <w:rFonts w:cs="Times New Roman"/>
              </w:rPr>
            </w:pPr>
            <w:r w:rsidRPr="00692FFC">
              <w:rPr>
                <w:rFonts w:cs="Times New Roman"/>
              </w:rPr>
              <w:t>1</w:t>
            </w:r>
          </w:p>
        </w:tc>
        <w:tc>
          <w:tcPr>
            <w:tcW w:w="2186" w:type="pct"/>
            <w:shd w:val="clear" w:color="auto" w:fill="DEEAF6" w:themeFill="accent1" w:themeFillTint="33"/>
          </w:tcPr>
          <w:p w14:paraId="29373C41" w14:textId="640DD3DD" w:rsidR="004F0194" w:rsidRPr="00692FFC" w:rsidRDefault="00084BF8">
            <w:pPr>
              <w:spacing w:after="0" w:line="240" w:lineRule="auto"/>
              <w:jc w:val="center"/>
              <w:rPr>
                <w:rFonts w:cs="Times New Roman"/>
              </w:rPr>
            </w:pPr>
            <w:r w:rsidRPr="00692FFC">
              <w:rPr>
                <w:rFonts w:cs="Times New Roman"/>
              </w:rPr>
              <w:t>4</w:t>
            </w:r>
          </w:p>
        </w:tc>
      </w:tr>
      <w:tr w:rsidR="004F0194" w:rsidRPr="00692FFC" w14:paraId="4914DAE4" w14:textId="77777777" w:rsidTr="00066B7E">
        <w:trPr>
          <w:trHeight w:val="20"/>
        </w:trPr>
        <w:tc>
          <w:tcPr>
            <w:tcW w:w="628" w:type="pct"/>
            <w:shd w:val="clear" w:color="auto" w:fill="BDD6EE" w:themeFill="accent1" w:themeFillTint="66"/>
          </w:tcPr>
          <w:p w14:paraId="33B7D2B4" w14:textId="77777777" w:rsidR="004F0194" w:rsidRPr="00692FFC" w:rsidRDefault="004F0194" w:rsidP="000E4A24">
            <w:pPr>
              <w:spacing w:after="0" w:line="240" w:lineRule="auto"/>
              <w:jc w:val="center"/>
              <w:rPr>
                <w:rFonts w:cs="Times New Roman"/>
                <w:b/>
              </w:rPr>
            </w:pPr>
            <w:r w:rsidRPr="00692FFC">
              <w:rPr>
                <w:rFonts w:cs="Times New Roman"/>
                <w:b/>
              </w:rPr>
              <w:t>1</w:t>
            </w:r>
          </w:p>
        </w:tc>
        <w:tc>
          <w:tcPr>
            <w:tcW w:w="1093" w:type="pct"/>
            <w:shd w:val="clear" w:color="auto" w:fill="DEEAF6" w:themeFill="accent1" w:themeFillTint="33"/>
          </w:tcPr>
          <w:p w14:paraId="2E1B0B9F" w14:textId="77777777" w:rsidR="004F0194" w:rsidRPr="00692FFC" w:rsidRDefault="004F0194">
            <w:pPr>
              <w:spacing w:after="0" w:line="240" w:lineRule="auto"/>
              <w:jc w:val="center"/>
              <w:rPr>
                <w:rFonts w:cs="Times New Roman"/>
              </w:rPr>
            </w:pPr>
            <w:r w:rsidRPr="00692FFC">
              <w:rPr>
                <w:rFonts w:cs="Times New Roman"/>
              </w:rPr>
              <w:t>1</w:t>
            </w:r>
          </w:p>
        </w:tc>
        <w:tc>
          <w:tcPr>
            <w:tcW w:w="1093" w:type="pct"/>
            <w:shd w:val="clear" w:color="auto" w:fill="DEEAF6" w:themeFill="accent1" w:themeFillTint="33"/>
          </w:tcPr>
          <w:p w14:paraId="77DB4745" w14:textId="5BD32002" w:rsidR="004F0194" w:rsidRPr="00692FFC" w:rsidRDefault="004F0194">
            <w:pPr>
              <w:spacing w:after="0" w:line="240" w:lineRule="auto"/>
              <w:jc w:val="center"/>
              <w:rPr>
                <w:rFonts w:cs="Times New Roman"/>
              </w:rPr>
            </w:pPr>
            <w:r w:rsidRPr="00692FFC">
              <w:rPr>
                <w:rFonts w:cs="Times New Roman"/>
              </w:rPr>
              <w:t>2</w:t>
            </w:r>
          </w:p>
        </w:tc>
        <w:tc>
          <w:tcPr>
            <w:tcW w:w="2186" w:type="pct"/>
            <w:shd w:val="clear" w:color="auto" w:fill="DEEAF6" w:themeFill="accent1" w:themeFillTint="33"/>
          </w:tcPr>
          <w:p w14:paraId="5E99B07F" w14:textId="5E26B19A" w:rsidR="004F0194" w:rsidRPr="00692FFC" w:rsidRDefault="004F0194">
            <w:pPr>
              <w:spacing w:after="0" w:line="240" w:lineRule="auto"/>
              <w:jc w:val="center"/>
              <w:rPr>
                <w:rFonts w:cs="Times New Roman"/>
              </w:rPr>
            </w:pPr>
            <w:r w:rsidRPr="00692FFC">
              <w:rPr>
                <w:rFonts w:cs="Times New Roman"/>
              </w:rPr>
              <w:t>4</w:t>
            </w:r>
          </w:p>
        </w:tc>
      </w:tr>
      <w:tr w:rsidR="004F0194" w:rsidRPr="00692FFC" w14:paraId="6BD36EB5" w14:textId="77777777" w:rsidTr="00066B7E">
        <w:trPr>
          <w:trHeight w:val="20"/>
        </w:trPr>
        <w:tc>
          <w:tcPr>
            <w:tcW w:w="628" w:type="pct"/>
            <w:shd w:val="clear" w:color="auto" w:fill="BDD6EE" w:themeFill="accent1" w:themeFillTint="66"/>
          </w:tcPr>
          <w:p w14:paraId="401E461A" w14:textId="77777777" w:rsidR="004F0194" w:rsidRPr="00692FFC" w:rsidRDefault="004F0194" w:rsidP="000E4A24">
            <w:pPr>
              <w:spacing w:after="0" w:line="240" w:lineRule="auto"/>
              <w:jc w:val="center"/>
              <w:rPr>
                <w:rFonts w:cs="Times New Roman"/>
                <w:b/>
              </w:rPr>
            </w:pPr>
            <w:r w:rsidRPr="00692FFC">
              <w:rPr>
                <w:rFonts w:cs="Times New Roman"/>
                <w:b/>
              </w:rPr>
              <w:t>2</w:t>
            </w:r>
          </w:p>
        </w:tc>
        <w:tc>
          <w:tcPr>
            <w:tcW w:w="1093" w:type="pct"/>
            <w:shd w:val="clear" w:color="auto" w:fill="DEEAF6" w:themeFill="accent1" w:themeFillTint="33"/>
          </w:tcPr>
          <w:p w14:paraId="64743526" w14:textId="77777777" w:rsidR="004F0194" w:rsidRPr="00692FFC" w:rsidRDefault="004F0194">
            <w:pPr>
              <w:spacing w:after="0" w:line="240" w:lineRule="auto"/>
              <w:jc w:val="center"/>
              <w:rPr>
                <w:rFonts w:cs="Times New Roman"/>
              </w:rPr>
            </w:pPr>
            <w:r w:rsidRPr="00692FFC">
              <w:rPr>
                <w:rFonts w:cs="Times New Roman"/>
              </w:rPr>
              <w:t>2</w:t>
            </w:r>
          </w:p>
        </w:tc>
        <w:tc>
          <w:tcPr>
            <w:tcW w:w="1093" w:type="pct"/>
            <w:shd w:val="clear" w:color="auto" w:fill="DEEAF6" w:themeFill="accent1" w:themeFillTint="33"/>
          </w:tcPr>
          <w:p w14:paraId="7CFD30D3" w14:textId="4CA04DAC" w:rsidR="004F0194" w:rsidRPr="00692FFC" w:rsidRDefault="004F0194">
            <w:pPr>
              <w:spacing w:after="0" w:line="240" w:lineRule="auto"/>
              <w:jc w:val="center"/>
              <w:rPr>
                <w:rFonts w:cs="Times New Roman"/>
              </w:rPr>
            </w:pPr>
            <w:r w:rsidRPr="00692FFC">
              <w:rPr>
                <w:rFonts w:cs="Times New Roman"/>
              </w:rPr>
              <w:t>4</w:t>
            </w:r>
          </w:p>
        </w:tc>
        <w:tc>
          <w:tcPr>
            <w:tcW w:w="2186" w:type="pct"/>
            <w:shd w:val="clear" w:color="auto" w:fill="DEEAF6" w:themeFill="accent1" w:themeFillTint="33"/>
          </w:tcPr>
          <w:p w14:paraId="5927ED9C" w14:textId="78D41D21" w:rsidR="004F0194" w:rsidRPr="00692FFC" w:rsidRDefault="004F0194">
            <w:pPr>
              <w:spacing w:after="0" w:line="240" w:lineRule="auto"/>
              <w:jc w:val="center"/>
              <w:rPr>
                <w:rFonts w:cs="Times New Roman"/>
              </w:rPr>
            </w:pPr>
            <w:r w:rsidRPr="00692FFC">
              <w:rPr>
                <w:rFonts w:cs="Times New Roman"/>
              </w:rPr>
              <w:t>6</w:t>
            </w:r>
          </w:p>
        </w:tc>
      </w:tr>
      <w:tr w:rsidR="004F0194" w:rsidRPr="00692FFC" w14:paraId="7CACFE7B" w14:textId="77777777" w:rsidTr="00066B7E">
        <w:trPr>
          <w:trHeight w:val="20"/>
        </w:trPr>
        <w:tc>
          <w:tcPr>
            <w:tcW w:w="628" w:type="pct"/>
            <w:shd w:val="clear" w:color="auto" w:fill="BDD6EE" w:themeFill="accent1" w:themeFillTint="66"/>
          </w:tcPr>
          <w:p w14:paraId="294B0B51" w14:textId="77777777" w:rsidR="004F0194" w:rsidRPr="00692FFC" w:rsidRDefault="004F0194" w:rsidP="000E4A24">
            <w:pPr>
              <w:spacing w:after="0" w:line="240" w:lineRule="auto"/>
              <w:jc w:val="center"/>
              <w:rPr>
                <w:rFonts w:cs="Times New Roman"/>
                <w:b/>
              </w:rPr>
            </w:pPr>
            <w:r w:rsidRPr="00692FFC">
              <w:rPr>
                <w:rFonts w:cs="Times New Roman"/>
                <w:b/>
              </w:rPr>
              <w:t>3</w:t>
            </w:r>
          </w:p>
        </w:tc>
        <w:tc>
          <w:tcPr>
            <w:tcW w:w="1093" w:type="pct"/>
            <w:shd w:val="clear" w:color="auto" w:fill="DEEAF6" w:themeFill="accent1" w:themeFillTint="33"/>
          </w:tcPr>
          <w:p w14:paraId="3EFDFC1E" w14:textId="1048F096" w:rsidR="004F0194" w:rsidRPr="00692FFC" w:rsidRDefault="004F0194">
            <w:pPr>
              <w:spacing w:after="0" w:line="240" w:lineRule="auto"/>
              <w:jc w:val="center"/>
              <w:rPr>
                <w:rFonts w:cs="Times New Roman"/>
              </w:rPr>
            </w:pPr>
            <w:r w:rsidRPr="00692FFC">
              <w:rPr>
                <w:rFonts w:cs="Times New Roman"/>
              </w:rPr>
              <w:t>4</w:t>
            </w:r>
          </w:p>
        </w:tc>
        <w:tc>
          <w:tcPr>
            <w:tcW w:w="1093" w:type="pct"/>
            <w:shd w:val="clear" w:color="auto" w:fill="DEEAF6" w:themeFill="accent1" w:themeFillTint="33"/>
          </w:tcPr>
          <w:p w14:paraId="1B1D7873" w14:textId="08FF9911" w:rsidR="004F0194" w:rsidRPr="00692FFC" w:rsidRDefault="004F0194">
            <w:pPr>
              <w:spacing w:after="0" w:line="240" w:lineRule="auto"/>
              <w:jc w:val="center"/>
              <w:rPr>
                <w:rFonts w:cs="Times New Roman"/>
              </w:rPr>
            </w:pPr>
            <w:r w:rsidRPr="00692FFC">
              <w:rPr>
                <w:rFonts w:cs="Times New Roman"/>
              </w:rPr>
              <w:t>6</w:t>
            </w:r>
          </w:p>
        </w:tc>
        <w:tc>
          <w:tcPr>
            <w:tcW w:w="2186" w:type="pct"/>
            <w:shd w:val="clear" w:color="auto" w:fill="DEEAF6" w:themeFill="accent1" w:themeFillTint="33"/>
          </w:tcPr>
          <w:p w14:paraId="30BDCEA3" w14:textId="560CDC59" w:rsidR="004F0194" w:rsidRPr="00692FFC" w:rsidRDefault="004F0194">
            <w:pPr>
              <w:spacing w:after="0" w:line="240" w:lineRule="auto"/>
              <w:jc w:val="center"/>
              <w:rPr>
                <w:rFonts w:cs="Times New Roman"/>
              </w:rPr>
            </w:pPr>
            <w:r w:rsidRPr="00692FFC">
              <w:rPr>
                <w:rFonts w:cs="Times New Roman"/>
              </w:rPr>
              <w:t>8</w:t>
            </w:r>
          </w:p>
        </w:tc>
      </w:tr>
      <w:tr w:rsidR="004F0194" w:rsidRPr="00692FFC" w14:paraId="554F3E5C" w14:textId="77777777" w:rsidTr="00066B7E">
        <w:trPr>
          <w:trHeight w:val="20"/>
        </w:trPr>
        <w:tc>
          <w:tcPr>
            <w:tcW w:w="628" w:type="pct"/>
            <w:shd w:val="clear" w:color="auto" w:fill="BDD6EE" w:themeFill="accent1" w:themeFillTint="66"/>
          </w:tcPr>
          <w:p w14:paraId="13ABA887" w14:textId="77777777" w:rsidR="004F0194" w:rsidRPr="00692FFC" w:rsidRDefault="004F0194" w:rsidP="000E4A24">
            <w:pPr>
              <w:spacing w:after="0" w:line="240" w:lineRule="auto"/>
              <w:jc w:val="center"/>
              <w:rPr>
                <w:rFonts w:cs="Times New Roman"/>
                <w:b/>
              </w:rPr>
            </w:pPr>
            <w:r w:rsidRPr="00692FFC">
              <w:rPr>
                <w:rFonts w:cs="Times New Roman"/>
                <w:b/>
              </w:rPr>
              <w:t>4</w:t>
            </w:r>
          </w:p>
        </w:tc>
        <w:tc>
          <w:tcPr>
            <w:tcW w:w="1093" w:type="pct"/>
            <w:shd w:val="clear" w:color="auto" w:fill="DEEAF6" w:themeFill="accent1" w:themeFillTint="33"/>
          </w:tcPr>
          <w:p w14:paraId="3B6CEFA0" w14:textId="77777777" w:rsidR="004F0194" w:rsidRPr="00692FFC" w:rsidRDefault="004F0194">
            <w:pPr>
              <w:spacing w:after="0" w:line="240" w:lineRule="auto"/>
              <w:jc w:val="center"/>
              <w:rPr>
                <w:rFonts w:cs="Times New Roman"/>
              </w:rPr>
            </w:pPr>
            <w:r w:rsidRPr="00692FFC">
              <w:rPr>
                <w:rFonts w:cs="Times New Roman"/>
              </w:rPr>
              <w:t>6</w:t>
            </w:r>
          </w:p>
        </w:tc>
        <w:tc>
          <w:tcPr>
            <w:tcW w:w="1093" w:type="pct"/>
            <w:shd w:val="clear" w:color="auto" w:fill="DEEAF6" w:themeFill="accent1" w:themeFillTint="33"/>
          </w:tcPr>
          <w:p w14:paraId="6E2E5896" w14:textId="67C3AC18" w:rsidR="004F0194" w:rsidRPr="00692FFC" w:rsidRDefault="004F0194">
            <w:pPr>
              <w:spacing w:after="0" w:line="240" w:lineRule="auto"/>
              <w:jc w:val="center"/>
              <w:rPr>
                <w:rFonts w:cs="Times New Roman"/>
              </w:rPr>
            </w:pPr>
            <w:r w:rsidRPr="00692FFC">
              <w:rPr>
                <w:rFonts w:cs="Times New Roman"/>
              </w:rPr>
              <w:t>8</w:t>
            </w:r>
          </w:p>
        </w:tc>
        <w:tc>
          <w:tcPr>
            <w:tcW w:w="2186" w:type="pct"/>
            <w:shd w:val="clear" w:color="auto" w:fill="DEEAF6" w:themeFill="accent1" w:themeFillTint="33"/>
          </w:tcPr>
          <w:p w14:paraId="5D31A9E3" w14:textId="7B52FDEE" w:rsidR="004F0194" w:rsidRPr="00692FFC" w:rsidRDefault="004F0194">
            <w:pPr>
              <w:spacing w:after="0" w:line="240" w:lineRule="auto"/>
              <w:jc w:val="center"/>
              <w:rPr>
                <w:rFonts w:cs="Times New Roman"/>
              </w:rPr>
            </w:pPr>
            <w:r w:rsidRPr="00692FFC">
              <w:rPr>
                <w:rFonts w:cs="Times New Roman"/>
              </w:rPr>
              <w:t>10</w:t>
            </w:r>
          </w:p>
        </w:tc>
      </w:tr>
      <w:tr w:rsidR="004F0194" w:rsidRPr="00692FFC" w14:paraId="55671D06" w14:textId="77777777" w:rsidTr="00066B7E">
        <w:trPr>
          <w:trHeight w:val="20"/>
        </w:trPr>
        <w:tc>
          <w:tcPr>
            <w:tcW w:w="628" w:type="pct"/>
            <w:shd w:val="clear" w:color="auto" w:fill="BDD6EE" w:themeFill="accent1" w:themeFillTint="66"/>
          </w:tcPr>
          <w:p w14:paraId="5C18218B" w14:textId="77777777" w:rsidR="004F0194" w:rsidRPr="00692FFC" w:rsidRDefault="004F0194" w:rsidP="000E4A24">
            <w:pPr>
              <w:spacing w:after="0" w:line="240" w:lineRule="auto"/>
              <w:jc w:val="center"/>
              <w:rPr>
                <w:rFonts w:cs="Times New Roman"/>
                <w:b/>
              </w:rPr>
            </w:pPr>
            <w:r w:rsidRPr="00692FFC">
              <w:rPr>
                <w:rFonts w:cs="Times New Roman"/>
                <w:b/>
              </w:rPr>
              <w:t>5</w:t>
            </w:r>
          </w:p>
        </w:tc>
        <w:tc>
          <w:tcPr>
            <w:tcW w:w="1093" w:type="pct"/>
            <w:shd w:val="clear" w:color="auto" w:fill="DEEAF6" w:themeFill="accent1" w:themeFillTint="33"/>
          </w:tcPr>
          <w:p w14:paraId="24CBAE56" w14:textId="77777777" w:rsidR="004F0194" w:rsidRPr="00692FFC" w:rsidRDefault="004F0194">
            <w:pPr>
              <w:spacing w:after="0" w:line="240" w:lineRule="auto"/>
              <w:jc w:val="center"/>
              <w:rPr>
                <w:rFonts w:cs="Times New Roman"/>
              </w:rPr>
            </w:pPr>
            <w:r w:rsidRPr="00692FFC">
              <w:rPr>
                <w:rFonts w:cs="Times New Roman"/>
              </w:rPr>
              <w:t>8</w:t>
            </w:r>
          </w:p>
        </w:tc>
        <w:tc>
          <w:tcPr>
            <w:tcW w:w="1093" w:type="pct"/>
            <w:shd w:val="clear" w:color="auto" w:fill="DEEAF6" w:themeFill="accent1" w:themeFillTint="33"/>
          </w:tcPr>
          <w:p w14:paraId="177E915B" w14:textId="7415AF8D" w:rsidR="004F0194" w:rsidRPr="00692FFC" w:rsidRDefault="004F0194">
            <w:pPr>
              <w:spacing w:after="0" w:line="240" w:lineRule="auto"/>
              <w:jc w:val="center"/>
              <w:rPr>
                <w:rFonts w:cs="Times New Roman"/>
              </w:rPr>
            </w:pPr>
            <w:r w:rsidRPr="00692FFC">
              <w:rPr>
                <w:rFonts w:cs="Times New Roman"/>
              </w:rPr>
              <w:t>10</w:t>
            </w:r>
          </w:p>
        </w:tc>
        <w:tc>
          <w:tcPr>
            <w:tcW w:w="2186" w:type="pct"/>
            <w:shd w:val="clear" w:color="auto" w:fill="DEEAF6" w:themeFill="accent1" w:themeFillTint="33"/>
          </w:tcPr>
          <w:p w14:paraId="34EBCEBE" w14:textId="04444F50" w:rsidR="004F0194" w:rsidRPr="00692FFC" w:rsidRDefault="004F0194">
            <w:pPr>
              <w:spacing w:after="0" w:line="240" w:lineRule="auto"/>
              <w:jc w:val="center"/>
              <w:rPr>
                <w:rFonts w:cs="Times New Roman"/>
              </w:rPr>
            </w:pPr>
            <w:r w:rsidRPr="00692FFC">
              <w:rPr>
                <w:rFonts w:cs="Times New Roman"/>
              </w:rPr>
              <w:t>12</w:t>
            </w:r>
          </w:p>
        </w:tc>
      </w:tr>
      <w:tr w:rsidR="00FD77C0" w:rsidRPr="00692FFC" w14:paraId="4A3EA9C6" w14:textId="77777777" w:rsidTr="00066B7E">
        <w:trPr>
          <w:trHeight w:val="20"/>
        </w:trPr>
        <w:tc>
          <w:tcPr>
            <w:tcW w:w="628" w:type="pct"/>
            <w:shd w:val="clear" w:color="auto" w:fill="BDD6EE" w:themeFill="accent1" w:themeFillTint="66"/>
          </w:tcPr>
          <w:p w14:paraId="3E5B9926" w14:textId="6103EBBE" w:rsidR="00FD77C0" w:rsidRPr="00692FFC" w:rsidRDefault="00FD77C0" w:rsidP="000E4A24">
            <w:pPr>
              <w:spacing w:after="0" w:line="240" w:lineRule="auto"/>
              <w:jc w:val="center"/>
              <w:rPr>
                <w:rFonts w:cs="Times New Roman"/>
                <w:b/>
              </w:rPr>
            </w:pPr>
            <w:r>
              <w:rPr>
                <w:rFonts w:cs="Times New Roman"/>
                <w:b/>
              </w:rPr>
              <w:t>6</w:t>
            </w:r>
          </w:p>
        </w:tc>
        <w:tc>
          <w:tcPr>
            <w:tcW w:w="1093" w:type="pct"/>
            <w:shd w:val="clear" w:color="auto" w:fill="DEEAF6" w:themeFill="accent1" w:themeFillTint="33"/>
          </w:tcPr>
          <w:p w14:paraId="5B0F2D88" w14:textId="714CEC11" w:rsidR="00FD77C0" w:rsidRPr="00692FFC" w:rsidRDefault="00FD77C0">
            <w:pPr>
              <w:spacing w:after="0" w:line="240" w:lineRule="auto"/>
              <w:jc w:val="center"/>
              <w:rPr>
                <w:rFonts w:cs="Times New Roman"/>
              </w:rPr>
            </w:pPr>
            <w:r>
              <w:rPr>
                <w:rFonts w:cs="Times New Roman"/>
              </w:rPr>
              <w:t>10</w:t>
            </w:r>
          </w:p>
        </w:tc>
        <w:tc>
          <w:tcPr>
            <w:tcW w:w="1093" w:type="pct"/>
            <w:shd w:val="clear" w:color="auto" w:fill="DEEAF6" w:themeFill="accent1" w:themeFillTint="33"/>
          </w:tcPr>
          <w:p w14:paraId="7052955E" w14:textId="01C9B322" w:rsidR="00FD77C0" w:rsidRPr="00692FFC" w:rsidRDefault="00FD77C0">
            <w:pPr>
              <w:spacing w:after="0" w:line="240" w:lineRule="auto"/>
              <w:jc w:val="center"/>
              <w:rPr>
                <w:rFonts w:cs="Times New Roman"/>
              </w:rPr>
            </w:pPr>
            <w:r>
              <w:rPr>
                <w:rFonts w:cs="Times New Roman"/>
              </w:rPr>
              <w:t>12</w:t>
            </w:r>
          </w:p>
        </w:tc>
        <w:tc>
          <w:tcPr>
            <w:tcW w:w="2186" w:type="pct"/>
            <w:shd w:val="clear" w:color="auto" w:fill="DEEAF6" w:themeFill="accent1" w:themeFillTint="33"/>
          </w:tcPr>
          <w:p w14:paraId="2B39249F" w14:textId="1266E033" w:rsidR="00FD77C0" w:rsidRPr="00692FFC" w:rsidRDefault="00FD77C0">
            <w:pPr>
              <w:spacing w:after="0" w:line="240" w:lineRule="auto"/>
              <w:jc w:val="center"/>
              <w:rPr>
                <w:rFonts w:cs="Times New Roman"/>
              </w:rPr>
            </w:pPr>
            <w:r>
              <w:rPr>
                <w:rFonts w:cs="Times New Roman"/>
              </w:rPr>
              <w:t>14</w:t>
            </w:r>
          </w:p>
        </w:tc>
      </w:tr>
    </w:tbl>
    <w:p w14:paraId="68A00556" w14:textId="2EF5F8A6" w:rsidR="005B76AF" w:rsidRPr="002A61C8" w:rsidRDefault="005B76AF" w:rsidP="002A61C8">
      <w:pPr>
        <w:spacing w:after="0" w:line="240" w:lineRule="auto"/>
        <w:ind w:left="720" w:hanging="720"/>
      </w:pPr>
    </w:p>
    <w:p w14:paraId="7D3039AA" w14:textId="77777777" w:rsidR="00972B41" w:rsidRPr="00997CAD" w:rsidRDefault="00972B41">
      <w:pPr>
        <w:pStyle w:val="NoSpacing"/>
        <w:numPr>
          <w:ilvl w:val="1"/>
          <w:numId w:val="85"/>
        </w:numPr>
        <w:rPr>
          <w:rFonts w:cs="Times New Roman"/>
          <w:b/>
          <w:u w:val="single"/>
        </w:rPr>
      </w:pPr>
      <w:bookmarkStart w:id="25" w:name="_Hlk109213731"/>
      <w:r w:rsidRPr="00997CAD">
        <w:rPr>
          <w:rFonts w:cs="Times New Roman"/>
          <w:b/>
          <w:u w:val="single"/>
        </w:rPr>
        <w:t>Rent Standard and Rent Reasonableness</w:t>
      </w:r>
    </w:p>
    <w:p w14:paraId="12C8387B" w14:textId="4B8EC9F3" w:rsidR="00B437D9" w:rsidRDefault="00B437D9">
      <w:pPr>
        <w:pStyle w:val="NoSpacing"/>
        <w:ind w:left="720"/>
        <w:rPr>
          <w:rFonts w:cs="Times New Roman"/>
        </w:rPr>
      </w:pPr>
      <w:bookmarkStart w:id="26" w:name="_Hlk119420488"/>
      <w:r>
        <w:rPr>
          <w:rFonts w:cs="Times New Roman"/>
        </w:rPr>
        <w:t>HOPWA grantees</w:t>
      </w:r>
      <w:r w:rsidRPr="00B437D9">
        <w:rPr>
          <w:rFonts w:cs="Times New Roman"/>
        </w:rPr>
        <w:t xml:space="preserve"> </w:t>
      </w:r>
      <w:r>
        <w:rPr>
          <w:rFonts w:cs="Times New Roman"/>
        </w:rPr>
        <w:t xml:space="preserve">that authorize rental assistance activities </w:t>
      </w:r>
      <w:r w:rsidRPr="00B437D9">
        <w:rPr>
          <w:rFonts w:cs="Times New Roman"/>
        </w:rPr>
        <w:t>must have rent standard</w:t>
      </w:r>
      <w:r w:rsidR="0099782B">
        <w:rPr>
          <w:rFonts w:cs="Times New Roman"/>
        </w:rPr>
        <w:t>s</w:t>
      </w:r>
      <w:r w:rsidRPr="00B437D9">
        <w:rPr>
          <w:rFonts w:cs="Times New Roman"/>
        </w:rPr>
        <w:t>, which set limit</w:t>
      </w:r>
      <w:r w:rsidR="0099782B">
        <w:rPr>
          <w:rFonts w:cs="Times New Roman"/>
        </w:rPr>
        <w:t>s</w:t>
      </w:r>
      <w:r w:rsidRPr="00B437D9">
        <w:rPr>
          <w:rFonts w:cs="Times New Roman"/>
        </w:rPr>
        <w:t xml:space="preserve"> for housing costs for each unit size, from efficiencies to six-bedroom units.</w:t>
      </w:r>
      <w:r>
        <w:rPr>
          <w:rFonts w:cs="Times New Roman"/>
        </w:rPr>
        <w:t xml:space="preserve"> </w:t>
      </w:r>
      <w:r w:rsidRPr="00B437D9">
        <w:rPr>
          <w:rFonts w:cs="Times New Roman"/>
        </w:rPr>
        <w:t xml:space="preserve">Rent standards should allow eligible households a reasonable selection of </w:t>
      </w:r>
      <w:r w:rsidR="0099782B">
        <w:rPr>
          <w:rFonts w:cs="Times New Roman"/>
        </w:rPr>
        <w:t>decent</w:t>
      </w:r>
      <w:r w:rsidRPr="00B437D9">
        <w:rPr>
          <w:rFonts w:cs="Times New Roman"/>
        </w:rPr>
        <w:t xml:space="preserve">, safe, and sanitary units in a range of neighborhoods. </w:t>
      </w:r>
      <w:r>
        <w:rPr>
          <w:rFonts w:cs="Times New Roman"/>
        </w:rPr>
        <w:t xml:space="preserve">As the grantee, DSHS must establish </w:t>
      </w:r>
      <w:r w:rsidR="0099782B">
        <w:rPr>
          <w:rFonts w:cs="Times New Roman"/>
        </w:rPr>
        <w:t>these</w:t>
      </w:r>
      <w:r>
        <w:rPr>
          <w:rFonts w:cs="Times New Roman"/>
        </w:rPr>
        <w:t xml:space="preserve"> rent standard</w:t>
      </w:r>
      <w:r w:rsidR="0099782B">
        <w:rPr>
          <w:rFonts w:cs="Times New Roman"/>
        </w:rPr>
        <w:t>s</w:t>
      </w:r>
      <w:r>
        <w:rPr>
          <w:rFonts w:cs="Times New Roman"/>
        </w:rPr>
        <w:t xml:space="preserve">, and any Project Sponsor using DSHS HOPWA Program funds to provide rental assistance must </w:t>
      </w:r>
      <w:r w:rsidR="007C7F72">
        <w:rPr>
          <w:rFonts w:cs="Times New Roman"/>
        </w:rPr>
        <w:t>adopt</w:t>
      </w:r>
      <w:r>
        <w:rPr>
          <w:rFonts w:cs="Times New Roman"/>
        </w:rPr>
        <w:t xml:space="preserve"> </w:t>
      </w:r>
      <w:r w:rsidR="002A38F8">
        <w:rPr>
          <w:rFonts w:cs="Times New Roman"/>
        </w:rPr>
        <w:t>them</w:t>
      </w:r>
      <w:r>
        <w:rPr>
          <w:rFonts w:cs="Times New Roman"/>
        </w:rPr>
        <w:t xml:space="preserve">. </w:t>
      </w:r>
      <w:r w:rsidRPr="00B437D9">
        <w:rPr>
          <w:rFonts w:cs="Times New Roman"/>
        </w:rPr>
        <w:t>Low rent standards make it difficult for households to find acceptable units</w:t>
      </w:r>
      <w:r w:rsidR="0099782B" w:rsidRPr="0099782B">
        <w:t xml:space="preserve"> </w:t>
      </w:r>
      <w:r w:rsidR="0099782B" w:rsidRPr="0099782B">
        <w:rPr>
          <w:rFonts w:cs="Times New Roman"/>
        </w:rPr>
        <w:t>in neighborhoods close to medical care, transportation, employment, schools, and other resources</w:t>
      </w:r>
      <w:r w:rsidR="0099782B">
        <w:rPr>
          <w:rFonts w:cs="Times New Roman"/>
        </w:rPr>
        <w:t>. H</w:t>
      </w:r>
      <w:r w:rsidRPr="00B437D9">
        <w:rPr>
          <w:rFonts w:cs="Times New Roman"/>
        </w:rPr>
        <w:t>igh rent standards can limit the number of households</w:t>
      </w:r>
      <w:r>
        <w:rPr>
          <w:rFonts w:cs="Times New Roman"/>
        </w:rPr>
        <w:t xml:space="preserve"> </w:t>
      </w:r>
      <w:r w:rsidR="0099782B">
        <w:rPr>
          <w:rFonts w:cs="Times New Roman"/>
        </w:rPr>
        <w:t>Project Sponsors serve</w:t>
      </w:r>
      <w:r>
        <w:rPr>
          <w:rFonts w:cs="Times New Roman"/>
        </w:rPr>
        <w:t xml:space="preserve"> </w:t>
      </w:r>
      <w:r w:rsidR="00E62404">
        <w:rPr>
          <w:rFonts w:cs="Times New Roman"/>
        </w:rPr>
        <w:t>given</w:t>
      </w:r>
      <w:r w:rsidRPr="00B437D9">
        <w:rPr>
          <w:rFonts w:cs="Times New Roman"/>
        </w:rPr>
        <w:t xml:space="preserve"> </w:t>
      </w:r>
      <w:r w:rsidR="00804CEF">
        <w:rPr>
          <w:rFonts w:cs="Times New Roman"/>
        </w:rPr>
        <w:t>finite</w:t>
      </w:r>
      <w:r w:rsidRPr="00B437D9">
        <w:rPr>
          <w:rFonts w:cs="Times New Roman"/>
        </w:rPr>
        <w:t xml:space="preserve"> funding.</w:t>
      </w:r>
    </w:p>
    <w:p w14:paraId="36CC672D" w14:textId="77777777" w:rsidR="00B437D9" w:rsidRDefault="00B437D9">
      <w:pPr>
        <w:pStyle w:val="NoSpacing"/>
        <w:ind w:left="720"/>
        <w:rPr>
          <w:rFonts w:cs="Times New Roman"/>
        </w:rPr>
      </w:pPr>
    </w:p>
    <w:p w14:paraId="6F340752" w14:textId="7F5FAE57" w:rsidR="00A00BA1" w:rsidRDefault="00B437D9" w:rsidP="002A38F8">
      <w:pPr>
        <w:pStyle w:val="NoSpacing"/>
        <w:ind w:left="720"/>
        <w:rPr>
          <w:rFonts w:cs="Times New Roman"/>
        </w:rPr>
      </w:pPr>
      <w:r w:rsidRPr="008026D4">
        <w:rPr>
          <w:rFonts w:cs="Times New Roman"/>
        </w:rPr>
        <w:t>Per 24 CFR §574.320(a)</w:t>
      </w:r>
      <w:r>
        <w:rPr>
          <w:rFonts w:cs="Times New Roman"/>
        </w:rPr>
        <w:t>(2)</w:t>
      </w:r>
      <w:r w:rsidRPr="008026D4">
        <w:rPr>
          <w:rFonts w:cs="Times New Roman"/>
        </w:rPr>
        <w:t>,</w:t>
      </w:r>
      <w:r w:rsidR="002A38F8">
        <w:rPr>
          <w:rFonts w:cs="Times New Roman"/>
        </w:rPr>
        <w:t xml:space="preserve"> t</w:t>
      </w:r>
      <w:r w:rsidR="00E62404" w:rsidRPr="00345A11">
        <w:rPr>
          <w:rFonts w:cs="Times New Roman"/>
        </w:rPr>
        <w:t xml:space="preserve">he rent standard </w:t>
      </w:r>
      <w:r w:rsidR="002A38F8">
        <w:rPr>
          <w:rFonts w:cs="Times New Roman"/>
        </w:rPr>
        <w:t>cannot exceed</w:t>
      </w:r>
      <w:r w:rsidR="00E62404" w:rsidRPr="00345A11">
        <w:rPr>
          <w:rFonts w:cs="Times New Roman"/>
        </w:rPr>
        <w:t xml:space="preserve"> </w:t>
      </w:r>
      <w:r w:rsidR="00E62404">
        <w:rPr>
          <w:rFonts w:cs="Times New Roman"/>
        </w:rPr>
        <w:t xml:space="preserve">1) </w:t>
      </w:r>
      <w:r w:rsidR="00E62404" w:rsidRPr="00345A11">
        <w:rPr>
          <w:rFonts w:cs="Times New Roman"/>
        </w:rPr>
        <w:t xml:space="preserve">the published </w:t>
      </w:r>
      <w:r w:rsidR="00E62404">
        <w:rPr>
          <w:rFonts w:cs="Times New Roman"/>
        </w:rPr>
        <w:t>F</w:t>
      </w:r>
      <w:r w:rsidR="00E62404" w:rsidRPr="00345A11">
        <w:rPr>
          <w:rFonts w:cs="Times New Roman"/>
        </w:rPr>
        <w:t xml:space="preserve">air </w:t>
      </w:r>
      <w:r w:rsidR="00E62404">
        <w:rPr>
          <w:rFonts w:cs="Times New Roman"/>
        </w:rPr>
        <w:t>M</w:t>
      </w:r>
      <w:r w:rsidR="00E62404" w:rsidRPr="00345A11">
        <w:rPr>
          <w:rFonts w:cs="Times New Roman"/>
        </w:rPr>
        <w:t xml:space="preserve">arket </w:t>
      </w:r>
      <w:r w:rsidR="00E62404">
        <w:rPr>
          <w:rFonts w:cs="Times New Roman"/>
        </w:rPr>
        <w:t>R</w:t>
      </w:r>
      <w:r w:rsidR="00E62404" w:rsidRPr="00345A11">
        <w:rPr>
          <w:rFonts w:cs="Times New Roman"/>
        </w:rPr>
        <w:t xml:space="preserve">ent (FMR) or </w:t>
      </w:r>
      <w:r w:rsidR="00E62404">
        <w:rPr>
          <w:rFonts w:cs="Times New Roman"/>
        </w:rPr>
        <w:t xml:space="preserve">2) </w:t>
      </w:r>
      <w:r w:rsidR="00E62404" w:rsidRPr="00345A11">
        <w:rPr>
          <w:rFonts w:cs="Times New Roman"/>
        </w:rPr>
        <w:t>the HUD-approved community-wide exception rent</w:t>
      </w:r>
      <w:r w:rsidR="00E62404">
        <w:rPr>
          <w:rFonts w:cs="Times New Roman"/>
        </w:rPr>
        <w:t>.</w:t>
      </w:r>
      <w:r w:rsidR="002A38F8">
        <w:rPr>
          <w:rFonts w:cs="Times New Roman"/>
        </w:rPr>
        <w:t xml:space="preserve"> </w:t>
      </w:r>
      <w:r w:rsidR="002A38F8" w:rsidRPr="000423CC">
        <w:rPr>
          <w:rFonts w:cs="Times New Roman"/>
        </w:rPr>
        <w:t xml:space="preserve">The DSHS HOPWA Program </w:t>
      </w:r>
      <w:r w:rsidR="007C7F72">
        <w:rPr>
          <w:rFonts w:cs="Times New Roman"/>
        </w:rPr>
        <w:t xml:space="preserve">uses a </w:t>
      </w:r>
      <w:r w:rsidR="007C7F72" w:rsidRPr="007C7F72">
        <w:rPr>
          <w:rFonts w:cs="Times New Roman"/>
        </w:rPr>
        <w:t>HUD-approved community-wide exception rent</w:t>
      </w:r>
      <w:r w:rsidR="00F056B5">
        <w:rPr>
          <w:rFonts w:cs="Times New Roman"/>
        </w:rPr>
        <w:t xml:space="preserve"> based on documented </w:t>
      </w:r>
      <w:r w:rsidR="00F056B5" w:rsidRPr="00F056B5">
        <w:rPr>
          <w:rFonts w:cs="Times New Roman"/>
        </w:rPr>
        <w:t>local housing costs and the housing needs of low-income PLWH in Texas</w:t>
      </w:r>
      <w:r w:rsidR="002A38F8" w:rsidRPr="000423CC">
        <w:rPr>
          <w:rFonts w:cs="Times New Roman"/>
        </w:rPr>
        <w:t xml:space="preserve">. </w:t>
      </w:r>
      <w:r w:rsidR="00F056B5">
        <w:rPr>
          <w:rFonts w:cs="Times New Roman"/>
        </w:rPr>
        <w:t>Project Sponsors use</w:t>
      </w:r>
      <w:r w:rsidR="002A38F8" w:rsidRPr="000423CC">
        <w:rPr>
          <w:rFonts w:cs="Times New Roman"/>
        </w:rPr>
        <w:t xml:space="preserve"> </w:t>
      </w:r>
      <w:r w:rsidR="00F056B5">
        <w:rPr>
          <w:rFonts w:cs="Times New Roman"/>
        </w:rPr>
        <w:t xml:space="preserve">1) </w:t>
      </w:r>
      <w:r w:rsidR="002A38F8">
        <w:rPr>
          <w:rFonts w:cs="Times New Roman"/>
        </w:rPr>
        <w:t>130</w:t>
      </w:r>
      <w:r w:rsidR="002A38F8" w:rsidRPr="000423CC">
        <w:rPr>
          <w:rFonts w:cs="Times New Roman"/>
        </w:rPr>
        <w:t xml:space="preserve"> percent of the Small Area Fair Market Rent (SAFMR) where available, or </w:t>
      </w:r>
      <w:r w:rsidR="00F056B5">
        <w:rPr>
          <w:rFonts w:cs="Times New Roman"/>
        </w:rPr>
        <w:t xml:space="preserve">2) </w:t>
      </w:r>
      <w:r w:rsidR="002A38F8">
        <w:rPr>
          <w:rFonts w:cs="Times New Roman"/>
        </w:rPr>
        <w:t>130</w:t>
      </w:r>
      <w:r w:rsidR="002A38F8" w:rsidRPr="000423CC">
        <w:rPr>
          <w:rFonts w:cs="Times New Roman"/>
        </w:rPr>
        <w:t xml:space="preserve"> percent of the FMR where</w:t>
      </w:r>
      <w:r w:rsidR="002A38F8">
        <w:rPr>
          <w:rFonts w:cs="Times New Roman"/>
        </w:rPr>
        <w:t xml:space="preserve"> </w:t>
      </w:r>
      <w:r w:rsidR="002A38F8" w:rsidRPr="000423CC">
        <w:rPr>
          <w:rFonts w:cs="Times New Roman"/>
        </w:rPr>
        <w:t>not.</w:t>
      </w:r>
      <w:r w:rsidR="00447800">
        <w:rPr>
          <w:rFonts w:cs="Times New Roman"/>
        </w:rPr>
        <w:t xml:space="preserve"> </w:t>
      </w:r>
      <w:r w:rsidR="008132F6" w:rsidRPr="003317E1">
        <w:rPr>
          <w:rFonts w:cs="Times New Roman"/>
        </w:rPr>
        <w:t xml:space="preserve">FMRs </w:t>
      </w:r>
      <w:r w:rsidR="008132F6">
        <w:rPr>
          <w:rFonts w:cs="Times New Roman"/>
        </w:rPr>
        <w:t xml:space="preserve">and SAFMRs </w:t>
      </w:r>
      <w:r w:rsidR="008132F6" w:rsidRPr="003317E1">
        <w:rPr>
          <w:rFonts w:cs="Times New Roman"/>
        </w:rPr>
        <w:t>are estimates of 40</w:t>
      </w:r>
      <w:r w:rsidR="008132F6" w:rsidRPr="004405BD">
        <w:rPr>
          <w:rFonts w:cs="Times New Roman"/>
          <w:vertAlign w:val="superscript"/>
        </w:rPr>
        <w:t>th</w:t>
      </w:r>
      <w:r w:rsidR="008132F6" w:rsidRPr="003317E1">
        <w:rPr>
          <w:rFonts w:cs="Times New Roman"/>
        </w:rPr>
        <w:t xml:space="preserve"> percentile gross rents for standard quality units</w:t>
      </w:r>
      <w:r w:rsidR="008132F6">
        <w:rPr>
          <w:rFonts w:cs="Times New Roman"/>
        </w:rPr>
        <w:t>,</w:t>
      </w:r>
      <w:r w:rsidR="008132F6" w:rsidRPr="003317E1">
        <w:rPr>
          <w:rFonts w:cs="Times New Roman"/>
        </w:rPr>
        <w:t xml:space="preserve"> </w:t>
      </w:r>
      <w:r w:rsidR="008132F6">
        <w:rPr>
          <w:rFonts w:cs="Times New Roman"/>
        </w:rPr>
        <w:t>adjusted for each unit size,</w:t>
      </w:r>
      <w:r w:rsidR="008132F6" w:rsidRPr="003317E1">
        <w:rPr>
          <w:rFonts w:cs="Times New Roman"/>
        </w:rPr>
        <w:t xml:space="preserve"> within a designated </w:t>
      </w:r>
      <w:r w:rsidR="008132F6">
        <w:rPr>
          <w:rFonts w:cs="Times New Roman"/>
        </w:rPr>
        <w:t>area</w:t>
      </w:r>
      <w:r w:rsidR="008132F6" w:rsidRPr="003317E1">
        <w:rPr>
          <w:rFonts w:cs="Times New Roman"/>
        </w:rPr>
        <w:t>.</w:t>
      </w:r>
      <w:r w:rsidR="008132F6">
        <w:rPr>
          <w:rFonts w:cs="Times New Roman"/>
        </w:rPr>
        <w:t xml:space="preserve"> “Gross rent” means the </w:t>
      </w:r>
      <w:r w:rsidR="008132F6" w:rsidRPr="003317E1">
        <w:rPr>
          <w:rFonts w:cs="Times New Roman"/>
        </w:rPr>
        <w:t xml:space="preserve">unit rent plus the cost of all tenant-paid utilities, </w:t>
      </w:r>
      <w:r w:rsidR="00300728">
        <w:rPr>
          <w:rFonts w:cs="Times New Roman"/>
        </w:rPr>
        <w:t xml:space="preserve">including </w:t>
      </w:r>
      <w:r w:rsidR="00300728" w:rsidRPr="00300728">
        <w:rPr>
          <w:rFonts w:cs="Times New Roman"/>
        </w:rPr>
        <w:t xml:space="preserve">electricity, fuel (e.g., natural gas, oil), water, sewer, and trash removal, but </w:t>
      </w:r>
      <w:r w:rsidR="00300728">
        <w:rPr>
          <w:rFonts w:cs="Times New Roman"/>
        </w:rPr>
        <w:t>excluding</w:t>
      </w:r>
      <w:r w:rsidR="00300728" w:rsidRPr="00300728">
        <w:rPr>
          <w:rFonts w:cs="Times New Roman"/>
        </w:rPr>
        <w:t xml:space="preserve"> telephone, internet, and cable</w:t>
      </w:r>
      <w:r w:rsidR="00300728">
        <w:rPr>
          <w:rFonts w:cs="Times New Roman"/>
        </w:rPr>
        <w:t xml:space="preserve"> services</w:t>
      </w:r>
      <w:r w:rsidR="008132F6">
        <w:rPr>
          <w:rFonts w:cs="Times New Roman"/>
        </w:rPr>
        <w:t xml:space="preserve">. </w:t>
      </w:r>
      <w:r w:rsidR="00BC7D65" w:rsidRPr="007C7F72">
        <w:rPr>
          <w:rFonts w:cs="Times New Roman"/>
        </w:rPr>
        <w:t>HUD’s Office of Policy Development and Research</w:t>
      </w:r>
      <w:r w:rsidR="00BC7D65">
        <w:rPr>
          <w:rFonts w:cs="Times New Roman"/>
        </w:rPr>
        <w:t xml:space="preserve"> (PD&amp;R) </w:t>
      </w:r>
      <w:r w:rsidR="008132F6">
        <w:rPr>
          <w:rFonts w:cs="Times New Roman"/>
        </w:rPr>
        <w:t>calculates</w:t>
      </w:r>
      <w:r w:rsidR="008132F6" w:rsidRPr="003317E1">
        <w:rPr>
          <w:rFonts w:cs="Times New Roman"/>
        </w:rPr>
        <w:t xml:space="preserve"> </w:t>
      </w:r>
      <w:r w:rsidR="008132F6">
        <w:rPr>
          <w:rFonts w:cs="Times New Roman"/>
        </w:rPr>
        <w:t xml:space="preserve">FMRs for counties and SAFMRs for zip codes within metropolitan areas. PD&amp;R </w:t>
      </w:r>
      <w:r w:rsidR="00BC7D65">
        <w:rPr>
          <w:rFonts w:cs="Times New Roman"/>
        </w:rPr>
        <w:t>typically publishes FMRs and SAFMRs in October of each year</w:t>
      </w:r>
      <w:r w:rsidR="00BC7D65" w:rsidRPr="00BC7D65">
        <w:rPr>
          <w:rFonts w:cs="Times New Roman"/>
        </w:rPr>
        <w:t xml:space="preserve"> </w:t>
      </w:r>
      <w:r w:rsidR="00BC7D65" w:rsidRPr="003317E1">
        <w:rPr>
          <w:rFonts w:cs="Times New Roman"/>
        </w:rPr>
        <w:t xml:space="preserve">and </w:t>
      </w:r>
      <w:r w:rsidR="00BC7D65">
        <w:rPr>
          <w:rFonts w:cs="Times New Roman"/>
        </w:rPr>
        <w:t>makes them</w:t>
      </w:r>
      <w:r w:rsidR="00BC7D65" w:rsidRPr="003317E1">
        <w:rPr>
          <w:rFonts w:cs="Times New Roman"/>
        </w:rPr>
        <w:t xml:space="preserve"> available </w:t>
      </w:r>
      <w:hyperlink r:id="rId87" w:history="1">
        <w:r w:rsidR="00BC7D65" w:rsidRPr="003D3BC2">
          <w:rPr>
            <w:rStyle w:val="Hyperlink"/>
            <w:rFonts w:cs="Times New Roman"/>
          </w:rPr>
          <w:t>here</w:t>
        </w:r>
      </w:hyperlink>
      <w:r w:rsidR="00BC7D65">
        <w:rPr>
          <w:rFonts w:cs="Times New Roman"/>
        </w:rPr>
        <w:t>.</w:t>
      </w:r>
      <w:r w:rsidR="00447800">
        <w:rPr>
          <w:rFonts w:cs="Times New Roman"/>
        </w:rPr>
        <w:t xml:space="preserve"> </w:t>
      </w:r>
      <w:r w:rsidR="00A00BA1">
        <w:rPr>
          <w:rFonts w:cs="Times New Roman"/>
        </w:rPr>
        <w:t>DSHS</w:t>
      </w:r>
      <w:r w:rsidR="00A00BA1" w:rsidRPr="00D351A2">
        <w:rPr>
          <w:rFonts w:cs="Times New Roman"/>
        </w:rPr>
        <w:t xml:space="preserve"> review</w:t>
      </w:r>
      <w:r w:rsidR="00A00BA1">
        <w:rPr>
          <w:rFonts w:cs="Times New Roman"/>
        </w:rPr>
        <w:t>s</w:t>
      </w:r>
      <w:r w:rsidR="00A00BA1" w:rsidRPr="00D351A2">
        <w:rPr>
          <w:rFonts w:cs="Times New Roman"/>
        </w:rPr>
        <w:t xml:space="preserve"> </w:t>
      </w:r>
      <w:r w:rsidR="00A00BA1">
        <w:rPr>
          <w:rFonts w:cs="Times New Roman"/>
        </w:rPr>
        <w:t xml:space="preserve">its rent standards annually </w:t>
      </w:r>
      <w:r w:rsidR="00A00BA1" w:rsidRPr="00D351A2">
        <w:rPr>
          <w:rFonts w:cs="Times New Roman"/>
        </w:rPr>
        <w:t xml:space="preserve">to </w:t>
      </w:r>
      <w:r w:rsidR="00A00BA1">
        <w:rPr>
          <w:rFonts w:cs="Times New Roman"/>
        </w:rPr>
        <w:t xml:space="preserve">ensure they </w:t>
      </w:r>
      <w:r w:rsidR="00A00BA1" w:rsidRPr="00D351A2">
        <w:rPr>
          <w:rFonts w:cs="Times New Roman"/>
        </w:rPr>
        <w:t xml:space="preserve">correspond with </w:t>
      </w:r>
      <w:r w:rsidR="00A00BA1">
        <w:rPr>
          <w:rFonts w:cs="Times New Roman"/>
        </w:rPr>
        <w:t>PD&amp;R’s current</w:t>
      </w:r>
      <w:r w:rsidR="00A00BA1" w:rsidRPr="00D351A2">
        <w:rPr>
          <w:rFonts w:cs="Times New Roman"/>
        </w:rPr>
        <w:t xml:space="preserve"> FMR</w:t>
      </w:r>
      <w:r w:rsidR="00A00BA1">
        <w:rPr>
          <w:rFonts w:cs="Times New Roman"/>
        </w:rPr>
        <w:t>s</w:t>
      </w:r>
      <w:r w:rsidR="00A00BA1" w:rsidRPr="00D351A2">
        <w:rPr>
          <w:rFonts w:cs="Times New Roman"/>
        </w:rPr>
        <w:t xml:space="preserve"> </w:t>
      </w:r>
      <w:r w:rsidR="00A00BA1">
        <w:rPr>
          <w:rFonts w:cs="Times New Roman"/>
        </w:rPr>
        <w:t xml:space="preserve">and SAFMRs. </w:t>
      </w:r>
      <w:r w:rsidR="00A00BA1" w:rsidRPr="00342721">
        <w:rPr>
          <w:rFonts w:cs="Times New Roman"/>
        </w:rPr>
        <w:t xml:space="preserve">As part of its annual review, </w:t>
      </w:r>
      <w:r w:rsidR="00A00BA1">
        <w:rPr>
          <w:rFonts w:cs="Times New Roman"/>
        </w:rPr>
        <w:t>DSHS</w:t>
      </w:r>
      <w:r w:rsidR="00A00BA1" w:rsidRPr="00342721">
        <w:rPr>
          <w:rFonts w:cs="Times New Roman"/>
        </w:rPr>
        <w:t xml:space="preserve"> </w:t>
      </w:r>
      <w:r w:rsidR="00A00BA1">
        <w:rPr>
          <w:rFonts w:cs="Times New Roman"/>
        </w:rPr>
        <w:t xml:space="preserve">1) </w:t>
      </w:r>
      <w:r w:rsidR="00A00BA1" w:rsidRPr="00342721">
        <w:rPr>
          <w:rFonts w:cs="Times New Roman"/>
        </w:rPr>
        <w:t>increase</w:t>
      </w:r>
      <w:r w:rsidR="00A00BA1">
        <w:rPr>
          <w:rFonts w:cs="Times New Roman"/>
        </w:rPr>
        <w:t>s</w:t>
      </w:r>
      <w:r w:rsidR="00A00BA1" w:rsidRPr="00342721">
        <w:rPr>
          <w:rFonts w:cs="Times New Roman"/>
        </w:rPr>
        <w:t xml:space="preserve"> each FMR and SAFMR in Texas by 30 percent</w:t>
      </w:r>
      <w:r w:rsidR="00A00BA1">
        <w:rPr>
          <w:rFonts w:cs="Times New Roman"/>
        </w:rPr>
        <w:t xml:space="preserve"> to establish </w:t>
      </w:r>
      <w:r w:rsidR="00447800">
        <w:rPr>
          <w:rFonts w:cs="Times New Roman"/>
        </w:rPr>
        <w:t>the</w:t>
      </w:r>
      <w:r w:rsidR="00A00BA1">
        <w:rPr>
          <w:rFonts w:cs="Times New Roman"/>
        </w:rPr>
        <w:t xml:space="preserve"> rent standards, 2) </w:t>
      </w:r>
      <w:r w:rsidR="00A00BA1" w:rsidRPr="00D351A2">
        <w:rPr>
          <w:rFonts w:cs="Times New Roman"/>
        </w:rPr>
        <w:t>update</w:t>
      </w:r>
      <w:r w:rsidR="00A00BA1">
        <w:rPr>
          <w:rFonts w:cs="Times New Roman"/>
        </w:rPr>
        <w:t>s and publishes</w:t>
      </w:r>
      <w:r w:rsidR="00A00BA1" w:rsidRPr="00D351A2">
        <w:rPr>
          <w:rFonts w:cs="Times New Roman"/>
        </w:rPr>
        <w:t xml:space="preserve"> </w:t>
      </w:r>
      <w:r w:rsidR="00447800">
        <w:rPr>
          <w:rFonts w:cs="Times New Roman"/>
        </w:rPr>
        <w:t>these</w:t>
      </w:r>
      <w:r w:rsidR="00A00BA1">
        <w:rPr>
          <w:rFonts w:cs="Times New Roman"/>
        </w:rPr>
        <w:t xml:space="preserve"> </w:t>
      </w:r>
      <w:r w:rsidR="00A00BA1" w:rsidRPr="00D351A2">
        <w:rPr>
          <w:rFonts w:cs="Times New Roman"/>
        </w:rPr>
        <w:t xml:space="preserve">rent standards within 90 days of </w:t>
      </w:r>
      <w:r w:rsidR="00A00BA1">
        <w:rPr>
          <w:rFonts w:cs="Times New Roman"/>
        </w:rPr>
        <w:t xml:space="preserve">the </w:t>
      </w:r>
      <w:r w:rsidR="00447800">
        <w:rPr>
          <w:rFonts w:cs="Times New Roman"/>
        </w:rPr>
        <w:t xml:space="preserve">annual </w:t>
      </w:r>
      <w:r w:rsidR="00A00BA1">
        <w:rPr>
          <w:rFonts w:cs="Times New Roman"/>
        </w:rPr>
        <w:t xml:space="preserve">review, and 3) provides an effective date by which Project Sponsors must adopt </w:t>
      </w:r>
      <w:r w:rsidR="00447800">
        <w:rPr>
          <w:rFonts w:cs="Times New Roman"/>
        </w:rPr>
        <w:t>these</w:t>
      </w:r>
      <w:r w:rsidR="00A00BA1">
        <w:rPr>
          <w:rFonts w:cs="Times New Roman"/>
        </w:rPr>
        <w:t xml:space="preserve"> rent standards</w:t>
      </w:r>
      <w:r w:rsidR="00A00BA1" w:rsidRPr="00861B1C">
        <w:rPr>
          <w:rFonts w:cs="Times New Roman"/>
        </w:rPr>
        <w:t>.</w:t>
      </w:r>
    </w:p>
    <w:p w14:paraId="7E76C13B" w14:textId="77777777" w:rsidR="008E5624" w:rsidRDefault="008E5624">
      <w:pPr>
        <w:pStyle w:val="NoSpacing"/>
        <w:ind w:left="720"/>
        <w:rPr>
          <w:rFonts w:cs="Times New Roman"/>
        </w:rPr>
      </w:pPr>
    </w:p>
    <w:p w14:paraId="6348EBD8" w14:textId="76AB31C6" w:rsidR="005538E2" w:rsidRPr="004250E1" w:rsidRDefault="006F1E46" w:rsidP="004250E1">
      <w:pPr>
        <w:pStyle w:val="NoSpacing"/>
        <w:ind w:left="720"/>
        <w:rPr>
          <w:rFonts w:cstheme="minorHAnsi"/>
        </w:rPr>
      </w:pPr>
      <w:r>
        <w:t>Further</w:t>
      </w:r>
      <w:r w:rsidR="005538E2">
        <w:t xml:space="preserve">, </w:t>
      </w:r>
      <w:r w:rsidRPr="006F1E46">
        <w:t xml:space="preserve">24 </w:t>
      </w:r>
      <w:r w:rsidRPr="00875F85">
        <w:t>§</w:t>
      </w:r>
      <w:r w:rsidRPr="006F1E46">
        <w:t>CFR 574.320(a)(2) allow</w:t>
      </w:r>
      <w:r>
        <w:t>s</w:t>
      </w:r>
      <w:r w:rsidRPr="006F1E46">
        <w:t xml:space="preserve"> </w:t>
      </w:r>
      <w:r>
        <w:t>Project Sponsor</w:t>
      </w:r>
      <w:r w:rsidR="004250E1">
        <w:t>s</w:t>
      </w:r>
      <w:r>
        <w:t xml:space="preserve"> </w:t>
      </w:r>
      <w:r w:rsidRPr="006F1E46">
        <w:t>to increase the rent standard by 10</w:t>
      </w:r>
      <w:r>
        <w:t xml:space="preserve"> percent</w:t>
      </w:r>
      <w:r w:rsidRPr="006F1E46">
        <w:t xml:space="preserve"> for up to 20</w:t>
      </w:r>
      <w:r>
        <w:t xml:space="preserve"> percent</w:t>
      </w:r>
      <w:r w:rsidRPr="006F1E46">
        <w:t xml:space="preserve"> of the units that receive rental assistance</w:t>
      </w:r>
      <w:r w:rsidR="001036F0">
        <w:t xml:space="preserve"> </w:t>
      </w:r>
      <w:r w:rsidR="001036F0" w:rsidRPr="006F1E46">
        <w:t>on a unit-by-unit basis</w:t>
      </w:r>
      <w:r w:rsidRPr="006F1E46">
        <w:t xml:space="preserve"> (i.e., Project Sponsors may use 110 percent of the rent standard for </w:t>
      </w:r>
      <w:r w:rsidR="002C6FB6">
        <w:t>1</w:t>
      </w:r>
      <w:r w:rsidRPr="006F1E46">
        <w:t xml:space="preserve"> out of </w:t>
      </w:r>
      <w:r w:rsidR="002C6FB6">
        <w:t>5</w:t>
      </w:r>
      <w:r w:rsidRPr="006F1E46">
        <w:t xml:space="preserve"> of the combined households that receive TBRA or TSH services </w:t>
      </w:r>
      <w:r w:rsidR="00DC7ED5">
        <w:t>at any given time</w:t>
      </w:r>
      <w:r w:rsidRPr="006F1E46">
        <w:t xml:space="preserve">). </w:t>
      </w:r>
      <w:r w:rsidR="005538E2" w:rsidRPr="0066056D">
        <w:t>Project Sponsors</w:t>
      </w:r>
      <w:r w:rsidR="005538E2">
        <w:t xml:space="preserve"> must </w:t>
      </w:r>
      <w:r w:rsidR="005538E2" w:rsidRPr="0066056D">
        <w:t xml:space="preserve">collaborate with </w:t>
      </w:r>
      <w:r w:rsidR="005F4ECB">
        <w:t>their AA</w:t>
      </w:r>
      <w:r w:rsidR="005538E2" w:rsidRPr="0066056D">
        <w:t xml:space="preserve"> to develop </w:t>
      </w:r>
      <w:r w:rsidR="005538E2">
        <w:t xml:space="preserve">a Rent Standard Increase policy </w:t>
      </w:r>
      <w:r w:rsidR="005538E2" w:rsidRPr="0066056D">
        <w:t xml:space="preserve">and tracking method </w:t>
      </w:r>
      <w:r w:rsidR="005538E2">
        <w:t>before increasing the rent standard for a unit</w:t>
      </w:r>
      <w:r w:rsidR="005538E2" w:rsidRPr="0066056D">
        <w:t>.</w:t>
      </w:r>
      <w:r w:rsidR="005538E2">
        <w:t xml:space="preserve"> The</w:t>
      </w:r>
      <w:r w:rsidR="005538E2" w:rsidRPr="00217842">
        <w:t xml:space="preserve"> policy should describe the circumstances in which a Project Sponsor would increase the rent standard for a </w:t>
      </w:r>
      <w:r w:rsidR="003D741C">
        <w:t xml:space="preserve">proposed </w:t>
      </w:r>
      <w:r w:rsidR="005538E2" w:rsidRPr="00217842">
        <w:t xml:space="preserve">unit. For example, the </w:t>
      </w:r>
      <w:r w:rsidR="004250E1">
        <w:t xml:space="preserve">Project Sponsor might grant an </w:t>
      </w:r>
      <w:r w:rsidR="005538E2" w:rsidRPr="00217842">
        <w:t xml:space="preserve">exception </w:t>
      </w:r>
      <w:r w:rsidR="004250E1">
        <w:t>to</w:t>
      </w:r>
      <w:r w:rsidR="005538E2" w:rsidRPr="00217842">
        <w:t xml:space="preserve"> a household that needs </w:t>
      </w:r>
      <w:r w:rsidR="00FB0E2B">
        <w:t xml:space="preserve">housing located </w:t>
      </w:r>
      <w:r w:rsidR="00FB0E2B" w:rsidRPr="004250E1">
        <w:rPr>
          <w:rFonts w:cstheme="minorHAnsi"/>
        </w:rPr>
        <w:t>near a</w:t>
      </w:r>
      <w:r w:rsidR="005538E2" w:rsidRPr="004250E1">
        <w:rPr>
          <w:rFonts w:cstheme="minorHAnsi"/>
        </w:rPr>
        <w:t xml:space="preserve"> medical provider in the center of town where housing costs </w:t>
      </w:r>
      <w:r w:rsidR="00592C34">
        <w:rPr>
          <w:rFonts w:cstheme="minorHAnsi"/>
        </w:rPr>
        <w:t>more</w:t>
      </w:r>
      <w:r w:rsidR="005538E2" w:rsidRPr="004250E1">
        <w:rPr>
          <w:rFonts w:cstheme="minorHAnsi"/>
        </w:rPr>
        <w:t>.</w:t>
      </w:r>
    </w:p>
    <w:p w14:paraId="77C2773C" w14:textId="77777777" w:rsidR="004250E1" w:rsidRPr="004250E1" w:rsidRDefault="004250E1" w:rsidP="00DE48B8">
      <w:pPr>
        <w:pStyle w:val="NoSpacing"/>
        <w:ind w:left="720"/>
        <w:rPr>
          <w:rFonts w:cstheme="minorHAnsi"/>
        </w:rPr>
      </w:pPr>
    </w:p>
    <w:p w14:paraId="3E212811" w14:textId="5C86CD1E" w:rsidR="00972B41" w:rsidRPr="008026D4" w:rsidRDefault="00972B41" w:rsidP="004250E1">
      <w:pPr>
        <w:pStyle w:val="NoSpacing"/>
        <w:ind w:left="720"/>
      </w:pPr>
      <w:r w:rsidRPr="00A4304B">
        <w:t xml:space="preserve">When </w:t>
      </w:r>
      <w:r w:rsidR="009F3230">
        <w:t>examining</w:t>
      </w:r>
      <w:r w:rsidR="009F3230" w:rsidRPr="00A4304B">
        <w:t xml:space="preserve"> </w:t>
      </w:r>
      <w:r w:rsidRPr="00A4304B">
        <w:t xml:space="preserve">whether a </w:t>
      </w:r>
      <w:r w:rsidR="0090048F">
        <w:t xml:space="preserve">proposed </w:t>
      </w:r>
      <w:r w:rsidRPr="00A4304B">
        <w:t xml:space="preserve">unit </w:t>
      </w:r>
      <w:r w:rsidR="00347EC1">
        <w:t>meets</w:t>
      </w:r>
      <w:r w:rsidRPr="00A4304B">
        <w:t xml:space="preserve"> the rent standard, Project Sponsors need to know the amount of several costs</w:t>
      </w:r>
      <w:r w:rsidR="00BE4BAB">
        <w:t>, including</w:t>
      </w:r>
      <w:r w:rsidRPr="008026D4">
        <w:t>:</w:t>
      </w:r>
    </w:p>
    <w:p w14:paraId="190AF104" w14:textId="23A19B38" w:rsidR="00972B41" w:rsidRPr="008026D4" w:rsidRDefault="0090048F">
      <w:pPr>
        <w:pStyle w:val="NoSpacing"/>
        <w:numPr>
          <w:ilvl w:val="0"/>
          <w:numId w:val="3"/>
        </w:numPr>
        <w:ind w:left="1260"/>
        <w:rPr>
          <w:rFonts w:cs="Times New Roman"/>
        </w:rPr>
      </w:pPr>
      <w:r>
        <w:rPr>
          <w:rFonts w:cs="Times New Roman"/>
        </w:rPr>
        <w:t>The r</w:t>
      </w:r>
      <w:r w:rsidR="00972B41" w:rsidRPr="008026D4">
        <w:rPr>
          <w:rFonts w:cs="Times New Roman"/>
        </w:rPr>
        <w:t xml:space="preserve">ent requested by the </w:t>
      </w:r>
      <w:r w:rsidR="00793E07">
        <w:rPr>
          <w:rFonts w:cs="Times New Roman"/>
        </w:rPr>
        <w:t>owner</w:t>
      </w:r>
      <w:r w:rsidR="00BE4BAB">
        <w:rPr>
          <w:rFonts w:cs="Times New Roman"/>
        </w:rPr>
        <w:t>;</w:t>
      </w:r>
    </w:p>
    <w:p w14:paraId="53CCDBF3" w14:textId="09CC7E93" w:rsidR="00972B41" w:rsidRPr="008026D4" w:rsidRDefault="0090048F">
      <w:pPr>
        <w:pStyle w:val="NoSpacing"/>
        <w:numPr>
          <w:ilvl w:val="0"/>
          <w:numId w:val="3"/>
        </w:numPr>
        <w:ind w:left="1260"/>
        <w:rPr>
          <w:rFonts w:cs="Times New Roman"/>
        </w:rPr>
      </w:pPr>
      <w:r>
        <w:rPr>
          <w:rFonts w:cs="Times New Roman"/>
        </w:rPr>
        <w:t>The b</w:t>
      </w:r>
      <w:r w:rsidR="00972B41" w:rsidRPr="008026D4">
        <w:rPr>
          <w:rFonts w:cs="Times New Roman"/>
        </w:rPr>
        <w:t xml:space="preserve">asic utilities included in the rent </w:t>
      </w:r>
      <w:r w:rsidR="00796919">
        <w:rPr>
          <w:rFonts w:cs="Times New Roman"/>
        </w:rPr>
        <w:t xml:space="preserve">paid </w:t>
      </w:r>
      <w:r w:rsidR="00972B41" w:rsidRPr="008026D4">
        <w:rPr>
          <w:rFonts w:cs="Times New Roman"/>
        </w:rPr>
        <w:t xml:space="preserve">to the </w:t>
      </w:r>
      <w:r w:rsidR="00793E07">
        <w:rPr>
          <w:rFonts w:cs="Times New Roman"/>
        </w:rPr>
        <w:t>owner</w:t>
      </w:r>
      <w:r w:rsidR="00BE4BAB">
        <w:rPr>
          <w:rFonts w:cs="Times New Roman"/>
        </w:rPr>
        <w:t>; and</w:t>
      </w:r>
    </w:p>
    <w:p w14:paraId="751EEDA3" w14:textId="64149DFA" w:rsidR="00972B41" w:rsidRPr="008026D4" w:rsidRDefault="0090048F">
      <w:pPr>
        <w:pStyle w:val="NoSpacing"/>
        <w:numPr>
          <w:ilvl w:val="0"/>
          <w:numId w:val="3"/>
        </w:numPr>
        <w:ind w:left="1260"/>
        <w:rPr>
          <w:rFonts w:cs="Times New Roman"/>
        </w:rPr>
      </w:pPr>
      <w:r>
        <w:rPr>
          <w:rFonts w:cs="Times New Roman"/>
        </w:rPr>
        <w:t>The b</w:t>
      </w:r>
      <w:r w:rsidR="00972B41" w:rsidRPr="008026D4">
        <w:rPr>
          <w:rFonts w:cs="Times New Roman"/>
        </w:rPr>
        <w:t xml:space="preserve">asic utilities </w:t>
      </w:r>
      <w:r w:rsidR="00796919">
        <w:rPr>
          <w:rFonts w:cs="Times New Roman"/>
        </w:rPr>
        <w:t>paid</w:t>
      </w:r>
      <w:r w:rsidR="00972B41" w:rsidRPr="008026D4">
        <w:rPr>
          <w:rFonts w:cs="Times New Roman"/>
        </w:rPr>
        <w:t xml:space="preserve"> separately in addition to the rent paid to the </w:t>
      </w:r>
      <w:r w:rsidR="00793E07">
        <w:rPr>
          <w:rFonts w:cs="Times New Roman"/>
        </w:rPr>
        <w:t>owner</w:t>
      </w:r>
      <w:r w:rsidR="00BE4BAB">
        <w:rPr>
          <w:rFonts w:cs="Times New Roman"/>
        </w:rPr>
        <w:t>.</w:t>
      </w:r>
    </w:p>
    <w:p w14:paraId="718F639F" w14:textId="05EBA75F" w:rsidR="00BE4BAB" w:rsidRDefault="00BE4BAB">
      <w:pPr>
        <w:pStyle w:val="NoSpacing"/>
        <w:ind w:left="720"/>
        <w:rPr>
          <w:rFonts w:cs="Times New Roman"/>
        </w:rPr>
      </w:pPr>
    </w:p>
    <w:p w14:paraId="55F29727" w14:textId="4B87619B" w:rsidR="006F1E46" w:rsidRDefault="00BC792E" w:rsidP="006F1E46">
      <w:pPr>
        <w:pStyle w:val="NoSpacing"/>
        <w:ind w:left="720"/>
        <w:rPr>
          <w:rFonts w:cs="Times New Roman"/>
        </w:rPr>
      </w:pPr>
      <w:r w:rsidRPr="00066B7E">
        <w:rPr>
          <w:rFonts w:cs="Times New Roman"/>
        </w:rPr>
        <w:lastRenderedPageBreak/>
        <w:t xml:space="preserve">Project Sponsors </w:t>
      </w:r>
      <w:r w:rsidR="00040D54">
        <w:rPr>
          <w:rFonts w:cs="Times New Roman"/>
        </w:rPr>
        <w:t>select</w:t>
      </w:r>
      <w:r w:rsidR="000801C5" w:rsidRPr="0002195B">
        <w:rPr>
          <w:rFonts w:cs="Times New Roman"/>
        </w:rPr>
        <w:t xml:space="preserve"> the</w:t>
      </w:r>
      <w:r w:rsidR="00796919">
        <w:rPr>
          <w:rFonts w:cs="Times New Roman"/>
        </w:rPr>
        <w:t xml:space="preserve"> household’s rent standard by </w:t>
      </w:r>
      <w:r w:rsidRPr="00066B7E">
        <w:rPr>
          <w:rFonts w:cs="Times New Roman"/>
        </w:rPr>
        <w:t>refer</w:t>
      </w:r>
      <w:r w:rsidR="000801C5">
        <w:rPr>
          <w:rFonts w:cs="Times New Roman"/>
        </w:rPr>
        <w:t>ring</w:t>
      </w:r>
      <w:r w:rsidRPr="00066B7E">
        <w:rPr>
          <w:rFonts w:cs="Times New Roman"/>
        </w:rPr>
        <w:t xml:space="preserve"> to the Occupancy Standards </w:t>
      </w:r>
      <w:r w:rsidRPr="00A4304B">
        <w:rPr>
          <w:rFonts w:cs="Times New Roman"/>
        </w:rPr>
        <w:t>(see 6. Occupancy Standards above)</w:t>
      </w:r>
      <w:r w:rsidR="009124A4">
        <w:rPr>
          <w:rFonts w:cs="Times New Roman"/>
        </w:rPr>
        <w:t xml:space="preserve">, </w:t>
      </w:r>
      <w:r w:rsidR="00040D54">
        <w:rPr>
          <w:rFonts w:cs="Times New Roman"/>
        </w:rPr>
        <w:t>determining</w:t>
      </w:r>
      <w:r w:rsidR="00796919">
        <w:rPr>
          <w:rFonts w:cs="Times New Roman"/>
        </w:rPr>
        <w:t xml:space="preserve"> the </w:t>
      </w:r>
      <w:r w:rsidR="00796919" w:rsidRPr="00796919">
        <w:rPr>
          <w:rFonts w:cs="Times New Roman"/>
        </w:rPr>
        <w:t xml:space="preserve">unit size </w:t>
      </w:r>
      <w:r w:rsidR="00796919">
        <w:rPr>
          <w:rFonts w:cs="Times New Roman"/>
        </w:rPr>
        <w:t>the</w:t>
      </w:r>
      <w:r w:rsidR="00796919" w:rsidRPr="00796919">
        <w:rPr>
          <w:rFonts w:cs="Times New Roman"/>
        </w:rPr>
        <w:t xml:space="preserve"> household qualifies for</w:t>
      </w:r>
      <w:r w:rsidR="009124A4">
        <w:rPr>
          <w:rFonts w:cs="Times New Roman"/>
        </w:rPr>
        <w:t xml:space="preserve">, and </w:t>
      </w:r>
      <w:r w:rsidR="00040D54">
        <w:rPr>
          <w:rFonts w:cs="Times New Roman"/>
        </w:rPr>
        <w:t>identifying</w:t>
      </w:r>
      <w:r w:rsidR="009124A4">
        <w:rPr>
          <w:rFonts w:cs="Times New Roman"/>
        </w:rPr>
        <w:t xml:space="preserve"> the corresponding rent standard</w:t>
      </w:r>
      <w:r w:rsidR="000801C5">
        <w:rPr>
          <w:rFonts w:cs="Times New Roman"/>
        </w:rPr>
        <w:t>.</w:t>
      </w:r>
      <w:r w:rsidR="006F1E46" w:rsidRPr="00066B7E">
        <w:rPr>
          <w:rFonts w:cs="Times New Roman"/>
        </w:rPr>
        <w:t xml:space="preserve"> </w:t>
      </w:r>
      <w:r w:rsidR="006F1E46" w:rsidRPr="00A4304B">
        <w:rPr>
          <w:rFonts w:cs="Times New Roman"/>
        </w:rPr>
        <w:t>A household may occupy a unit</w:t>
      </w:r>
      <w:r w:rsidR="006F1E46">
        <w:rPr>
          <w:rFonts w:cs="Times New Roman"/>
        </w:rPr>
        <w:t xml:space="preserve"> </w:t>
      </w:r>
      <w:r w:rsidR="000801C5">
        <w:rPr>
          <w:rFonts w:cs="Times New Roman"/>
        </w:rPr>
        <w:t>sized</w:t>
      </w:r>
      <w:r w:rsidR="006F1E46">
        <w:rPr>
          <w:rFonts w:cs="Times New Roman"/>
        </w:rPr>
        <w:t xml:space="preserve"> smaller or </w:t>
      </w:r>
      <w:r w:rsidR="006F1E46" w:rsidRPr="00A4304B">
        <w:rPr>
          <w:rFonts w:cs="Times New Roman"/>
        </w:rPr>
        <w:t xml:space="preserve">larger than specified by the Occupancy Standards, but in such instances, Project Sponsors use the rent standard for </w:t>
      </w:r>
      <w:r w:rsidR="006F1E46">
        <w:rPr>
          <w:rFonts w:cs="Times New Roman"/>
        </w:rPr>
        <w:t xml:space="preserve">the lower of either </w:t>
      </w:r>
      <w:r w:rsidR="000801C5">
        <w:rPr>
          <w:rFonts w:cs="Times New Roman"/>
        </w:rPr>
        <w:t xml:space="preserve">1) </w:t>
      </w:r>
      <w:r w:rsidR="006F1E46">
        <w:rPr>
          <w:rFonts w:cs="Times New Roman"/>
        </w:rPr>
        <w:t xml:space="preserve">the </w:t>
      </w:r>
      <w:r w:rsidR="00FD7470">
        <w:rPr>
          <w:rFonts w:cs="Times New Roman"/>
        </w:rPr>
        <w:t>unit size</w:t>
      </w:r>
      <w:r w:rsidR="006F1E46">
        <w:rPr>
          <w:rFonts w:cs="Times New Roman"/>
        </w:rPr>
        <w:t xml:space="preserve"> allowed by the Occupancy Standards or </w:t>
      </w:r>
      <w:r w:rsidR="000801C5">
        <w:rPr>
          <w:rFonts w:cs="Times New Roman"/>
        </w:rPr>
        <w:t xml:space="preserve">2) </w:t>
      </w:r>
      <w:r w:rsidR="006F1E46">
        <w:rPr>
          <w:rFonts w:cs="Times New Roman"/>
        </w:rPr>
        <w:t xml:space="preserve">the </w:t>
      </w:r>
      <w:r w:rsidR="00FD7470">
        <w:rPr>
          <w:rFonts w:cs="Times New Roman"/>
        </w:rPr>
        <w:t>actual unit size</w:t>
      </w:r>
      <w:r w:rsidR="006F1E46" w:rsidRPr="00A4304B">
        <w:rPr>
          <w:rFonts w:cs="Times New Roman"/>
        </w:rPr>
        <w:t xml:space="preserve">. For example, if a household qualifies for a one-bedroom unit, but </w:t>
      </w:r>
      <w:r w:rsidR="000801C5">
        <w:rPr>
          <w:rFonts w:cs="Times New Roman"/>
        </w:rPr>
        <w:t>selects</w:t>
      </w:r>
      <w:r w:rsidR="000801C5" w:rsidRPr="00A4304B">
        <w:rPr>
          <w:rFonts w:cs="Times New Roman"/>
        </w:rPr>
        <w:t xml:space="preserve"> </w:t>
      </w:r>
      <w:r w:rsidR="006F1E46" w:rsidRPr="00A4304B">
        <w:rPr>
          <w:rFonts w:cs="Times New Roman"/>
        </w:rPr>
        <w:t xml:space="preserve">a two-bedroom unit, </w:t>
      </w:r>
      <w:r w:rsidR="006F1E46">
        <w:rPr>
          <w:rFonts w:cs="Times New Roman"/>
        </w:rPr>
        <w:t>the</w:t>
      </w:r>
      <w:r w:rsidR="006F1E46" w:rsidRPr="00A4304B">
        <w:rPr>
          <w:rFonts w:cs="Times New Roman"/>
        </w:rPr>
        <w:t xml:space="preserve"> Project Sponsor </w:t>
      </w:r>
      <w:r w:rsidR="0090048F">
        <w:rPr>
          <w:rFonts w:cs="Times New Roman"/>
        </w:rPr>
        <w:t>will use</w:t>
      </w:r>
      <w:r w:rsidR="006F1E46" w:rsidRPr="00A4304B">
        <w:rPr>
          <w:rFonts w:cs="Times New Roman"/>
        </w:rPr>
        <w:t xml:space="preserve"> the rent standard for a one-bedroom unit. </w:t>
      </w:r>
      <w:r w:rsidR="006F1E46">
        <w:rPr>
          <w:rFonts w:cs="Times New Roman"/>
        </w:rPr>
        <w:t xml:space="preserve">Similarly, if a household qualifies for a two-bedroom unit, but </w:t>
      </w:r>
      <w:r w:rsidR="000801C5">
        <w:rPr>
          <w:rFonts w:cs="Times New Roman"/>
        </w:rPr>
        <w:t xml:space="preserve">selects </w:t>
      </w:r>
      <w:r w:rsidR="006F1E46">
        <w:rPr>
          <w:rFonts w:cs="Times New Roman"/>
        </w:rPr>
        <w:t xml:space="preserve">a one-bedroom unit, the Project Sponsor </w:t>
      </w:r>
      <w:r w:rsidR="0090048F">
        <w:rPr>
          <w:rFonts w:cs="Times New Roman"/>
        </w:rPr>
        <w:t xml:space="preserve">will </w:t>
      </w:r>
      <w:r w:rsidR="006F1E46">
        <w:rPr>
          <w:rFonts w:cs="Times New Roman"/>
        </w:rPr>
        <w:t>use the rent standard for a one-bedroom unit.</w:t>
      </w:r>
    </w:p>
    <w:p w14:paraId="1AEBE568" w14:textId="77777777" w:rsidR="00447800" w:rsidRDefault="00447800" w:rsidP="00447800">
      <w:pPr>
        <w:pStyle w:val="NoSpacing"/>
        <w:ind w:left="720"/>
        <w:rPr>
          <w:rFonts w:cs="Times New Roman"/>
        </w:rPr>
      </w:pPr>
    </w:p>
    <w:p w14:paraId="603E6263" w14:textId="4C769D14" w:rsidR="00447800" w:rsidRDefault="00447800" w:rsidP="00447800">
      <w:pPr>
        <w:pStyle w:val="NoSpacing"/>
        <w:ind w:left="720"/>
        <w:rPr>
          <w:rFonts w:cs="Times New Roman"/>
        </w:rPr>
      </w:pPr>
      <w:r>
        <w:rPr>
          <w:rFonts w:cs="Times New Roman"/>
        </w:rPr>
        <w:t xml:space="preserve">The current effective rent standard always applies to </w:t>
      </w:r>
      <w:r w:rsidR="00581B34">
        <w:rPr>
          <w:rFonts w:cs="Times New Roman"/>
        </w:rPr>
        <w:t xml:space="preserve">the </w:t>
      </w:r>
      <w:r>
        <w:rPr>
          <w:rFonts w:cs="Times New Roman"/>
        </w:rPr>
        <w:t xml:space="preserve">initial rent standard examination for a proposed unit. </w:t>
      </w:r>
      <w:r w:rsidRPr="00861B1C">
        <w:rPr>
          <w:rFonts w:cs="Times New Roman"/>
        </w:rPr>
        <w:t xml:space="preserve">If </w:t>
      </w:r>
      <w:r>
        <w:rPr>
          <w:rFonts w:cs="Times New Roman"/>
        </w:rPr>
        <w:t xml:space="preserve">a </w:t>
      </w:r>
      <w:r w:rsidRPr="00861B1C">
        <w:rPr>
          <w:rFonts w:cs="Times New Roman"/>
        </w:rPr>
        <w:t xml:space="preserve">rent standard increases, then the higher rent standard will apply to </w:t>
      </w:r>
      <w:r>
        <w:rPr>
          <w:rFonts w:cs="Times New Roman"/>
        </w:rPr>
        <w:t>current units</w:t>
      </w:r>
      <w:r w:rsidRPr="00861B1C">
        <w:rPr>
          <w:rFonts w:cs="Times New Roman"/>
        </w:rPr>
        <w:t xml:space="preserve"> at </w:t>
      </w:r>
      <w:r>
        <w:rPr>
          <w:rFonts w:cs="Times New Roman"/>
        </w:rPr>
        <w:t>the</w:t>
      </w:r>
      <w:r w:rsidRPr="008F0F34">
        <w:rPr>
          <w:rFonts w:cs="Times New Roman"/>
        </w:rPr>
        <w:t xml:space="preserve"> </w:t>
      </w:r>
      <w:r w:rsidR="00BC01C9">
        <w:rPr>
          <w:rFonts w:cs="Times New Roman"/>
        </w:rPr>
        <w:t>next</w:t>
      </w:r>
      <w:r w:rsidRPr="008F0F34">
        <w:rPr>
          <w:rFonts w:cs="Times New Roman"/>
        </w:rPr>
        <w:t xml:space="preserve"> </w:t>
      </w:r>
      <w:r w:rsidR="00581B34">
        <w:rPr>
          <w:rFonts w:cs="Times New Roman"/>
        </w:rPr>
        <w:t>interim</w:t>
      </w:r>
      <w:r w:rsidRPr="008F0F34">
        <w:rPr>
          <w:rFonts w:cs="Times New Roman"/>
        </w:rPr>
        <w:t xml:space="preserve"> </w:t>
      </w:r>
      <w:r>
        <w:rPr>
          <w:rFonts w:cs="Times New Roman"/>
        </w:rPr>
        <w:t xml:space="preserve">or </w:t>
      </w:r>
      <w:r w:rsidR="00581B34">
        <w:rPr>
          <w:rFonts w:cs="Times New Roman"/>
        </w:rPr>
        <w:t>annual</w:t>
      </w:r>
      <w:r>
        <w:rPr>
          <w:rFonts w:cs="Times New Roman"/>
        </w:rPr>
        <w:t xml:space="preserve"> r</w:t>
      </w:r>
      <w:r w:rsidRPr="008F0F34">
        <w:rPr>
          <w:rFonts w:cs="Times New Roman"/>
        </w:rPr>
        <w:t xml:space="preserve">ent </w:t>
      </w:r>
      <w:r>
        <w:rPr>
          <w:rFonts w:cs="Times New Roman"/>
        </w:rPr>
        <w:t>s</w:t>
      </w:r>
      <w:r w:rsidRPr="008F0F34">
        <w:rPr>
          <w:rFonts w:cs="Times New Roman"/>
        </w:rPr>
        <w:t xml:space="preserve">tandard </w:t>
      </w:r>
      <w:r>
        <w:rPr>
          <w:rFonts w:cs="Times New Roman"/>
        </w:rPr>
        <w:t>reexamination</w:t>
      </w:r>
      <w:r w:rsidRPr="008F0F34">
        <w:rPr>
          <w:rFonts w:cs="Times New Roman"/>
        </w:rPr>
        <w:t xml:space="preserve">. If </w:t>
      </w:r>
      <w:r>
        <w:rPr>
          <w:rFonts w:cs="Times New Roman"/>
        </w:rPr>
        <w:t>a rent</w:t>
      </w:r>
      <w:r w:rsidRPr="008F0F34">
        <w:rPr>
          <w:rFonts w:cs="Times New Roman"/>
        </w:rPr>
        <w:t xml:space="preserve"> standard decreases, then the lower rent standard will not apply to </w:t>
      </w:r>
      <w:r>
        <w:rPr>
          <w:rFonts w:cs="Times New Roman"/>
        </w:rPr>
        <w:t xml:space="preserve">current units </w:t>
      </w:r>
      <w:r w:rsidRPr="008F0F34">
        <w:rPr>
          <w:rFonts w:cs="Times New Roman"/>
        </w:rPr>
        <w:t xml:space="preserve">already </w:t>
      </w:r>
      <w:r>
        <w:rPr>
          <w:rFonts w:cs="Times New Roman"/>
        </w:rPr>
        <w:t>approved</w:t>
      </w:r>
      <w:r w:rsidRPr="008F0F34">
        <w:rPr>
          <w:rFonts w:cs="Times New Roman"/>
        </w:rPr>
        <w:t xml:space="preserve"> under </w:t>
      </w:r>
      <w:r>
        <w:rPr>
          <w:rFonts w:cs="Times New Roman"/>
        </w:rPr>
        <w:t>the</w:t>
      </w:r>
      <w:r w:rsidRPr="008F0F34">
        <w:rPr>
          <w:rFonts w:cs="Times New Roman"/>
        </w:rPr>
        <w:t xml:space="preserve"> higher rent standard. </w:t>
      </w:r>
      <w:r w:rsidR="00AB6EB3">
        <w:rPr>
          <w:rFonts w:cs="Times New Roman"/>
        </w:rPr>
        <w:t>Project Sponsors will hold h</w:t>
      </w:r>
      <w:r w:rsidRPr="008F0F34">
        <w:rPr>
          <w:rFonts w:cs="Times New Roman"/>
        </w:rPr>
        <w:t xml:space="preserve">ouseholds </w:t>
      </w:r>
      <w:r>
        <w:rPr>
          <w:rFonts w:cs="Times New Roman"/>
        </w:rPr>
        <w:t xml:space="preserve">occupying such units </w:t>
      </w:r>
      <w:r w:rsidR="008F3B00">
        <w:rPr>
          <w:rFonts w:cs="Times New Roman"/>
        </w:rPr>
        <w:t xml:space="preserve">harmless </w:t>
      </w:r>
      <w:r w:rsidRPr="008F0F34">
        <w:rPr>
          <w:rFonts w:cs="Times New Roman"/>
        </w:rPr>
        <w:t xml:space="preserve">until they move to a new unit. This will minimize the threat of housing instability for affected households during subsequent </w:t>
      </w:r>
      <w:r>
        <w:rPr>
          <w:rFonts w:cs="Times New Roman"/>
        </w:rPr>
        <w:t>interim</w:t>
      </w:r>
      <w:r w:rsidRPr="008F0F34">
        <w:rPr>
          <w:rFonts w:cs="Times New Roman"/>
        </w:rPr>
        <w:t xml:space="preserve"> </w:t>
      </w:r>
      <w:r w:rsidR="00581B34">
        <w:rPr>
          <w:rFonts w:cs="Times New Roman"/>
        </w:rPr>
        <w:t xml:space="preserve">or annual </w:t>
      </w:r>
      <w:r>
        <w:rPr>
          <w:rFonts w:cs="Times New Roman"/>
        </w:rPr>
        <w:t>r</w:t>
      </w:r>
      <w:r w:rsidRPr="008F0F34">
        <w:rPr>
          <w:rFonts w:cs="Times New Roman"/>
        </w:rPr>
        <w:t xml:space="preserve">ent </w:t>
      </w:r>
      <w:r>
        <w:rPr>
          <w:rFonts w:cs="Times New Roman"/>
        </w:rPr>
        <w:t>s</w:t>
      </w:r>
      <w:r w:rsidRPr="008F0F34">
        <w:rPr>
          <w:rFonts w:cs="Times New Roman"/>
        </w:rPr>
        <w:t xml:space="preserve">tandard </w:t>
      </w:r>
      <w:r>
        <w:rPr>
          <w:rFonts w:cs="Times New Roman"/>
        </w:rPr>
        <w:t>reexaminations</w:t>
      </w:r>
      <w:r w:rsidRPr="008F0F34">
        <w:rPr>
          <w:rFonts w:cs="Times New Roman"/>
        </w:rPr>
        <w:t>.</w:t>
      </w:r>
    </w:p>
    <w:p w14:paraId="54515CC3" w14:textId="77777777" w:rsidR="00447800" w:rsidRDefault="00447800" w:rsidP="00447800">
      <w:pPr>
        <w:pStyle w:val="NoSpacing"/>
        <w:ind w:left="720"/>
        <w:rPr>
          <w:rFonts w:cs="Times New Roman"/>
        </w:rPr>
      </w:pPr>
    </w:p>
    <w:p w14:paraId="506074CA" w14:textId="3BF04BA0" w:rsidR="00447800" w:rsidRDefault="00B16ADA" w:rsidP="00447800">
      <w:pPr>
        <w:pStyle w:val="NoSpacing"/>
        <w:ind w:left="720"/>
        <w:rPr>
          <w:rFonts w:cs="Times New Roman"/>
        </w:rPr>
      </w:pPr>
      <w:r>
        <w:rPr>
          <w:rFonts w:cs="Times New Roman"/>
        </w:rPr>
        <w:t>I</w:t>
      </w:r>
      <w:r w:rsidR="00447800" w:rsidRPr="008F0F34">
        <w:rPr>
          <w:rFonts w:cs="Times New Roman"/>
        </w:rPr>
        <w:t xml:space="preserve">f a </w:t>
      </w:r>
      <w:r w:rsidR="00447800">
        <w:rPr>
          <w:rFonts w:cs="Times New Roman"/>
        </w:rPr>
        <w:t>current h</w:t>
      </w:r>
      <w:r w:rsidR="00447800" w:rsidRPr="008F0F34">
        <w:rPr>
          <w:rFonts w:cs="Times New Roman"/>
        </w:rPr>
        <w:t xml:space="preserve">ousehold’s authorized unit size </w:t>
      </w:r>
      <w:r>
        <w:rPr>
          <w:rFonts w:cs="Times New Roman"/>
        </w:rPr>
        <w:t>changes</w:t>
      </w:r>
      <w:r w:rsidR="00447800" w:rsidRPr="008F0F34">
        <w:rPr>
          <w:rFonts w:cs="Times New Roman"/>
        </w:rPr>
        <w:t xml:space="preserve"> </w:t>
      </w:r>
      <w:r w:rsidR="00447800">
        <w:rPr>
          <w:rFonts w:cs="Times New Roman"/>
        </w:rPr>
        <w:t>during an interim reexamination</w:t>
      </w:r>
      <w:r w:rsidR="00447800" w:rsidRPr="008F0F34">
        <w:rPr>
          <w:rFonts w:cs="Times New Roman"/>
        </w:rPr>
        <w:t xml:space="preserve">, then the household’s rent standard will </w:t>
      </w:r>
      <w:r w:rsidR="00AB6EB3">
        <w:rPr>
          <w:rFonts w:cs="Times New Roman"/>
        </w:rPr>
        <w:t>depend</w:t>
      </w:r>
      <w:r w:rsidR="00447800" w:rsidRPr="008F0F34">
        <w:rPr>
          <w:rFonts w:cs="Times New Roman"/>
        </w:rPr>
        <w:t xml:space="preserve"> on </w:t>
      </w:r>
      <w:r w:rsidR="00447800">
        <w:rPr>
          <w:rFonts w:cs="Times New Roman"/>
        </w:rPr>
        <w:t>their</w:t>
      </w:r>
      <w:r w:rsidR="00447800" w:rsidRPr="008F0F34">
        <w:rPr>
          <w:rFonts w:cs="Times New Roman"/>
        </w:rPr>
        <w:t xml:space="preserve"> new authorized unit size </w:t>
      </w:r>
      <w:r w:rsidR="00447800">
        <w:rPr>
          <w:rFonts w:cs="Times New Roman"/>
        </w:rPr>
        <w:t xml:space="preserve">and the current effective rent standard </w:t>
      </w:r>
      <w:r w:rsidR="00581B34">
        <w:rPr>
          <w:rFonts w:cs="Times New Roman"/>
        </w:rPr>
        <w:t>at the</w:t>
      </w:r>
      <w:r w:rsidR="006A5CEA">
        <w:rPr>
          <w:rFonts w:cs="Times New Roman"/>
        </w:rPr>
        <w:t>ir</w:t>
      </w:r>
      <w:r w:rsidR="00581B34">
        <w:rPr>
          <w:rFonts w:cs="Times New Roman"/>
        </w:rPr>
        <w:t xml:space="preserve"> next</w:t>
      </w:r>
      <w:r w:rsidR="00447800" w:rsidRPr="008F0F34">
        <w:rPr>
          <w:rFonts w:cs="Times New Roman"/>
        </w:rPr>
        <w:t xml:space="preserve"> annual </w:t>
      </w:r>
      <w:r w:rsidR="00447800">
        <w:rPr>
          <w:rFonts w:cs="Times New Roman"/>
        </w:rPr>
        <w:t>r</w:t>
      </w:r>
      <w:r w:rsidR="00447800" w:rsidRPr="008F0F34">
        <w:rPr>
          <w:rFonts w:cs="Times New Roman"/>
        </w:rPr>
        <w:t xml:space="preserve">ent </w:t>
      </w:r>
      <w:r w:rsidR="00447800">
        <w:rPr>
          <w:rFonts w:cs="Times New Roman"/>
        </w:rPr>
        <w:t>s</w:t>
      </w:r>
      <w:r w:rsidR="00447800" w:rsidRPr="008F0F34">
        <w:rPr>
          <w:rFonts w:cs="Times New Roman"/>
        </w:rPr>
        <w:t xml:space="preserve">tandard </w:t>
      </w:r>
      <w:r w:rsidR="00447800">
        <w:rPr>
          <w:rFonts w:cs="Times New Roman"/>
        </w:rPr>
        <w:t>reexamination</w:t>
      </w:r>
      <w:r w:rsidR="00447800" w:rsidRPr="008F0F34">
        <w:rPr>
          <w:rFonts w:cs="Times New Roman"/>
        </w:rPr>
        <w:t>.</w:t>
      </w:r>
    </w:p>
    <w:p w14:paraId="5CC03D0A" w14:textId="77777777" w:rsidR="006F1E46" w:rsidRDefault="006F1E46">
      <w:pPr>
        <w:pStyle w:val="NoSpacing"/>
        <w:ind w:left="720"/>
        <w:rPr>
          <w:rFonts w:cs="Times New Roman"/>
        </w:rPr>
      </w:pPr>
    </w:p>
    <w:p w14:paraId="3E8F89CA" w14:textId="48D41FB3" w:rsidR="00972B41" w:rsidRPr="008026D4" w:rsidRDefault="00BB08B5">
      <w:pPr>
        <w:pStyle w:val="NoSpacing"/>
        <w:ind w:left="720"/>
        <w:rPr>
          <w:rFonts w:cs="Times New Roman"/>
        </w:rPr>
      </w:pPr>
      <w:r>
        <w:rPr>
          <w:rFonts w:cs="Times New Roman"/>
        </w:rPr>
        <w:t xml:space="preserve">Per </w:t>
      </w:r>
      <w:r w:rsidRPr="00BB08B5">
        <w:rPr>
          <w:rFonts w:cs="Times New Roman"/>
        </w:rPr>
        <w:t xml:space="preserve">24 </w:t>
      </w:r>
      <w:r w:rsidRPr="00875F85">
        <w:rPr>
          <w:rFonts w:cs="Times New Roman"/>
        </w:rPr>
        <w:t>§</w:t>
      </w:r>
      <w:r w:rsidRPr="00BB08B5">
        <w:rPr>
          <w:rFonts w:cs="Times New Roman"/>
        </w:rPr>
        <w:t>CFR 574.320 (a)(3)</w:t>
      </w:r>
      <w:r>
        <w:rPr>
          <w:rFonts w:cs="Times New Roman"/>
        </w:rPr>
        <w:t xml:space="preserve">, </w:t>
      </w:r>
      <w:r w:rsidRPr="009541ED">
        <w:rPr>
          <w:rFonts w:cs="Times New Roman"/>
        </w:rPr>
        <w:t>the</w:t>
      </w:r>
      <w:r w:rsidR="009541ED" w:rsidRPr="009541ED">
        <w:rPr>
          <w:rFonts w:cs="Times New Roman"/>
        </w:rPr>
        <w:t xml:space="preserve"> </w:t>
      </w:r>
      <w:r w:rsidR="001F1D6D">
        <w:rPr>
          <w:rFonts w:cs="Times New Roman"/>
        </w:rPr>
        <w:t>gross rent of the proposed unit</w:t>
      </w:r>
      <w:r w:rsidR="009541ED" w:rsidRPr="009541ED">
        <w:rPr>
          <w:rFonts w:cs="Times New Roman"/>
        </w:rPr>
        <w:t xml:space="preserve"> </w:t>
      </w:r>
      <w:r w:rsidR="00C31BE2">
        <w:rPr>
          <w:rFonts w:cs="Times New Roman"/>
        </w:rPr>
        <w:t xml:space="preserve">1) </w:t>
      </w:r>
      <w:r w:rsidR="009541ED" w:rsidRPr="009541ED">
        <w:rPr>
          <w:rFonts w:cs="Times New Roman"/>
        </w:rPr>
        <w:t>must</w:t>
      </w:r>
      <w:r w:rsidR="008812E1">
        <w:rPr>
          <w:rFonts w:cs="Times New Roman"/>
        </w:rPr>
        <w:t xml:space="preserve"> </w:t>
      </w:r>
      <w:r w:rsidR="00040D54">
        <w:rPr>
          <w:rFonts w:cs="Times New Roman"/>
        </w:rPr>
        <w:t xml:space="preserve">reasonably relate to the gross rents </w:t>
      </w:r>
      <w:r w:rsidR="008812E1">
        <w:rPr>
          <w:rFonts w:cs="Times New Roman"/>
        </w:rPr>
        <w:t xml:space="preserve">charged </w:t>
      </w:r>
      <w:r w:rsidR="00040D54">
        <w:rPr>
          <w:rFonts w:cs="Times New Roman"/>
        </w:rPr>
        <w:t>for</w:t>
      </w:r>
      <w:r w:rsidR="009541ED" w:rsidRPr="009541ED">
        <w:rPr>
          <w:rFonts w:cs="Times New Roman"/>
        </w:rPr>
        <w:t xml:space="preserve"> comparable unassisted units in the private market and </w:t>
      </w:r>
      <w:r w:rsidR="008812E1">
        <w:rPr>
          <w:rFonts w:cs="Times New Roman"/>
        </w:rPr>
        <w:t xml:space="preserve">2) </w:t>
      </w:r>
      <w:r w:rsidR="009124A4">
        <w:rPr>
          <w:rFonts w:cs="Times New Roman"/>
        </w:rPr>
        <w:t>cannot exceed the</w:t>
      </w:r>
      <w:r w:rsidR="009541ED" w:rsidRPr="009541ED">
        <w:rPr>
          <w:rFonts w:cs="Times New Roman"/>
        </w:rPr>
        <w:t xml:space="preserve"> </w:t>
      </w:r>
      <w:r w:rsidR="00E76A99">
        <w:rPr>
          <w:rFonts w:cs="Times New Roman"/>
        </w:rPr>
        <w:t xml:space="preserve">gross </w:t>
      </w:r>
      <w:r w:rsidR="009541ED" w:rsidRPr="009541ED">
        <w:rPr>
          <w:rFonts w:cs="Times New Roman"/>
        </w:rPr>
        <w:t xml:space="preserve">rents charged </w:t>
      </w:r>
      <w:r w:rsidR="00EC34D3">
        <w:rPr>
          <w:rFonts w:cs="Times New Roman"/>
        </w:rPr>
        <w:t xml:space="preserve">for </w:t>
      </w:r>
      <w:r w:rsidR="009541ED" w:rsidRPr="009541ED">
        <w:rPr>
          <w:rFonts w:cs="Times New Roman"/>
        </w:rPr>
        <w:t>comparable unassisted units</w:t>
      </w:r>
      <w:r w:rsidR="00EC34D3">
        <w:rPr>
          <w:rFonts w:cs="Times New Roman"/>
        </w:rPr>
        <w:t xml:space="preserve"> owned by the same owner</w:t>
      </w:r>
      <w:r w:rsidR="009541ED">
        <w:rPr>
          <w:rFonts w:cs="Times New Roman"/>
        </w:rPr>
        <w:t xml:space="preserve">. </w:t>
      </w:r>
      <w:r>
        <w:rPr>
          <w:rFonts w:cs="Times New Roman"/>
        </w:rPr>
        <w:t>Project Sponsors should</w:t>
      </w:r>
      <w:r w:rsidRPr="00BB08B5">
        <w:rPr>
          <w:rFonts w:cs="Times New Roman"/>
        </w:rPr>
        <w:t xml:space="preserve"> not assume that </w:t>
      </w:r>
      <w:r w:rsidR="00861B1C" w:rsidRPr="00BB08B5">
        <w:rPr>
          <w:rFonts w:cs="Times New Roman"/>
        </w:rPr>
        <w:t xml:space="preserve">the </w:t>
      </w:r>
      <w:r w:rsidR="008812E1">
        <w:rPr>
          <w:rFonts w:cs="Times New Roman"/>
        </w:rPr>
        <w:t>gross rent</w:t>
      </w:r>
      <w:r w:rsidR="00861B1C" w:rsidRPr="00BB08B5">
        <w:rPr>
          <w:rFonts w:cs="Times New Roman"/>
        </w:rPr>
        <w:t xml:space="preserve"> </w:t>
      </w:r>
      <w:r w:rsidR="001F1D6D">
        <w:rPr>
          <w:rFonts w:cs="Times New Roman"/>
        </w:rPr>
        <w:t xml:space="preserve">of the proposed unit </w:t>
      </w:r>
      <w:r w:rsidR="008812E1">
        <w:rPr>
          <w:rFonts w:cs="Times New Roman"/>
        </w:rPr>
        <w:t>meets rent reasonableness requirements</w:t>
      </w:r>
      <w:r w:rsidR="00861B1C" w:rsidRPr="00BB08B5">
        <w:rPr>
          <w:rFonts w:cs="Times New Roman"/>
        </w:rPr>
        <w:t xml:space="preserve"> </w:t>
      </w:r>
      <w:r w:rsidRPr="00BB08B5">
        <w:rPr>
          <w:rFonts w:cs="Times New Roman"/>
        </w:rPr>
        <w:t xml:space="preserve">if </w:t>
      </w:r>
      <w:r w:rsidR="00861B1C">
        <w:rPr>
          <w:rFonts w:cs="Times New Roman"/>
        </w:rPr>
        <w:t>it</w:t>
      </w:r>
      <w:r w:rsidRPr="00BB08B5">
        <w:rPr>
          <w:rFonts w:cs="Times New Roman"/>
        </w:rPr>
        <w:t xml:space="preserve"> </w:t>
      </w:r>
      <w:r w:rsidR="003D741C">
        <w:rPr>
          <w:rFonts w:cs="Times New Roman"/>
        </w:rPr>
        <w:t>falls</w:t>
      </w:r>
      <w:r w:rsidR="003D741C" w:rsidRPr="00BB08B5">
        <w:rPr>
          <w:rFonts w:cs="Times New Roman"/>
        </w:rPr>
        <w:t xml:space="preserve"> </w:t>
      </w:r>
      <w:r w:rsidRPr="00BB08B5">
        <w:rPr>
          <w:rFonts w:cs="Times New Roman"/>
        </w:rPr>
        <w:t xml:space="preserve">within the established rent standard. </w:t>
      </w:r>
      <w:r w:rsidR="00861B1C">
        <w:rPr>
          <w:rFonts w:cs="Times New Roman"/>
        </w:rPr>
        <w:t>A</w:t>
      </w:r>
      <w:r w:rsidRPr="00BB08B5">
        <w:rPr>
          <w:rFonts w:cs="Times New Roman"/>
        </w:rPr>
        <w:t xml:space="preserve"> </w:t>
      </w:r>
      <w:r w:rsidR="00584ED7">
        <w:rPr>
          <w:rFonts w:cs="Times New Roman"/>
        </w:rPr>
        <w:t xml:space="preserve">proposed </w:t>
      </w:r>
      <w:r w:rsidRPr="00BB08B5">
        <w:rPr>
          <w:rFonts w:cs="Times New Roman"/>
        </w:rPr>
        <w:t xml:space="preserve">unit may </w:t>
      </w:r>
      <w:r w:rsidR="00584ED7">
        <w:rPr>
          <w:rFonts w:cs="Times New Roman"/>
        </w:rPr>
        <w:t xml:space="preserve">meet rent standard </w:t>
      </w:r>
      <w:r w:rsidR="009C621C">
        <w:rPr>
          <w:rFonts w:cs="Times New Roman"/>
        </w:rPr>
        <w:t>requirements but</w:t>
      </w:r>
      <w:r>
        <w:rPr>
          <w:rFonts w:cs="Times New Roman"/>
        </w:rPr>
        <w:t xml:space="preserve"> </w:t>
      </w:r>
      <w:r w:rsidR="001F1D6D">
        <w:rPr>
          <w:rFonts w:cs="Times New Roman"/>
        </w:rPr>
        <w:t>fail to</w:t>
      </w:r>
      <w:r w:rsidR="00584ED7">
        <w:rPr>
          <w:rFonts w:cs="Times New Roman"/>
        </w:rPr>
        <w:t xml:space="preserve"> meet rent reasonableness requirements</w:t>
      </w:r>
      <w:r>
        <w:rPr>
          <w:rFonts w:cs="Times New Roman"/>
        </w:rPr>
        <w:t xml:space="preserve">. Project Sponsors </w:t>
      </w:r>
      <w:r w:rsidR="00584ED7">
        <w:rPr>
          <w:rFonts w:cs="Times New Roman"/>
        </w:rPr>
        <w:t xml:space="preserve">1) </w:t>
      </w:r>
      <w:r w:rsidRPr="00BB08B5">
        <w:rPr>
          <w:rFonts w:cs="Times New Roman"/>
        </w:rPr>
        <w:t xml:space="preserve">document for each </w:t>
      </w:r>
      <w:r w:rsidR="00584ED7">
        <w:rPr>
          <w:rFonts w:cs="Times New Roman"/>
        </w:rPr>
        <w:t xml:space="preserve">proposed </w:t>
      </w:r>
      <w:r w:rsidRPr="00BB08B5">
        <w:rPr>
          <w:rFonts w:cs="Times New Roman"/>
        </w:rPr>
        <w:t>unit that</w:t>
      </w:r>
      <w:r w:rsidR="00584ED7">
        <w:rPr>
          <w:rFonts w:cs="Times New Roman"/>
        </w:rPr>
        <w:t xml:space="preserve"> the owner charged </w:t>
      </w:r>
      <w:r w:rsidRPr="00BB08B5">
        <w:rPr>
          <w:rFonts w:cs="Times New Roman"/>
        </w:rPr>
        <w:t xml:space="preserve">a reasonable </w:t>
      </w:r>
      <w:r w:rsidR="00584ED7">
        <w:rPr>
          <w:rFonts w:cs="Times New Roman"/>
        </w:rPr>
        <w:t xml:space="preserve">gross </w:t>
      </w:r>
      <w:r w:rsidRPr="00BB08B5">
        <w:rPr>
          <w:rFonts w:cs="Times New Roman"/>
        </w:rPr>
        <w:t xml:space="preserve">rent </w:t>
      </w:r>
      <w:r w:rsidR="00584ED7">
        <w:rPr>
          <w:rFonts w:cs="Times New Roman"/>
        </w:rPr>
        <w:t>when compared with the gross rents of other similar</w:t>
      </w:r>
      <w:r w:rsidRPr="00BB08B5">
        <w:rPr>
          <w:rFonts w:cs="Times New Roman"/>
        </w:rPr>
        <w:t xml:space="preserve"> units in the private </w:t>
      </w:r>
      <w:r w:rsidR="00584ED7">
        <w:rPr>
          <w:rFonts w:cs="Times New Roman"/>
        </w:rPr>
        <w:t xml:space="preserve">unassisted </w:t>
      </w:r>
      <w:r w:rsidRPr="00BB08B5">
        <w:rPr>
          <w:rFonts w:cs="Times New Roman"/>
        </w:rPr>
        <w:t xml:space="preserve">market and </w:t>
      </w:r>
      <w:r w:rsidR="00584ED7">
        <w:rPr>
          <w:rFonts w:cs="Times New Roman"/>
        </w:rPr>
        <w:t xml:space="preserve">2) </w:t>
      </w:r>
      <w:r w:rsidRPr="00BB08B5">
        <w:rPr>
          <w:rFonts w:cs="Times New Roman"/>
        </w:rPr>
        <w:t xml:space="preserve">verify, if applicable, that the </w:t>
      </w:r>
      <w:r w:rsidR="00584ED7">
        <w:rPr>
          <w:rFonts w:cs="Times New Roman"/>
        </w:rPr>
        <w:t>owner charged a reasonable gross rent when co</w:t>
      </w:r>
      <w:r w:rsidRPr="00BB08B5">
        <w:rPr>
          <w:rFonts w:cs="Times New Roman"/>
        </w:rPr>
        <w:t>mpared</w:t>
      </w:r>
      <w:r w:rsidR="00584ED7">
        <w:rPr>
          <w:rFonts w:cs="Times New Roman"/>
        </w:rPr>
        <w:t xml:space="preserve"> with</w:t>
      </w:r>
      <w:r w:rsidRPr="00BB08B5">
        <w:rPr>
          <w:rFonts w:cs="Times New Roman"/>
        </w:rPr>
        <w:t xml:space="preserve"> the </w:t>
      </w:r>
      <w:r w:rsidR="00861B1C">
        <w:rPr>
          <w:rFonts w:cs="Times New Roman"/>
        </w:rPr>
        <w:t xml:space="preserve">gross </w:t>
      </w:r>
      <w:r w:rsidRPr="00BB08B5">
        <w:rPr>
          <w:rFonts w:cs="Times New Roman"/>
        </w:rPr>
        <w:t>rent</w:t>
      </w:r>
      <w:r w:rsidR="00861B1C">
        <w:rPr>
          <w:rFonts w:cs="Times New Roman"/>
        </w:rPr>
        <w:t>s</w:t>
      </w:r>
      <w:r w:rsidRPr="00BB08B5">
        <w:rPr>
          <w:rFonts w:cs="Times New Roman"/>
        </w:rPr>
        <w:t xml:space="preserve"> of other </w:t>
      </w:r>
      <w:r w:rsidR="00584ED7">
        <w:rPr>
          <w:rFonts w:cs="Times New Roman"/>
        </w:rPr>
        <w:t>similar</w:t>
      </w:r>
      <w:r w:rsidRPr="00BB08B5">
        <w:rPr>
          <w:rFonts w:cs="Times New Roman"/>
        </w:rPr>
        <w:t xml:space="preserve"> units owned by the same </w:t>
      </w:r>
      <w:r>
        <w:rPr>
          <w:rFonts w:cs="Times New Roman"/>
        </w:rPr>
        <w:t xml:space="preserve">owner. </w:t>
      </w:r>
      <w:r w:rsidR="00584ED7">
        <w:rPr>
          <w:rFonts w:cs="Times New Roman"/>
        </w:rPr>
        <w:t xml:space="preserve">Project Sponsors compare </w:t>
      </w:r>
      <w:r w:rsidR="001F1D6D">
        <w:rPr>
          <w:rFonts w:cs="Times New Roman"/>
        </w:rPr>
        <w:t>the gross rent of the proposed unit</w:t>
      </w:r>
      <w:r w:rsidR="00584ED7">
        <w:rPr>
          <w:rFonts w:cs="Times New Roman"/>
        </w:rPr>
        <w:t xml:space="preserve"> to </w:t>
      </w:r>
      <w:r w:rsidR="001F1D6D">
        <w:rPr>
          <w:rFonts w:cs="Times New Roman"/>
        </w:rPr>
        <w:t xml:space="preserve">the average gross rent of </w:t>
      </w:r>
      <w:r w:rsidR="00584ED7">
        <w:rPr>
          <w:rFonts w:cs="Times New Roman"/>
        </w:rPr>
        <w:t>two similar units</w:t>
      </w:r>
      <w:r w:rsidR="0003710B">
        <w:rPr>
          <w:rFonts w:cs="Times New Roman"/>
        </w:rPr>
        <w:t xml:space="preserve">, accounting for </w:t>
      </w:r>
      <w:r w:rsidR="00BC3394">
        <w:t>unit</w:t>
      </w:r>
      <w:r w:rsidR="001F1D6D">
        <w:rPr>
          <w:rFonts w:cs="Times New Roman"/>
        </w:rPr>
        <w:t xml:space="preserve"> </w:t>
      </w:r>
      <w:r w:rsidR="00972B41" w:rsidRPr="008026D4">
        <w:rPr>
          <w:rFonts w:cs="Times New Roman"/>
        </w:rPr>
        <w:t>size, type, age</w:t>
      </w:r>
      <w:r w:rsidR="00BC3394">
        <w:rPr>
          <w:rFonts w:cs="Times New Roman"/>
        </w:rPr>
        <w:t>,</w:t>
      </w:r>
      <w:r w:rsidR="00972B41" w:rsidRPr="008026D4">
        <w:rPr>
          <w:rFonts w:cs="Times New Roman"/>
        </w:rPr>
        <w:t xml:space="preserve"> </w:t>
      </w:r>
      <w:r w:rsidR="001F1D6D">
        <w:rPr>
          <w:rFonts w:cs="Times New Roman"/>
        </w:rPr>
        <w:t xml:space="preserve">location, </w:t>
      </w:r>
      <w:r w:rsidR="00972B41" w:rsidRPr="008026D4">
        <w:rPr>
          <w:rFonts w:cs="Times New Roman"/>
        </w:rPr>
        <w:t>amenities</w:t>
      </w:r>
      <w:r w:rsidR="00BC3394">
        <w:rPr>
          <w:rFonts w:cs="Times New Roman"/>
        </w:rPr>
        <w:t>,</w:t>
      </w:r>
      <w:r w:rsidR="00972B41" w:rsidRPr="008026D4">
        <w:rPr>
          <w:rFonts w:cs="Times New Roman"/>
        </w:rPr>
        <w:t xml:space="preserve"> and </w:t>
      </w:r>
      <w:r w:rsidR="001F1D6D">
        <w:rPr>
          <w:rFonts w:cs="Times New Roman"/>
        </w:rPr>
        <w:t>utilities</w:t>
      </w:r>
      <w:r w:rsidR="00972B41" w:rsidRPr="008026D4">
        <w:rPr>
          <w:rFonts w:cs="Times New Roman"/>
        </w:rPr>
        <w:t>.</w:t>
      </w:r>
    </w:p>
    <w:p w14:paraId="23A5E2BA" w14:textId="0670E6AC" w:rsidR="00972B41" w:rsidRPr="008026D4" w:rsidRDefault="00B73ACD">
      <w:pPr>
        <w:pStyle w:val="NoSpacing"/>
        <w:numPr>
          <w:ilvl w:val="0"/>
          <w:numId w:val="4"/>
        </w:numPr>
        <w:ind w:left="1260"/>
        <w:rPr>
          <w:rFonts w:cs="Times New Roman"/>
        </w:rPr>
      </w:pPr>
      <w:r>
        <w:rPr>
          <w:rFonts w:cs="Times New Roman"/>
          <w:i/>
        </w:rPr>
        <w:t>Size.</w:t>
      </w:r>
      <w:r w:rsidR="00972B41" w:rsidRPr="008026D4">
        <w:rPr>
          <w:rFonts w:cs="Times New Roman"/>
        </w:rPr>
        <w:t xml:space="preserve"> </w:t>
      </w:r>
      <w:proofErr w:type="gramStart"/>
      <w:r w:rsidR="0003710B">
        <w:rPr>
          <w:rFonts w:cs="Times New Roman"/>
        </w:rPr>
        <w:t>Compare</w:t>
      </w:r>
      <w:proofErr w:type="gramEnd"/>
      <w:r w:rsidR="00972B41" w:rsidRPr="008026D4">
        <w:rPr>
          <w:rFonts w:cs="Times New Roman"/>
        </w:rPr>
        <w:t xml:space="preserve"> to units with similar</w:t>
      </w:r>
      <w:r w:rsidR="001301FD">
        <w:rPr>
          <w:rFonts w:cs="Times New Roman"/>
        </w:rPr>
        <w:t xml:space="preserve"> </w:t>
      </w:r>
      <w:r w:rsidR="00972B41" w:rsidRPr="008026D4">
        <w:rPr>
          <w:rFonts w:cs="Times New Roman"/>
        </w:rPr>
        <w:t>bedrooms, bathrooms, and square feet.</w:t>
      </w:r>
    </w:p>
    <w:p w14:paraId="2DF7B2F8" w14:textId="1FB30678" w:rsidR="00972B41" w:rsidRPr="008026D4" w:rsidRDefault="00B73ACD">
      <w:pPr>
        <w:pStyle w:val="NoSpacing"/>
        <w:numPr>
          <w:ilvl w:val="0"/>
          <w:numId w:val="4"/>
        </w:numPr>
        <w:ind w:left="1260"/>
        <w:rPr>
          <w:rFonts w:cs="Times New Roman"/>
        </w:rPr>
      </w:pPr>
      <w:r>
        <w:rPr>
          <w:rFonts w:cs="Times New Roman"/>
          <w:i/>
        </w:rPr>
        <w:t>Type.</w:t>
      </w:r>
      <w:r w:rsidR="00972B41" w:rsidRPr="008026D4">
        <w:rPr>
          <w:rFonts w:cs="Times New Roman"/>
        </w:rPr>
        <w:t xml:space="preserve"> </w:t>
      </w:r>
      <w:proofErr w:type="gramStart"/>
      <w:r w:rsidR="0003710B">
        <w:rPr>
          <w:rFonts w:cs="Times New Roman"/>
        </w:rPr>
        <w:t>Compare</w:t>
      </w:r>
      <w:proofErr w:type="gramEnd"/>
      <w:r w:rsidR="001301FD">
        <w:rPr>
          <w:rFonts w:cs="Times New Roman"/>
        </w:rPr>
        <w:t xml:space="preserve"> to </w:t>
      </w:r>
      <w:r w:rsidR="0003710B">
        <w:rPr>
          <w:rFonts w:cs="Times New Roman"/>
        </w:rPr>
        <w:t>units of similar type</w:t>
      </w:r>
      <w:r w:rsidR="001301FD">
        <w:rPr>
          <w:rFonts w:cs="Times New Roman"/>
        </w:rPr>
        <w:t xml:space="preserve"> </w:t>
      </w:r>
      <w:r w:rsidR="00972B41" w:rsidRPr="008026D4">
        <w:rPr>
          <w:rFonts w:cs="Times New Roman"/>
        </w:rPr>
        <w:t>(e.g., house, duplex, apartment, etc.)</w:t>
      </w:r>
      <w:r w:rsidR="001301FD">
        <w:rPr>
          <w:rFonts w:cs="Times New Roman"/>
        </w:rPr>
        <w:t>.</w:t>
      </w:r>
    </w:p>
    <w:p w14:paraId="12998CD1" w14:textId="0C328CF5" w:rsidR="00972B41" w:rsidRPr="008026D4" w:rsidRDefault="00B73ACD">
      <w:pPr>
        <w:pStyle w:val="NoSpacing"/>
        <w:numPr>
          <w:ilvl w:val="0"/>
          <w:numId w:val="4"/>
        </w:numPr>
        <w:ind w:left="1260"/>
        <w:rPr>
          <w:rFonts w:cs="Times New Roman"/>
        </w:rPr>
      </w:pPr>
      <w:r>
        <w:rPr>
          <w:rFonts w:cs="Times New Roman"/>
          <w:i/>
        </w:rPr>
        <w:t>Amenities.</w:t>
      </w:r>
      <w:r w:rsidR="00972B41" w:rsidRPr="008026D4">
        <w:rPr>
          <w:rFonts w:cs="Times New Roman"/>
        </w:rPr>
        <w:t xml:space="preserve"> </w:t>
      </w:r>
      <w:proofErr w:type="gramStart"/>
      <w:r w:rsidR="0003710B">
        <w:rPr>
          <w:rFonts w:cs="Times New Roman"/>
        </w:rPr>
        <w:t>Compare</w:t>
      </w:r>
      <w:proofErr w:type="gramEnd"/>
      <w:r w:rsidR="00972B41" w:rsidRPr="008026D4">
        <w:rPr>
          <w:rFonts w:cs="Times New Roman"/>
        </w:rPr>
        <w:t xml:space="preserve"> to units with similar amenities (appliances, patios, etc.)</w:t>
      </w:r>
      <w:r w:rsidR="001301FD">
        <w:rPr>
          <w:rFonts w:cs="Times New Roman"/>
        </w:rPr>
        <w:t>.</w:t>
      </w:r>
    </w:p>
    <w:p w14:paraId="27BBF4A9" w14:textId="2A77B722" w:rsidR="00972B41" w:rsidRDefault="00B73ACD">
      <w:pPr>
        <w:pStyle w:val="NoSpacing"/>
        <w:numPr>
          <w:ilvl w:val="0"/>
          <w:numId w:val="4"/>
        </w:numPr>
        <w:ind w:left="1260"/>
        <w:rPr>
          <w:rFonts w:cs="Times New Roman"/>
        </w:rPr>
      </w:pPr>
      <w:r>
        <w:rPr>
          <w:rFonts w:cs="Times New Roman"/>
          <w:i/>
        </w:rPr>
        <w:t>Location.</w:t>
      </w:r>
      <w:r w:rsidR="00972B41" w:rsidRPr="008026D4">
        <w:rPr>
          <w:rFonts w:cs="Times New Roman"/>
        </w:rPr>
        <w:t xml:space="preserve"> </w:t>
      </w:r>
      <w:r w:rsidR="0003710B">
        <w:rPr>
          <w:rFonts w:cs="Times New Roman"/>
        </w:rPr>
        <w:t>Compare</w:t>
      </w:r>
      <w:r w:rsidR="00972B41" w:rsidRPr="008026D4">
        <w:rPr>
          <w:rFonts w:cs="Times New Roman"/>
        </w:rPr>
        <w:t xml:space="preserve"> to units </w:t>
      </w:r>
      <w:r w:rsidR="0003710B">
        <w:rPr>
          <w:rFonts w:cs="Times New Roman"/>
        </w:rPr>
        <w:t>in the same or similar</w:t>
      </w:r>
      <w:r w:rsidR="00972B41" w:rsidRPr="008026D4">
        <w:rPr>
          <w:rFonts w:cs="Times New Roman"/>
        </w:rPr>
        <w:t xml:space="preserve"> areas.</w:t>
      </w:r>
    </w:p>
    <w:p w14:paraId="34655F03" w14:textId="77777777" w:rsidR="00E547C2" w:rsidRPr="00861B1C" w:rsidRDefault="00E547C2" w:rsidP="00DE48B8">
      <w:pPr>
        <w:pStyle w:val="NoSpacing"/>
        <w:ind w:left="720"/>
        <w:rPr>
          <w:rFonts w:cs="Times New Roman"/>
          <w:iCs/>
        </w:rPr>
      </w:pPr>
    </w:p>
    <w:p w14:paraId="7C4362BA" w14:textId="39F77C90" w:rsidR="00972B41" w:rsidRDefault="009F3230">
      <w:pPr>
        <w:pStyle w:val="NoSpacing"/>
        <w:ind w:left="720"/>
        <w:rPr>
          <w:rFonts w:cs="Times New Roman"/>
        </w:rPr>
      </w:pPr>
      <w:r w:rsidRPr="008026D4">
        <w:rPr>
          <w:rFonts w:cs="Times New Roman"/>
        </w:rPr>
        <w:t xml:space="preserve">If the </w:t>
      </w:r>
      <w:r w:rsidR="001F1D6D">
        <w:rPr>
          <w:rFonts w:cs="Times New Roman"/>
        </w:rPr>
        <w:t>gross rent of the proposed unit</w:t>
      </w:r>
      <w:r w:rsidRPr="008026D4">
        <w:rPr>
          <w:rFonts w:cs="Times New Roman"/>
        </w:rPr>
        <w:t xml:space="preserve"> exceeds the lower of the rent standard or the reasonable rent, then </w:t>
      </w:r>
      <w:r>
        <w:rPr>
          <w:rFonts w:cs="Times New Roman"/>
        </w:rPr>
        <w:t>the Project Sponsor cannot provide TBRA services</w:t>
      </w:r>
      <w:r w:rsidRPr="008026D4">
        <w:rPr>
          <w:rFonts w:cs="Times New Roman"/>
        </w:rPr>
        <w:t>.</w:t>
      </w:r>
      <w:r>
        <w:rPr>
          <w:rFonts w:cs="Times New Roman"/>
        </w:rPr>
        <w:t xml:space="preserve"> </w:t>
      </w:r>
      <w:r w:rsidR="00972B41" w:rsidRPr="007216F2">
        <w:rPr>
          <w:rFonts w:cs="Times New Roman"/>
        </w:rPr>
        <w:t xml:space="preserve">To ensure compliance with this requirement, Project </w:t>
      </w:r>
      <w:r w:rsidR="00972B41" w:rsidRPr="008026D4">
        <w:rPr>
          <w:rFonts w:cs="Times New Roman"/>
        </w:rPr>
        <w:t>Sponsors</w:t>
      </w:r>
      <w:r w:rsidR="006318BB">
        <w:rPr>
          <w:rFonts w:cs="Times New Roman"/>
        </w:rPr>
        <w:t xml:space="preserve"> </w:t>
      </w:r>
      <w:r w:rsidR="00972B41" w:rsidRPr="008026D4">
        <w:rPr>
          <w:rFonts w:cs="Times New Roman"/>
        </w:rPr>
        <w:t xml:space="preserve">complete </w:t>
      </w:r>
      <w:r w:rsidR="00972B41" w:rsidRPr="003F5DA4">
        <w:rPr>
          <w:rFonts w:cs="Times New Roman"/>
          <w:b/>
          <w:color w:val="5B9BD5" w:themeColor="accent1"/>
        </w:rPr>
        <w:t xml:space="preserve">Form H: Rent Standard and Rent Reasonableness </w:t>
      </w:r>
      <w:r w:rsidR="0040629E">
        <w:rPr>
          <w:rFonts w:cs="Times New Roman"/>
          <w:b/>
          <w:color w:val="5B9BD5" w:themeColor="accent1"/>
        </w:rPr>
        <w:t>Examination</w:t>
      </w:r>
      <w:r w:rsidR="0040629E" w:rsidRPr="008026D4">
        <w:rPr>
          <w:rFonts w:cs="Times New Roman"/>
        </w:rPr>
        <w:t xml:space="preserve"> </w:t>
      </w:r>
      <w:r w:rsidR="00972B41" w:rsidRPr="008026D4">
        <w:rPr>
          <w:rFonts w:cs="Times New Roman"/>
        </w:rPr>
        <w:t xml:space="preserve">for each unit </w:t>
      </w:r>
      <w:r w:rsidR="002F6849" w:rsidRPr="002F6849">
        <w:rPr>
          <w:rFonts w:cs="Times New Roman"/>
        </w:rPr>
        <w:t xml:space="preserve">before TBRA services start and annual </w:t>
      </w:r>
      <w:r w:rsidR="00892A68">
        <w:rPr>
          <w:rFonts w:cs="Times New Roman"/>
        </w:rPr>
        <w:t xml:space="preserve">eligibility </w:t>
      </w:r>
      <w:r w:rsidR="002F6849" w:rsidRPr="002F6849">
        <w:rPr>
          <w:rFonts w:cs="Times New Roman"/>
        </w:rPr>
        <w:t xml:space="preserve">recertifications. </w:t>
      </w:r>
      <w:r w:rsidR="002F6849">
        <w:rPr>
          <w:rFonts w:cs="Times New Roman"/>
        </w:rPr>
        <w:t xml:space="preserve">Also, </w:t>
      </w:r>
      <w:r w:rsidR="006318BB">
        <w:rPr>
          <w:rFonts w:cs="Times New Roman"/>
        </w:rPr>
        <w:t>they complete Form H</w:t>
      </w:r>
      <w:r w:rsidR="002F6849">
        <w:rPr>
          <w:rFonts w:cs="Times New Roman"/>
        </w:rPr>
        <w:t xml:space="preserve"> </w:t>
      </w:r>
      <w:r w:rsidR="002F6849" w:rsidRPr="002F6849">
        <w:rPr>
          <w:rFonts w:cs="Times New Roman"/>
        </w:rPr>
        <w:t xml:space="preserve">if </w:t>
      </w:r>
      <w:r w:rsidR="00892A68">
        <w:rPr>
          <w:rFonts w:cs="Times New Roman"/>
        </w:rPr>
        <w:t>household</w:t>
      </w:r>
      <w:r w:rsidR="002F6849" w:rsidRPr="002F6849">
        <w:rPr>
          <w:rFonts w:cs="Times New Roman"/>
        </w:rPr>
        <w:t xml:space="preserve"> residency</w:t>
      </w:r>
      <w:r w:rsidR="00682E28">
        <w:rPr>
          <w:rFonts w:cs="Times New Roman"/>
        </w:rPr>
        <w:t>, composition,</w:t>
      </w:r>
      <w:r w:rsidR="002F6849" w:rsidRPr="002F6849">
        <w:rPr>
          <w:rFonts w:cs="Times New Roman"/>
        </w:rPr>
        <w:t xml:space="preserve"> or rent</w:t>
      </w:r>
      <w:r w:rsidR="00892A68">
        <w:rPr>
          <w:rFonts w:cs="Times New Roman"/>
        </w:rPr>
        <w:t xml:space="preserve"> have changed</w:t>
      </w:r>
      <w:r w:rsidR="00972B41" w:rsidRPr="008026D4">
        <w:rPr>
          <w:rFonts w:cs="Times New Roman"/>
        </w:rPr>
        <w:t>.</w:t>
      </w:r>
    </w:p>
    <w:p w14:paraId="18985D29" w14:textId="7CE3003D" w:rsidR="00B97511" w:rsidRDefault="001D4010">
      <w:pPr>
        <w:pStyle w:val="NoSpacing"/>
        <w:ind w:left="720"/>
        <w:rPr>
          <w:rFonts w:cs="Times New Roman"/>
          <w:color w:val="C00000"/>
        </w:rPr>
      </w:pPr>
      <w:r w:rsidRPr="001D4010">
        <w:rPr>
          <w:rFonts w:cs="Times New Roman"/>
          <w:b/>
          <w:color w:val="C00000"/>
        </w:rPr>
        <w:t xml:space="preserve">NOTE: </w:t>
      </w:r>
      <w:r w:rsidR="002A7FC4" w:rsidRPr="00ED208F">
        <w:rPr>
          <w:rFonts w:cs="Times New Roman"/>
          <w:color w:val="C00000"/>
        </w:rPr>
        <w:t xml:space="preserve">Project Sponsors must attach comparison unit </w:t>
      </w:r>
      <w:r w:rsidR="006123E2">
        <w:rPr>
          <w:rFonts w:cs="Times New Roman"/>
          <w:color w:val="C00000"/>
        </w:rPr>
        <w:t xml:space="preserve">documentation </w:t>
      </w:r>
      <w:r w:rsidR="00F0182F">
        <w:rPr>
          <w:rFonts w:cs="Times New Roman"/>
          <w:color w:val="C00000"/>
        </w:rPr>
        <w:t xml:space="preserve">and </w:t>
      </w:r>
      <w:r w:rsidR="006123E2">
        <w:rPr>
          <w:rFonts w:cs="Times New Roman"/>
          <w:color w:val="C00000"/>
        </w:rPr>
        <w:t xml:space="preserve">a </w:t>
      </w:r>
      <w:r w:rsidR="002A7FC4" w:rsidRPr="00ED208F">
        <w:rPr>
          <w:rFonts w:cs="Times New Roman"/>
          <w:color w:val="C00000"/>
        </w:rPr>
        <w:t>utility schedule</w:t>
      </w:r>
      <w:r w:rsidR="006123E2">
        <w:rPr>
          <w:rFonts w:cs="Times New Roman"/>
          <w:color w:val="C00000"/>
        </w:rPr>
        <w:t xml:space="preserve"> to Form H</w:t>
      </w:r>
      <w:r w:rsidR="002A7FC4" w:rsidRPr="00ED208F">
        <w:rPr>
          <w:rFonts w:cs="Times New Roman"/>
          <w:color w:val="C00000"/>
        </w:rPr>
        <w:t>.</w:t>
      </w:r>
    </w:p>
    <w:p w14:paraId="4F110C6B" w14:textId="7F45852F" w:rsidR="001D4010" w:rsidRDefault="00B97511">
      <w:pPr>
        <w:pStyle w:val="NoSpacing"/>
        <w:ind w:left="720"/>
        <w:rPr>
          <w:rFonts w:cs="Times New Roman"/>
          <w:b/>
          <w:color w:val="C00000"/>
        </w:rPr>
      </w:pPr>
      <w:r w:rsidRPr="00DA098E">
        <w:rPr>
          <w:rFonts w:cs="Times New Roman"/>
          <w:b/>
          <w:color w:val="C00000"/>
        </w:rPr>
        <w:t>NOTE:</w:t>
      </w:r>
      <w:r>
        <w:rPr>
          <w:rFonts w:cs="Times New Roman"/>
          <w:color w:val="C00000"/>
        </w:rPr>
        <w:t xml:space="preserve"> </w:t>
      </w:r>
      <w:r w:rsidR="006123E2">
        <w:rPr>
          <w:rFonts w:cs="Times New Roman"/>
          <w:color w:val="C00000"/>
        </w:rPr>
        <w:t>Form H automatically selects a rent standard based on zip code, county, and authorized unit size.</w:t>
      </w:r>
      <w:r w:rsidR="007216F2">
        <w:rPr>
          <w:rFonts w:cs="Times New Roman"/>
          <w:color w:val="C00000"/>
        </w:rPr>
        <w:t xml:space="preserve"> </w:t>
      </w:r>
      <w:r w:rsidR="00FF6BB5">
        <w:rPr>
          <w:rFonts w:cs="Times New Roman"/>
          <w:color w:val="C00000"/>
        </w:rPr>
        <w:t xml:space="preserve">Form H returns a </w:t>
      </w:r>
      <w:r w:rsidR="007216F2" w:rsidRPr="007216F2">
        <w:rPr>
          <w:rFonts w:cs="Times New Roman"/>
          <w:color w:val="C00000"/>
        </w:rPr>
        <w:t xml:space="preserve">zip-code-level rent standard </w:t>
      </w:r>
      <w:r w:rsidR="00FF6BB5">
        <w:rPr>
          <w:rFonts w:cs="Times New Roman"/>
          <w:color w:val="C00000"/>
        </w:rPr>
        <w:t>where</w:t>
      </w:r>
      <w:r w:rsidR="007216F2" w:rsidRPr="007216F2">
        <w:rPr>
          <w:rFonts w:cs="Times New Roman"/>
          <w:color w:val="C00000"/>
        </w:rPr>
        <w:t xml:space="preserve"> available</w:t>
      </w:r>
      <w:r w:rsidR="00FF6BB5">
        <w:rPr>
          <w:rFonts w:cs="Times New Roman"/>
          <w:color w:val="C00000"/>
        </w:rPr>
        <w:t xml:space="preserve"> and </w:t>
      </w:r>
      <w:r w:rsidR="007216F2" w:rsidRPr="007216F2">
        <w:rPr>
          <w:rFonts w:cs="Times New Roman"/>
          <w:color w:val="C00000"/>
        </w:rPr>
        <w:t>a county-level rent standard</w:t>
      </w:r>
      <w:r w:rsidR="00FF6BB5">
        <w:rPr>
          <w:rFonts w:cs="Times New Roman"/>
          <w:color w:val="C00000"/>
        </w:rPr>
        <w:t xml:space="preserve"> where not</w:t>
      </w:r>
      <w:r w:rsidR="007216F2" w:rsidRPr="007216F2">
        <w:rPr>
          <w:rFonts w:cs="Times New Roman"/>
          <w:color w:val="C00000"/>
        </w:rPr>
        <w:t>.</w:t>
      </w:r>
    </w:p>
    <w:p w14:paraId="3DED7A4E" w14:textId="6F9FE4E1" w:rsidR="00BC0913" w:rsidRPr="00066B7E" w:rsidRDefault="00D03272">
      <w:pPr>
        <w:pStyle w:val="NoSpacing"/>
        <w:ind w:left="720"/>
        <w:rPr>
          <w:rFonts w:cs="Times New Roman"/>
        </w:rPr>
      </w:pPr>
      <w:r>
        <w:rPr>
          <w:rFonts w:cs="Times New Roman"/>
          <w:b/>
          <w:color w:val="C00000"/>
        </w:rPr>
        <w:t>NOTE:</w:t>
      </w:r>
      <w:r>
        <w:rPr>
          <w:rFonts w:cs="Times New Roman"/>
          <w:color w:val="C00000"/>
        </w:rPr>
        <w:t xml:space="preserve"> See </w:t>
      </w:r>
      <w:r w:rsidRPr="009658B2">
        <w:rPr>
          <w:rFonts w:cs="Times New Roman"/>
          <w:color w:val="C00000"/>
        </w:rPr>
        <w:t xml:space="preserve">Appendix H: </w:t>
      </w:r>
      <w:r>
        <w:rPr>
          <w:rFonts w:cs="Times New Roman"/>
          <w:color w:val="C00000"/>
        </w:rPr>
        <w:t xml:space="preserve">Rental Assistance </w:t>
      </w:r>
      <w:r w:rsidRPr="009658B2">
        <w:rPr>
          <w:rFonts w:cs="Times New Roman"/>
          <w:color w:val="C00000"/>
        </w:rPr>
        <w:t>Instructions for Shared Housing Arrangements</w:t>
      </w:r>
      <w:r>
        <w:rPr>
          <w:rFonts w:cs="Times New Roman"/>
          <w:color w:val="C00000"/>
        </w:rPr>
        <w:t>.</w:t>
      </w:r>
      <w:bookmarkEnd w:id="26"/>
    </w:p>
    <w:bookmarkEnd w:id="25"/>
    <w:p w14:paraId="3D76E882" w14:textId="1EC90834" w:rsidR="009A118F" w:rsidRPr="002A61C8" w:rsidRDefault="009A118F" w:rsidP="002A61C8">
      <w:pPr>
        <w:spacing w:after="0" w:line="240" w:lineRule="auto"/>
        <w:ind w:left="720"/>
        <w:rPr>
          <w:rFonts w:cs="Times New Roman"/>
        </w:rPr>
      </w:pPr>
    </w:p>
    <w:p w14:paraId="214ADFA6" w14:textId="3432DE09" w:rsidR="00972B41" w:rsidRPr="00997CAD" w:rsidRDefault="00972B41" w:rsidP="000E4A24">
      <w:pPr>
        <w:pStyle w:val="NoSpacing"/>
        <w:numPr>
          <w:ilvl w:val="1"/>
          <w:numId w:val="85"/>
        </w:numPr>
        <w:rPr>
          <w:rFonts w:cs="Times New Roman"/>
          <w:b/>
          <w:u w:val="single"/>
        </w:rPr>
      </w:pPr>
      <w:r w:rsidRPr="00997CAD">
        <w:rPr>
          <w:rFonts w:cs="Times New Roman"/>
          <w:b/>
          <w:u w:val="single"/>
        </w:rPr>
        <w:t xml:space="preserve">Calculating </w:t>
      </w:r>
      <w:r w:rsidR="007F7F46">
        <w:rPr>
          <w:rFonts w:cs="Times New Roman"/>
          <w:b/>
          <w:u w:val="single"/>
        </w:rPr>
        <w:t xml:space="preserve">Monthly </w:t>
      </w:r>
      <w:r w:rsidRPr="00997CAD">
        <w:rPr>
          <w:rFonts w:cs="Times New Roman"/>
          <w:b/>
          <w:u w:val="single"/>
        </w:rPr>
        <w:t xml:space="preserve">Household and </w:t>
      </w:r>
      <w:r w:rsidR="00503E07">
        <w:rPr>
          <w:rFonts w:cs="Times New Roman"/>
          <w:b/>
          <w:u w:val="single"/>
        </w:rPr>
        <w:t>Project Sponsor</w:t>
      </w:r>
      <w:r w:rsidR="00503E07" w:rsidRPr="00997CAD">
        <w:rPr>
          <w:rFonts w:cs="Times New Roman"/>
          <w:b/>
          <w:u w:val="single"/>
        </w:rPr>
        <w:t xml:space="preserve"> </w:t>
      </w:r>
      <w:r w:rsidR="007F7F46">
        <w:rPr>
          <w:rFonts w:cs="Times New Roman"/>
          <w:b/>
          <w:u w:val="single"/>
        </w:rPr>
        <w:t>Rent Payments</w:t>
      </w:r>
    </w:p>
    <w:p w14:paraId="7FB34A95" w14:textId="3C653CF0" w:rsidR="00BE4BAB" w:rsidRDefault="00972B41">
      <w:pPr>
        <w:pStyle w:val="NoSpacing"/>
        <w:ind w:left="720"/>
        <w:rPr>
          <w:rFonts w:cs="Times New Roman"/>
        </w:rPr>
      </w:pPr>
      <w:r w:rsidRPr="008026D4">
        <w:rPr>
          <w:rFonts w:cs="Times New Roman"/>
        </w:rPr>
        <w:t xml:space="preserve">TBRA pays the difference between </w:t>
      </w:r>
      <w:r w:rsidR="00B15440">
        <w:rPr>
          <w:rFonts w:cs="Times New Roman"/>
        </w:rPr>
        <w:t>the</w:t>
      </w:r>
      <w:r w:rsidR="00230C7B">
        <w:rPr>
          <w:rFonts w:cs="Times New Roman"/>
        </w:rPr>
        <w:t xml:space="preserve"> household’s calculated monthly rent payment and the</w:t>
      </w:r>
      <w:r w:rsidR="00CB7A80">
        <w:rPr>
          <w:rFonts w:cs="Times New Roman"/>
        </w:rPr>
        <w:t xml:space="preserve"> rent </w:t>
      </w:r>
      <w:r w:rsidR="00230C7B">
        <w:rPr>
          <w:rFonts w:cs="Times New Roman"/>
        </w:rPr>
        <w:t xml:space="preserve">specified in their lease agreement. </w:t>
      </w:r>
      <w:r w:rsidRPr="008026D4">
        <w:rPr>
          <w:rFonts w:cs="Times New Roman"/>
        </w:rPr>
        <w:t>Project Sponsors make rental</w:t>
      </w:r>
      <w:r w:rsidR="00781D43">
        <w:rPr>
          <w:rFonts w:cs="Times New Roman"/>
        </w:rPr>
        <w:t xml:space="preserve"> assistance</w:t>
      </w:r>
      <w:r w:rsidRPr="008026D4">
        <w:rPr>
          <w:rFonts w:cs="Times New Roman"/>
        </w:rPr>
        <w:t xml:space="preserve"> payments directly to property owners and, in </w:t>
      </w:r>
      <w:r w:rsidR="00B15440">
        <w:rPr>
          <w:rFonts w:cs="Times New Roman"/>
        </w:rPr>
        <w:t>some</w:t>
      </w:r>
      <w:r w:rsidR="00B15440" w:rsidRPr="008026D4">
        <w:rPr>
          <w:rFonts w:cs="Times New Roman"/>
        </w:rPr>
        <w:t xml:space="preserve"> </w:t>
      </w:r>
      <w:r w:rsidRPr="008026D4">
        <w:rPr>
          <w:rFonts w:cs="Times New Roman"/>
        </w:rPr>
        <w:t xml:space="preserve">circumstances, </w:t>
      </w:r>
      <w:r w:rsidR="00542891">
        <w:rPr>
          <w:rFonts w:cs="Times New Roman"/>
        </w:rPr>
        <w:t xml:space="preserve">make payments </w:t>
      </w:r>
      <w:r w:rsidRPr="008026D4">
        <w:rPr>
          <w:rFonts w:cs="Times New Roman"/>
        </w:rPr>
        <w:t>to utility vendors</w:t>
      </w:r>
      <w:r w:rsidR="00D03272">
        <w:rPr>
          <w:rFonts w:cs="Times New Roman"/>
        </w:rPr>
        <w:t xml:space="preserve"> in the form of a utility reimbursement</w:t>
      </w:r>
      <w:r w:rsidRPr="008026D4">
        <w:rPr>
          <w:rFonts w:cs="Times New Roman"/>
        </w:rPr>
        <w:t xml:space="preserve">. Per 24 CFR §574.310(d), households receiving TBRA services must pay as rent, including utilities, an amount </w:t>
      </w:r>
      <w:r w:rsidR="00714664">
        <w:rPr>
          <w:rFonts w:cs="Times New Roman"/>
        </w:rPr>
        <w:t>equaling</w:t>
      </w:r>
      <w:r w:rsidR="00714664" w:rsidRPr="008026D4">
        <w:rPr>
          <w:rFonts w:cs="Times New Roman"/>
        </w:rPr>
        <w:t xml:space="preserve"> </w:t>
      </w:r>
      <w:r w:rsidRPr="008026D4">
        <w:rPr>
          <w:rFonts w:cs="Times New Roman"/>
        </w:rPr>
        <w:t>the higher of 1) 30 percent of the household</w:t>
      </w:r>
      <w:r w:rsidR="005A2088">
        <w:rPr>
          <w:rFonts w:cs="Times New Roman"/>
        </w:rPr>
        <w:t>’</w:t>
      </w:r>
      <w:r w:rsidRPr="008026D4">
        <w:rPr>
          <w:rFonts w:cs="Times New Roman"/>
        </w:rPr>
        <w:t xml:space="preserve">s monthly adjusted income </w:t>
      </w:r>
      <w:r w:rsidR="00E948C7">
        <w:rPr>
          <w:rFonts w:cs="Times New Roman"/>
        </w:rPr>
        <w:t xml:space="preserve">as </w:t>
      </w:r>
      <w:r w:rsidRPr="008026D4">
        <w:rPr>
          <w:rFonts w:cs="Times New Roman"/>
        </w:rPr>
        <w:t>desc</w:t>
      </w:r>
      <w:r w:rsidR="0050156B">
        <w:rPr>
          <w:rFonts w:cs="Times New Roman"/>
        </w:rPr>
        <w:t xml:space="preserve">ribed in </w:t>
      </w:r>
      <w:hyperlink r:id="rId88" w:anchor="p-5.611(a)" w:history="1">
        <w:r w:rsidR="0050156B" w:rsidRPr="00E948C7">
          <w:rPr>
            <w:rStyle w:val="Hyperlink"/>
            <w:rFonts w:cs="Times New Roman"/>
          </w:rPr>
          <w:t>24 CFR §5.611</w:t>
        </w:r>
      </w:hyperlink>
      <w:r w:rsidR="00714664">
        <w:rPr>
          <w:rFonts w:cs="Times New Roman"/>
        </w:rPr>
        <w:t>,</w:t>
      </w:r>
      <w:r w:rsidRPr="008026D4">
        <w:rPr>
          <w:rFonts w:cs="Times New Roman"/>
        </w:rPr>
        <w:t xml:space="preserve"> 2) 10 percent of the household</w:t>
      </w:r>
      <w:r w:rsidR="005A2088">
        <w:rPr>
          <w:rFonts w:cs="Times New Roman"/>
        </w:rPr>
        <w:t>’</w:t>
      </w:r>
      <w:r w:rsidRPr="008026D4">
        <w:rPr>
          <w:rFonts w:cs="Times New Roman"/>
        </w:rPr>
        <w:t>s monthly income</w:t>
      </w:r>
      <w:r w:rsidR="00714664">
        <w:rPr>
          <w:rFonts w:cs="Times New Roman"/>
        </w:rPr>
        <w:t>,</w:t>
      </w:r>
      <w:r w:rsidRPr="008026D4">
        <w:rPr>
          <w:rFonts w:cs="Times New Roman"/>
        </w:rPr>
        <w:t xml:space="preserve"> or 3) </w:t>
      </w:r>
      <w:r w:rsidR="002C716F">
        <w:rPr>
          <w:rFonts w:cs="Times New Roman"/>
        </w:rPr>
        <w:t xml:space="preserve">the household’s monthly </w:t>
      </w:r>
      <w:r w:rsidRPr="008026D4">
        <w:rPr>
          <w:rFonts w:cs="Times New Roman"/>
        </w:rPr>
        <w:t xml:space="preserve">welfare </w:t>
      </w:r>
      <w:r w:rsidR="00180508">
        <w:rPr>
          <w:rFonts w:cs="Times New Roman"/>
        </w:rPr>
        <w:t>payments</w:t>
      </w:r>
      <w:r w:rsidRPr="008026D4">
        <w:rPr>
          <w:rFonts w:cs="Times New Roman"/>
        </w:rPr>
        <w:t xml:space="preserve"> from a public agency </w:t>
      </w:r>
      <w:r w:rsidR="00180508">
        <w:rPr>
          <w:rFonts w:cs="Times New Roman"/>
        </w:rPr>
        <w:t>designated to meet housing costs</w:t>
      </w:r>
      <w:r w:rsidRPr="008026D4">
        <w:rPr>
          <w:rFonts w:cs="Times New Roman"/>
        </w:rPr>
        <w:t xml:space="preserve">. </w:t>
      </w:r>
      <w:r w:rsidR="00692FFC" w:rsidRPr="006F014B">
        <w:rPr>
          <w:rFonts w:cs="Times New Roman"/>
        </w:rPr>
        <w:t xml:space="preserve">The </w:t>
      </w:r>
      <w:r w:rsidR="00692FFC" w:rsidRPr="00C12F4F">
        <w:rPr>
          <w:rFonts w:cs="Times New Roman"/>
          <w:b/>
          <w:color w:val="70AD47" w:themeColor="accent6"/>
        </w:rPr>
        <w:t>Determining Household Annual Adjusted Income Guide</w:t>
      </w:r>
      <w:r w:rsidR="00692FFC">
        <w:rPr>
          <w:rFonts w:cs="Times New Roman"/>
        </w:rPr>
        <w:t xml:space="preserve"> outlines </w:t>
      </w:r>
      <w:r w:rsidR="00692FFC">
        <w:rPr>
          <w:rFonts w:cs="Times New Roman"/>
        </w:rPr>
        <w:lastRenderedPageBreak/>
        <w:t xml:space="preserve">acceptable forms of deduction verification and deduction calculation guidance. </w:t>
      </w:r>
      <w:r w:rsidRPr="008026D4">
        <w:rPr>
          <w:rFonts w:cs="Times New Roman"/>
        </w:rPr>
        <w:t xml:space="preserve">To accurately calculate the </w:t>
      </w:r>
      <w:r w:rsidR="00FE6D85">
        <w:rPr>
          <w:rFonts w:cs="Times New Roman"/>
        </w:rPr>
        <w:t xml:space="preserve">household’s monthly rent payment </w:t>
      </w:r>
      <w:r w:rsidRPr="008026D4">
        <w:rPr>
          <w:rFonts w:cs="Times New Roman"/>
        </w:rPr>
        <w:t xml:space="preserve">and </w:t>
      </w:r>
      <w:r w:rsidR="00FE6D85">
        <w:rPr>
          <w:rFonts w:cs="Times New Roman"/>
        </w:rPr>
        <w:t>rent</w:t>
      </w:r>
      <w:r w:rsidR="0031423B">
        <w:rPr>
          <w:rFonts w:cs="Times New Roman"/>
        </w:rPr>
        <w:t>al</w:t>
      </w:r>
      <w:r w:rsidR="00FE6D85">
        <w:rPr>
          <w:rFonts w:cs="Times New Roman"/>
        </w:rPr>
        <w:t xml:space="preserve"> </w:t>
      </w:r>
      <w:r w:rsidR="00781D43">
        <w:rPr>
          <w:rFonts w:cs="Times New Roman"/>
        </w:rPr>
        <w:t xml:space="preserve">assistance </w:t>
      </w:r>
      <w:r w:rsidR="00B15440">
        <w:rPr>
          <w:rFonts w:cs="Times New Roman"/>
        </w:rPr>
        <w:t>subsidy</w:t>
      </w:r>
      <w:r w:rsidRPr="008026D4">
        <w:rPr>
          <w:rFonts w:cs="Times New Roman"/>
        </w:rPr>
        <w:t xml:space="preserve">, Project Sponsors complete </w:t>
      </w:r>
      <w:r w:rsidRPr="003F5DA4">
        <w:rPr>
          <w:rFonts w:cs="Times New Roman"/>
          <w:b/>
          <w:color w:val="5B9BD5" w:themeColor="accent1"/>
        </w:rPr>
        <w:t xml:space="preserve">Form I: </w:t>
      </w:r>
      <w:r w:rsidR="00914AAE" w:rsidRPr="00914AAE">
        <w:rPr>
          <w:rFonts w:cs="Times New Roman"/>
          <w:b/>
          <w:color w:val="5B9BD5" w:themeColor="accent1"/>
        </w:rPr>
        <w:t xml:space="preserve">Rental Assistance </w:t>
      </w:r>
      <w:r w:rsidRPr="003F5DA4">
        <w:rPr>
          <w:rFonts w:cs="Times New Roman"/>
          <w:b/>
          <w:color w:val="5B9BD5" w:themeColor="accent1"/>
        </w:rPr>
        <w:t>Worksheet</w:t>
      </w:r>
      <w:r w:rsidRPr="003F5DA4">
        <w:rPr>
          <w:rFonts w:cs="Times New Roman"/>
          <w:color w:val="5B9BD5" w:themeColor="accent1"/>
        </w:rPr>
        <w:t xml:space="preserve"> </w:t>
      </w:r>
      <w:r w:rsidRPr="008026D4">
        <w:rPr>
          <w:rFonts w:cs="Times New Roman"/>
        </w:rPr>
        <w:t>before TBRA services start and annual</w:t>
      </w:r>
      <w:r w:rsidR="004C2020">
        <w:rPr>
          <w:rFonts w:cs="Times New Roman"/>
        </w:rPr>
        <w:t xml:space="preserve"> eligibility</w:t>
      </w:r>
      <w:r w:rsidRPr="008026D4">
        <w:rPr>
          <w:rFonts w:cs="Times New Roman"/>
        </w:rPr>
        <w:t xml:space="preserve"> recertifications. Also, </w:t>
      </w:r>
      <w:r w:rsidR="00714664">
        <w:rPr>
          <w:rFonts w:cs="Times New Roman"/>
        </w:rPr>
        <w:t>they complete Form I</w:t>
      </w:r>
      <w:r w:rsidRPr="008026D4">
        <w:rPr>
          <w:rFonts w:cs="Times New Roman"/>
        </w:rPr>
        <w:t xml:space="preserve"> if </w:t>
      </w:r>
      <w:r w:rsidR="00FB332A" w:rsidRPr="00FB332A">
        <w:rPr>
          <w:rFonts w:cs="Times New Roman"/>
        </w:rPr>
        <w:t xml:space="preserve">household </w:t>
      </w:r>
      <w:r w:rsidR="004C2020">
        <w:rPr>
          <w:rFonts w:cs="Times New Roman"/>
        </w:rPr>
        <w:t>eligibility factors</w:t>
      </w:r>
      <w:r w:rsidR="00FB332A" w:rsidRPr="00FB332A" w:rsidDel="00FB332A">
        <w:rPr>
          <w:rFonts w:cs="Times New Roman"/>
        </w:rPr>
        <w:t xml:space="preserve"> </w:t>
      </w:r>
      <w:r w:rsidR="002F6849">
        <w:rPr>
          <w:rFonts w:cs="Times New Roman"/>
        </w:rPr>
        <w:t>or rent</w:t>
      </w:r>
      <w:r w:rsidR="00FB332A">
        <w:rPr>
          <w:rFonts w:cs="Times New Roman"/>
        </w:rPr>
        <w:t xml:space="preserve"> have changed</w:t>
      </w:r>
      <w:r w:rsidRPr="008026D4">
        <w:rPr>
          <w:rFonts w:cs="Times New Roman"/>
        </w:rPr>
        <w:t>.</w:t>
      </w:r>
    </w:p>
    <w:p w14:paraId="251348FC" w14:textId="77777777" w:rsidR="00FF1903" w:rsidRPr="00DE48B8" w:rsidRDefault="00FF1903" w:rsidP="00DE48B8">
      <w:pPr>
        <w:pStyle w:val="NoSpacing"/>
        <w:ind w:left="720"/>
        <w:rPr>
          <w:rFonts w:cs="Times New Roman"/>
          <w:b/>
          <w:u w:val="single"/>
        </w:rPr>
      </w:pPr>
    </w:p>
    <w:p w14:paraId="79404367" w14:textId="3BAE3425" w:rsidR="00972B41" w:rsidRPr="00997CAD" w:rsidRDefault="00FA1D24">
      <w:pPr>
        <w:pStyle w:val="NoSpacing"/>
        <w:numPr>
          <w:ilvl w:val="1"/>
          <w:numId w:val="85"/>
        </w:numPr>
        <w:rPr>
          <w:rFonts w:cs="Times New Roman"/>
          <w:b/>
          <w:u w:val="single"/>
        </w:rPr>
      </w:pPr>
      <w:r w:rsidRPr="00997CAD">
        <w:rPr>
          <w:rFonts w:cs="Times New Roman"/>
          <w:b/>
          <w:u w:val="single"/>
        </w:rPr>
        <w:t>Utility Allowances and Reimbursements</w:t>
      </w:r>
    </w:p>
    <w:p w14:paraId="41CADDEE" w14:textId="2FF279BE" w:rsidR="00FA1D24" w:rsidRDefault="00FA1D24">
      <w:pPr>
        <w:pStyle w:val="NoSpacing"/>
        <w:ind w:left="720"/>
        <w:rPr>
          <w:rFonts w:cs="Times New Roman"/>
        </w:rPr>
      </w:pPr>
      <w:r w:rsidRPr="008026D4">
        <w:rPr>
          <w:rFonts w:cs="Times New Roman"/>
        </w:rPr>
        <w:t>Households receiving TBRA services must receive a utility allowance if they pay a separate utility vendor in additio</w:t>
      </w:r>
      <w:r w:rsidR="00240185">
        <w:rPr>
          <w:rFonts w:cs="Times New Roman"/>
        </w:rPr>
        <w:t>n to rent and utilities</w:t>
      </w:r>
      <w:r w:rsidRPr="008026D4">
        <w:rPr>
          <w:rFonts w:cs="Times New Roman"/>
        </w:rPr>
        <w:t xml:space="preserve"> paid to the owner.</w:t>
      </w:r>
      <w:r w:rsidR="00240185">
        <w:rPr>
          <w:rFonts w:cs="Times New Roman"/>
        </w:rPr>
        <w:t xml:space="preserve"> </w:t>
      </w:r>
      <w:bookmarkStart w:id="27" w:name="_Hlk137565913"/>
      <w:r w:rsidR="00D81B08">
        <w:rPr>
          <w:rFonts w:cs="Times New Roman"/>
        </w:rPr>
        <w:t>Households only receive an</w:t>
      </w:r>
      <w:r w:rsidR="00D81B08" w:rsidRPr="001E59FE">
        <w:rPr>
          <w:rFonts w:cs="Times New Roman"/>
        </w:rPr>
        <w:t xml:space="preserve"> allowance </w:t>
      </w:r>
      <w:r w:rsidR="00D81B08">
        <w:rPr>
          <w:rFonts w:cs="Times New Roman"/>
        </w:rPr>
        <w:t>for</w:t>
      </w:r>
      <w:r w:rsidR="00D81B08" w:rsidRPr="001E59FE">
        <w:rPr>
          <w:rFonts w:cs="Times New Roman"/>
        </w:rPr>
        <w:t xml:space="preserve"> utility costs</w:t>
      </w:r>
      <w:r w:rsidR="00D81B08">
        <w:rPr>
          <w:rFonts w:cs="Times New Roman"/>
        </w:rPr>
        <w:t xml:space="preserve"> </w:t>
      </w:r>
      <w:r w:rsidR="00D81B08" w:rsidRPr="001E59FE">
        <w:rPr>
          <w:rFonts w:cs="Times New Roman"/>
        </w:rPr>
        <w:t>not paid by another source</w:t>
      </w:r>
      <w:r w:rsidR="00D81B08">
        <w:rPr>
          <w:rFonts w:cs="Times New Roman"/>
        </w:rPr>
        <w:t xml:space="preserve">. </w:t>
      </w:r>
      <w:r w:rsidR="00DB1E70">
        <w:rPr>
          <w:rFonts w:cs="Times New Roman"/>
        </w:rPr>
        <w:t>Project Sponsors prorate allowances</w:t>
      </w:r>
      <w:r w:rsidR="00240185">
        <w:rPr>
          <w:rFonts w:cs="Times New Roman"/>
        </w:rPr>
        <w:t xml:space="preserve"> </w:t>
      </w:r>
      <w:r w:rsidR="00DB1E70">
        <w:rPr>
          <w:rFonts w:cs="Times New Roman"/>
        </w:rPr>
        <w:t xml:space="preserve">for </w:t>
      </w:r>
      <w:r w:rsidR="00240185">
        <w:rPr>
          <w:rFonts w:cs="Times New Roman"/>
        </w:rPr>
        <w:t>shared housing arrangements</w:t>
      </w:r>
      <w:r w:rsidR="009C6888">
        <w:rPr>
          <w:rFonts w:cs="Times New Roman"/>
        </w:rPr>
        <w:t xml:space="preserve"> (</w:t>
      </w:r>
      <w:r w:rsidR="009C6888" w:rsidRPr="009C6888">
        <w:rPr>
          <w:rFonts w:cs="Times New Roman"/>
        </w:rPr>
        <w:t>See Appendix H: Rental Assistance Instructions for Shared Housing Arrangements</w:t>
      </w:r>
      <w:r w:rsidR="009C6888">
        <w:rPr>
          <w:rFonts w:cs="Times New Roman"/>
        </w:rPr>
        <w:t>)</w:t>
      </w:r>
      <w:r w:rsidR="00240185">
        <w:rPr>
          <w:rFonts w:cs="Times New Roman"/>
        </w:rPr>
        <w:t xml:space="preserve">. </w:t>
      </w:r>
      <w:r w:rsidR="00C43CC4" w:rsidRPr="00C43CC4">
        <w:rPr>
          <w:rFonts w:cs="Times New Roman"/>
        </w:rPr>
        <w:t xml:space="preserve">Project Sponsors may request current copies of HUD-approved utility schedules from local </w:t>
      </w:r>
      <w:r w:rsidR="00692360">
        <w:rPr>
          <w:rFonts w:cs="Times New Roman"/>
        </w:rPr>
        <w:t>Public Housing Agencies</w:t>
      </w:r>
      <w:r w:rsidR="00C43CC4" w:rsidRPr="00C43CC4">
        <w:rPr>
          <w:rFonts w:cs="Times New Roman"/>
        </w:rPr>
        <w:t>.</w:t>
      </w:r>
      <w:r w:rsidR="00C43CC4">
        <w:rPr>
          <w:rFonts w:cs="Times New Roman"/>
        </w:rPr>
        <w:t xml:space="preserve"> </w:t>
      </w:r>
      <w:r w:rsidR="009C6888" w:rsidRPr="009C6888">
        <w:rPr>
          <w:rFonts w:cs="Times New Roman"/>
        </w:rPr>
        <w:t xml:space="preserve">Project Sponsors use the </w:t>
      </w:r>
      <w:r w:rsidR="009C6888">
        <w:rPr>
          <w:rFonts w:cs="Times New Roman"/>
        </w:rPr>
        <w:t>utility allowance</w:t>
      </w:r>
      <w:r w:rsidR="009C6888" w:rsidRPr="009C6888">
        <w:rPr>
          <w:rFonts w:cs="Times New Roman"/>
        </w:rPr>
        <w:t xml:space="preserve"> for the lower of either the number of bedrooms allowed by the Occupancy Standards or the actual number of bedrooms in the unit.</w:t>
      </w:r>
      <w:r w:rsidR="00A17B5B" w:rsidRPr="00A17B5B">
        <w:rPr>
          <w:rFonts w:cs="Times New Roman"/>
        </w:rPr>
        <w:t xml:space="preserve"> </w:t>
      </w:r>
      <w:r w:rsidRPr="008026D4">
        <w:rPr>
          <w:rFonts w:cs="Times New Roman"/>
        </w:rPr>
        <w:t xml:space="preserve">In the event a household’s allowance exceeds </w:t>
      </w:r>
      <w:r w:rsidR="006E0470">
        <w:rPr>
          <w:rFonts w:cs="Times New Roman"/>
        </w:rPr>
        <w:t>their</w:t>
      </w:r>
      <w:r w:rsidR="00EC37C2">
        <w:rPr>
          <w:rFonts w:cs="Times New Roman"/>
        </w:rPr>
        <w:t xml:space="preserve"> calculated monthly</w:t>
      </w:r>
      <w:r w:rsidRPr="008026D4">
        <w:rPr>
          <w:rFonts w:cs="Times New Roman"/>
        </w:rPr>
        <w:t xml:space="preserve"> rent payment, the household’s adjusted rent payment </w:t>
      </w:r>
      <w:r w:rsidR="00EC37C2">
        <w:rPr>
          <w:rFonts w:cs="Times New Roman"/>
        </w:rPr>
        <w:t xml:space="preserve">will </w:t>
      </w:r>
      <w:r w:rsidR="00714664">
        <w:rPr>
          <w:rFonts w:cs="Times New Roman"/>
        </w:rPr>
        <w:t>equal</w:t>
      </w:r>
      <w:r w:rsidR="00714664" w:rsidRPr="008026D4">
        <w:rPr>
          <w:rFonts w:cs="Times New Roman"/>
        </w:rPr>
        <w:t xml:space="preserve"> </w:t>
      </w:r>
      <w:r w:rsidRPr="008026D4">
        <w:rPr>
          <w:rFonts w:cs="Times New Roman"/>
        </w:rPr>
        <w:t xml:space="preserve">$0 and the </w:t>
      </w:r>
      <w:r w:rsidR="00714664">
        <w:rPr>
          <w:rFonts w:cs="Times New Roman"/>
        </w:rPr>
        <w:t xml:space="preserve">Project Sponsor </w:t>
      </w:r>
      <w:r w:rsidR="00EC37C2">
        <w:rPr>
          <w:rFonts w:cs="Times New Roman"/>
        </w:rPr>
        <w:t>will pay</w:t>
      </w:r>
      <w:r w:rsidR="00714664">
        <w:rPr>
          <w:rFonts w:cs="Times New Roman"/>
        </w:rPr>
        <w:t xml:space="preserve"> the </w:t>
      </w:r>
      <w:r w:rsidRPr="008026D4">
        <w:rPr>
          <w:rFonts w:cs="Times New Roman"/>
        </w:rPr>
        <w:t>difference to the utility vendor</w:t>
      </w:r>
      <w:r w:rsidR="00592ADC">
        <w:rPr>
          <w:rFonts w:cs="Times New Roman"/>
        </w:rPr>
        <w:t xml:space="preserve"> in the form of a utility reimbursement</w:t>
      </w:r>
      <w:r w:rsidRPr="008026D4">
        <w:rPr>
          <w:rFonts w:cs="Times New Roman"/>
        </w:rPr>
        <w:t xml:space="preserve">. Failure to provide a reimbursement of this amount would violate 24 CFR §574.310(d). Per 24 CFR §982.514, Project Sponsors must </w:t>
      </w:r>
      <w:r w:rsidR="009C1524">
        <w:rPr>
          <w:rFonts w:cs="Times New Roman"/>
        </w:rPr>
        <w:t>notify</w:t>
      </w:r>
      <w:r w:rsidRPr="008026D4">
        <w:rPr>
          <w:rFonts w:cs="Times New Roman"/>
        </w:rPr>
        <w:t xml:space="preserve"> the </w:t>
      </w:r>
      <w:r w:rsidR="00580E04">
        <w:rPr>
          <w:rFonts w:cs="Times New Roman"/>
        </w:rPr>
        <w:t>client</w:t>
      </w:r>
      <w:r w:rsidR="00580E04" w:rsidRPr="008026D4">
        <w:rPr>
          <w:rFonts w:cs="Times New Roman"/>
        </w:rPr>
        <w:t xml:space="preserve"> </w:t>
      </w:r>
      <w:r w:rsidR="009C1524">
        <w:rPr>
          <w:rFonts w:cs="Times New Roman"/>
        </w:rPr>
        <w:t>of the amount paid to the utility vendor</w:t>
      </w:r>
      <w:r w:rsidRPr="008026D4">
        <w:rPr>
          <w:rFonts w:cs="Times New Roman"/>
        </w:rPr>
        <w:t xml:space="preserve"> and </w:t>
      </w:r>
      <w:r w:rsidR="009C1524">
        <w:rPr>
          <w:rFonts w:cs="Times New Roman"/>
        </w:rPr>
        <w:t xml:space="preserve">maintain </w:t>
      </w:r>
      <w:r w:rsidR="00773468">
        <w:rPr>
          <w:rFonts w:cs="Times New Roman"/>
        </w:rPr>
        <w:t xml:space="preserve">a </w:t>
      </w:r>
      <w:r w:rsidR="00FB0DCD">
        <w:rPr>
          <w:rFonts w:cs="Times New Roman"/>
        </w:rPr>
        <w:t xml:space="preserve">copy </w:t>
      </w:r>
      <w:r w:rsidR="00773468">
        <w:rPr>
          <w:rFonts w:cs="Times New Roman"/>
        </w:rPr>
        <w:t>of the notification</w:t>
      </w:r>
      <w:r w:rsidR="009C1524">
        <w:rPr>
          <w:rFonts w:cs="Times New Roman"/>
        </w:rPr>
        <w:t xml:space="preserve"> </w:t>
      </w:r>
      <w:r w:rsidRPr="008026D4">
        <w:rPr>
          <w:rFonts w:cs="Times New Roman"/>
        </w:rPr>
        <w:t xml:space="preserve">in the household’s </w:t>
      </w:r>
      <w:r w:rsidR="002228D2">
        <w:rPr>
          <w:rFonts w:cs="Times New Roman"/>
        </w:rPr>
        <w:t>record</w:t>
      </w:r>
      <w:r w:rsidRPr="008026D4">
        <w:rPr>
          <w:rFonts w:cs="Times New Roman"/>
        </w:rPr>
        <w:t>.</w:t>
      </w:r>
      <w:bookmarkEnd w:id="27"/>
    </w:p>
    <w:p w14:paraId="6587D752" w14:textId="77777777" w:rsidR="00863178" w:rsidRDefault="00863178">
      <w:pPr>
        <w:pStyle w:val="NoSpacing"/>
        <w:ind w:left="720"/>
        <w:rPr>
          <w:rFonts w:cs="Times New Roman"/>
        </w:rPr>
      </w:pPr>
    </w:p>
    <w:p w14:paraId="6578C078" w14:textId="1B552B4D" w:rsidR="008335FA" w:rsidRPr="00D32DCB" w:rsidRDefault="008335FA">
      <w:pPr>
        <w:pStyle w:val="NoSpacing"/>
        <w:numPr>
          <w:ilvl w:val="1"/>
          <w:numId w:val="13"/>
        </w:numPr>
        <w:rPr>
          <w:rFonts w:cs="Times New Roman"/>
          <w:b/>
          <w:u w:val="single"/>
        </w:rPr>
      </w:pPr>
      <w:r w:rsidRPr="00D32DCB">
        <w:rPr>
          <w:rFonts w:cs="Times New Roman"/>
          <w:b/>
          <w:u w:val="single"/>
        </w:rPr>
        <w:t>TBRA Outcome Measures</w:t>
      </w:r>
    </w:p>
    <w:p w14:paraId="3B53B405" w14:textId="0DB760C3" w:rsidR="00087F89" w:rsidRDefault="00087F89">
      <w:pPr>
        <w:pStyle w:val="NoSpacing"/>
        <w:ind w:left="720"/>
        <w:rPr>
          <w:rFonts w:cs="Times New Roman"/>
        </w:rPr>
      </w:pPr>
      <w:r w:rsidRPr="00087F89">
        <w:rPr>
          <w:rFonts w:cs="Times New Roman"/>
        </w:rPr>
        <w:t xml:space="preserve">To measure the effectiveness of </w:t>
      </w:r>
      <w:r>
        <w:rPr>
          <w:rFonts w:cs="Times New Roman"/>
        </w:rPr>
        <w:t>TBRA</w:t>
      </w:r>
      <w:r w:rsidRPr="00087F89">
        <w:rPr>
          <w:rFonts w:cs="Times New Roman"/>
        </w:rPr>
        <w:t xml:space="preserve"> services, Project Sponsors </w:t>
      </w:r>
      <w:r w:rsidR="00A461A4">
        <w:rPr>
          <w:rFonts w:cs="Times New Roman"/>
        </w:rPr>
        <w:t>record</w:t>
      </w:r>
      <w:r w:rsidR="00A461A4" w:rsidRPr="00087F89">
        <w:rPr>
          <w:rFonts w:cs="Times New Roman"/>
        </w:rPr>
        <w:t xml:space="preserve"> </w:t>
      </w:r>
      <w:r w:rsidRPr="00087F89">
        <w:rPr>
          <w:rFonts w:cs="Times New Roman"/>
        </w:rPr>
        <w:t xml:space="preserve">household </w:t>
      </w:r>
      <w:r w:rsidR="007D6467">
        <w:rPr>
          <w:rFonts w:cs="Times New Roman"/>
        </w:rPr>
        <w:t>status</w:t>
      </w:r>
      <w:r w:rsidR="007D6467" w:rsidRPr="00087F89">
        <w:rPr>
          <w:rFonts w:cs="Times New Roman"/>
        </w:rPr>
        <w:t xml:space="preserve"> </w:t>
      </w:r>
      <w:r w:rsidRPr="00087F89">
        <w:rPr>
          <w:rFonts w:cs="Times New Roman"/>
        </w:rPr>
        <w:t>outcomes</w:t>
      </w:r>
      <w:r w:rsidR="00A461A4">
        <w:rPr>
          <w:rFonts w:cs="Times New Roman"/>
        </w:rPr>
        <w:t xml:space="preserve"> </w:t>
      </w:r>
      <w:r w:rsidR="006A2577">
        <w:rPr>
          <w:rFonts w:cs="Times New Roman"/>
        </w:rPr>
        <w:t xml:space="preserve">on </w:t>
      </w:r>
      <w:r w:rsidR="006A2577" w:rsidRPr="006A2577">
        <w:rPr>
          <w:rFonts w:cs="Times New Roman"/>
          <w:b/>
          <w:color w:val="5B9BD5" w:themeColor="accent1"/>
        </w:rPr>
        <w:t xml:space="preserve">Form P: Service Outcome Assessment and Program </w:t>
      </w:r>
      <w:r w:rsidR="00E76C1D">
        <w:rPr>
          <w:rFonts w:cs="Times New Roman"/>
          <w:b/>
          <w:color w:val="5B9BD5" w:themeColor="accent1"/>
        </w:rPr>
        <w:t>Disenrollment</w:t>
      </w:r>
      <w:r w:rsidR="00E76C1D" w:rsidRPr="006A2577">
        <w:rPr>
          <w:rFonts w:cs="Times New Roman"/>
          <w:b/>
          <w:color w:val="5B9BD5" w:themeColor="accent1"/>
        </w:rPr>
        <w:t xml:space="preserve"> </w:t>
      </w:r>
      <w:r w:rsidR="006A2577" w:rsidRPr="006A2577">
        <w:rPr>
          <w:rFonts w:cs="Times New Roman"/>
          <w:b/>
          <w:color w:val="5B9BD5" w:themeColor="accent1"/>
        </w:rPr>
        <w:t>Worksheet</w:t>
      </w:r>
      <w:r w:rsidR="006A2577">
        <w:rPr>
          <w:rFonts w:cs="Times New Roman"/>
        </w:rPr>
        <w:t xml:space="preserve">. </w:t>
      </w:r>
      <w:r w:rsidR="00714664">
        <w:rPr>
          <w:rFonts w:cs="Times New Roman"/>
        </w:rPr>
        <w:t xml:space="preserve">Project Sponsors complete </w:t>
      </w:r>
      <w:r w:rsidR="008817C3">
        <w:rPr>
          <w:rFonts w:cs="Times New Roman"/>
        </w:rPr>
        <w:t xml:space="preserve">Form P </w:t>
      </w:r>
      <w:r w:rsidR="00714664">
        <w:rPr>
          <w:rFonts w:cs="Times New Roman"/>
        </w:rPr>
        <w:t>i</w:t>
      </w:r>
      <w:r w:rsidR="00AC3B9F" w:rsidRPr="00AC3B9F">
        <w:rPr>
          <w:rFonts w:cs="Times New Roman"/>
        </w:rPr>
        <w:t xml:space="preserve">f the household will </w:t>
      </w:r>
      <w:r w:rsidR="00714664">
        <w:rPr>
          <w:rFonts w:cs="Times New Roman"/>
        </w:rPr>
        <w:t>disenroll</w:t>
      </w:r>
      <w:r w:rsidR="00AC3B9F" w:rsidRPr="00AC3B9F">
        <w:rPr>
          <w:rFonts w:cs="Times New Roman"/>
        </w:rPr>
        <w:t xml:space="preserve"> from the program or continue to the next annual eligibility period.</w:t>
      </w:r>
      <w:r w:rsidR="008817C3">
        <w:rPr>
          <w:rFonts w:cs="Times New Roman"/>
        </w:rPr>
        <w:t xml:space="preserve"> </w:t>
      </w:r>
      <w:r w:rsidR="00E45AE5" w:rsidRPr="00ED208F">
        <w:rPr>
          <w:rFonts w:cs="Times New Roman"/>
        </w:rPr>
        <w:t xml:space="preserve">Additionally, Project Sponsors report </w:t>
      </w:r>
      <w:r w:rsidR="008C1E1D">
        <w:rPr>
          <w:rFonts w:cs="Times New Roman"/>
        </w:rPr>
        <w:t xml:space="preserve">household access to care outcomes; household sources of income; household sources of medical insurance and/or assistance; </w:t>
      </w:r>
      <w:r w:rsidR="00E45AE5">
        <w:rPr>
          <w:rFonts w:cs="Times New Roman"/>
        </w:rPr>
        <w:t>how long each household has received TBRA services</w:t>
      </w:r>
      <w:r w:rsidR="008C1E1D">
        <w:rPr>
          <w:rFonts w:cs="Times New Roman"/>
        </w:rPr>
        <w:t>;</w:t>
      </w:r>
      <w:r w:rsidR="00E45AE5">
        <w:rPr>
          <w:rFonts w:cs="Times New Roman"/>
        </w:rPr>
        <w:t xml:space="preserve"> whether the eligible individual has ever been prescribed antiretroviral therapy (ART)</w:t>
      </w:r>
      <w:r w:rsidR="008C1E1D">
        <w:rPr>
          <w:rFonts w:cs="Times New Roman"/>
        </w:rPr>
        <w:t xml:space="preserve">; </w:t>
      </w:r>
      <w:r w:rsidR="00E45AE5">
        <w:rPr>
          <w:rFonts w:cs="Times New Roman"/>
        </w:rPr>
        <w:t xml:space="preserve">and whether the eligible individual has shown an improved viral load or achieved viral suppression. </w:t>
      </w:r>
      <w:r w:rsidR="006A2577">
        <w:rPr>
          <w:rFonts w:cs="Times New Roman"/>
        </w:rPr>
        <w:t xml:space="preserve">Outcome categories </w:t>
      </w:r>
      <w:r w:rsidR="006A2577" w:rsidRPr="007D2EAA">
        <w:rPr>
          <w:rFonts w:cs="Times New Roman"/>
        </w:rPr>
        <w:t>include:</w:t>
      </w:r>
    </w:p>
    <w:tbl>
      <w:tblPr>
        <w:tblStyle w:val="TableGrid15"/>
        <w:tblW w:w="10224" w:type="dxa"/>
        <w:tblInd w:w="720" w:type="dxa"/>
        <w:tblLook w:val="04A0" w:firstRow="1" w:lastRow="0" w:firstColumn="1" w:lastColumn="0" w:noHBand="0" w:noVBand="1"/>
      </w:tblPr>
      <w:tblGrid>
        <w:gridCol w:w="7015"/>
        <w:gridCol w:w="3209"/>
      </w:tblGrid>
      <w:tr w:rsidR="00087F89" w:rsidRPr="00692FFC" w14:paraId="2E228902" w14:textId="77777777" w:rsidTr="00DE48B8">
        <w:trPr>
          <w:trHeight w:val="20"/>
        </w:trPr>
        <w:tc>
          <w:tcPr>
            <w:tcW w:w="7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tcPr>
          <w:p w14:paraId="769517F4" w14:textId="775BC66F" w:rsidR="00087F89" w:rsidRPr="00692FFC" w:rsidRDefault="00087F89">
            <w:pPr>
              <w:rPr>
                <w:rFonts w:cs="Times New Roman"/>
                <w:b/>
              </w:rPr>
            </w:pPr>
            <w:bookmarkStart w:id="28" w:name="_Hlk125384571"/>
            <w:r w:rsidRPr="00692FFC">
              <w:rPr>
                <w:rFonts w:cs="Times New Roman"/>
                <w:b/>
              </w:rPr>
              <w:t xml:space="preserve">Household </w:t>
            </w:r>
            <w:r w:rsidR="00BE45F5">
              <w:rPr>
                <w:rFonts w:cs="Times New Roman"/>
                <w:b/>
              </w:rPr>
              <w:t>Status</w:t>
            </w:r>
          </w:p>
        </w:tc>
        <w:tc>
          <w:tcPr>
            <w:tcW w:w="32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vAlign w:val="center"/>
          </w:tcPr>
          <w:p w14:paraId="50C4EF70" w14:textId="51E40A71" w:rsidR="00087F89" w:rsidRPr="00692FFC" w:rsidRDefault="00087F89">
            <w:pPr>
              <w:jc w:val="center"/>
              <w:rPr>
                <w:rFonts w:cs="Times New Roman"/>
                <w:b/>
              </w:rPr>
            </w:pPr>
            <w:r w:rsidRPr="00692FFC">
              <w:rPr>
                <w:rFonts w:cs="Times New Roman"/>
                <w:b/>
              </w:rPr>
              <w:t>Outcome</w:t>
            </w:r>
          </w:p>
        </w:tc>
      </w:tr>
      <w:tr w:rsidR="00BE45F5" w:rsidRPr="00692FFC" w14:paraId="1476C97F" w14:textId="77777777" w:rsidTr="00DE48B8">
        <w:trPr>
          <w:trHeight w:val="20"/>
        </w:trPr>
        <w:tc>
          <w:tcPr>
            <w:tcW w:w="7015"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tcPr>
          <w:p w14:paraId="0953FFD0" w14:textId="16D88584" w:rsidR="00BE45F5" w:rsidRPr="00692FFC" w:rsidRDefault="00BE45F5" w:rsidP="00BE45F5">
            <w:pPr>
              <w:rPr>
                <w:rFonts w:cs="Times New Roman"/>
              </w:rPr>
            </w:pPr>
            <w:r w:rsidRPr="00336A78">
              <w:t>Continued to the next year</w:t>
            </w:r>
          </w:p>
        </w:tc>
        <w:tc>
          <w:tcPr>
            <w:tcW w:w="3209" w:type="dxa"/>
            <w:vMerge w:val="restart"/>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vAlign w:val="center"/>
          </w:tcPr>
          <w:p w14:paraId="76898316" w14:textId="56CD65EF" w:rsidR="00BE45F5" w:rsidRPr="00692FFC" w:rsidRDefault="00BE45F5">
            <w:pPr>
              <w:jc w:val="center"/>
              <w:rPr>
                <w:rFonts w:cs="Times New Roman"/>
                <w:i/>
              </w:rPr>
            </w:pPr>
            <w:r w:rsidRPr="00BE45F5">
              <w:rPr>
                <w:rFonts w:cs="Times New Roman"/>
                <w:i/>
              </w:rPr>
              <w:t>Stable/Permanent Housing</w:t>
            </w:r>
          </w:p>
        </w:tc>
      </w:tr>
      <w:tr w:rsidR="00BE45F5" w:rsidRPr="00692FFC" w14:paraId="1359AB25" w14:textId="77777777" w:rsidTr="00DE48B8">
        <w:trPr>
          <w:trHeight w:val="20"/>
        </w:trPr>
        <w:tc>
          <w:tcPr>
            <w:tcW w:w="701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74E4AC0D" w14:textId="20CC5CCA" w:rsidR="00BE45F5" w:rsidRPr="00692FFC" w:rsidRDefault="00BE45F5" w:rsidP="00BE45F5">
            <w:pPr>
              <w:rPr>
                <w:rFonts w:cs="Times New Roman"/>
              </w:rPr>
            </w:pPr>
            <w:r w:rsidRPr="00336A78">
              <w:t>Other HOPWA housing assistance</w:t>
            </w:r>
          </w:p>
        </w:tc>
        <w:tc>
          <w:tcPr>
            <w:tcW w:w="3209" w:type="dxa"/>
            <w:vMerge/>
            <w:tcBorders>
              <w:top w:val="nil"/>
              <w:left w:val="single" w:sz="4" w:space="0" w:color="FFFFFF" w:themeColor="background1"/>
              <w:bottom w:val="nil"/>
              <w:right w:val="single" w:sz="4" w:space="0" w:color="FFFFFF" w:themeColor="background1"/>
            </w:tcBorders>
            <w:shd w:val="clear" w:color="auto" w:fill="DEEAF6" w:themeFill="accent1" w:themeFillTint="33"/>
            <w:vAlign w:val="center"/>
          </w:tcPr>
          <w:p w14:paraId="03A95CCC" w14:textId="3C6BF3CB" w:rsidR="00BE45F5" w:rsidRPr="00692FFC" w:rsidRDefault="00BE45F5" w:rsidP="00BE45F5">
            <w:pPr>
              <w:jc w:val="center"/>
              <w:rPr>
                <w:rFonts w:cs="Times New Roman"/>
                <w:i/>
              </w:rPr>
            </w:pPr>
          </w:p>
        </w:tc>
      </w:tr>
      <w:tr w:rsidR="00BE45F5" w:rsidRPr="00692FFC" w14:paraId="14A9F22B" w14:textId="77777777" w:rsidTr="00DE48B8">
        <w:trPr>
          <w:trHeight w:val="20"/>
        </w:trPr>
        <w:tc>
          <w:tcPr>
            <w:tcW w:w="701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72076449" w14:textId="5B10787D" w:rsidR="00BE45F5" w:rsidRPr="00692FFC" w:rsidRDefault="00BE45F5" w:rsidP="00BE45F5">
            <w:pPr>
              <w:rPr>
                <w:rFonts w:cs="Times New Roman"/>
              </w:rPr>
            </w:pPr>
            <w:r w:rsidRPr="00336A78">
              <w:t>Other non-HOPWA housing assistance</w:t>
            </w:r>
          </w:p>
        </w:tc>
        <w:tc>
          <w:tcPr>
            <w:tcW w:w="3209" w:type="dxa"/>
            <w:vMerge/>
            <w:tcBorders>
              <w:top w:val="nil"/>
              <w:left w:val="single" w:sz="4" w:space="0" w:color="FFFFFF" w:themeColor="background1"/>
              <w:bottom w:val="nil"/>
              <w:right w:val="single" w:sz="4" w:space="0" w:color="FFFFFF" w:themeColor="background1"/>
            </w:tcBorders>
            <w:shd w:val="clear" w:color="auto" w:fill="DEEAF6" w:themeFill="accent1" w:themeFillTint="33"/>
            <w:vAlign w:val="center"/>
          </w:tcPr>
          <w:p w14:paraId="209F270D" w14:textId="628A4F43" w:rsidR="00BE45F5" w:rsidRPr="00692FFC" w:rsidRDefault="00BE45F5" w:rsidP="00BE45F5">
            <w:pPr>
              <w:jc w:val="center"/>
              <w:rPr>
                <w:rFonts w:cs="Times New Roman"/>
                <w:i/>
              </w:rPr>
            </w:pPr>
          </w:p>
        </w:tc>
      </w:tr>
      <w:tr w:rsidR="00BE45F5" w:rsidRPr="00692FFC" w14:paraId="652102D0" w14:textId="77777777" w:rsidTr="00DE48B8">
        <w:trPr>
          <w:trHeight w:val="20"/>
        </w:trPr>
        <w:tc>
          <w:tcPr>
            <w:tcW w:w="701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56BC2A4B" w14:textId="21EB3BB6" w:rsidR="00BE45F5" w:rsidRPr="00692FFC" w:rsidRDefault="00BE45F5" w:rsidP="00BE45F5">
            <w:pPr>
              <w:rPr>
                <w:rFonts w:cs="Times New Roman"/>
              </w:rPr>
            </w:pPr>
            <w:r w:rsidRPr="00336A78">
              <w:t>Private housing</w:t>
            </w:r>
          </w:p>
        </w:tc>
        <w:tc>
          <w:tcPr>
            <w:tcW w:w="3209" w:type="dxa"/>
            <w:vMerge/>
            <w:tcBorders>
              <w:top w:val="nil"/>
              <w:left w:val="single" w:sz="4" w:space="0" w:color="FFFFFF" w:themeColor="background1"/>
              <w:bottom w:val="nil"/>
              <w:right w:val="single" w:sz="4" w:space="0" w:color="FFFFFF" w:themeColor="background1"/>
            </w:tcBorders>
            <w:shd w:val="clear" w:color="auto" w:fill="DEEAF6" w:themeFill="accent1" w:themeFillTint="33"/>
            <w:vAlign w:val="center"/>
          </w:tcPr>
          <w:p w14:paraId="0BAF74D0" w14:textId="688944D4" w:rsidR="00BE45F5" w:rsidRPr="00692FFC" w:rsidRDefault="00BE45F5" w:rsidP="00BE45F5">
            <w:pPr>
              <w:jc w:val="center"/>
              <w:rPr>
                <w:rFonts w:cs="Times New Roman"/>
                <w:i/>
              </w:rPr>
            </w:pPr>
          </w:p>
        </w:tc>
      </w:tr>
      <w:tr w:rsidR="00BE45F5" w:rsidRPr="00692FFC" w14:paraId="098B2A31" w14:textId="77777777" w:rsidTr="00DE48B8">
        <w:trPr>
          <w:trHeight w:val="20"/>
        </w:trPr>
        <w:tc>
          <w:tcPr>
            <w:tcW w:w="7015" w:type="dxa"/>
            <w:tcBorders>
              <w:top w:val="nil"/>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tcPr>
          <w:p w14:paraId="3E75C8B1" w14:textId="585E88F6" w:rsidR="00BE45F5" w:rsidRPr="00692FFC" w:rsidRDefault="00BE45F5" w:rsidP="00BE45F5">
            <w:pPr>
              <w:rPr>
                <w:rFonts w:cs="Times New Roman"/>
              </w:rPr>
            </w:pPr>
            <w:r w:rsidRPr="00336A78">
              <w:t>Institutional arrangement expected to last more than six months</w:t>
            </w:r>
          </w:p>
        </w:tc>
        <w:tc>
          <w:tcPr>
            <w:tcW w:w="3209" w:type="dxa"/>
            <w:vMerge/>
            <w:tcBorders>
              <w:top w:val="nil"/>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47A1140E" w14:textId="4766D72B" w:rsidR="00BE45F5" w:rsidRPr="00692FFC" w:rsidRDefault="00BE45F5" w:rsidP="00BE45F5">
            <w:pPr>
              <w:jc w:val="center"/>
              <w:rPr>
                <w:rFonts w:cs="Times New Roman"/>
                <w:i/>
              </w:rPr>
            </w:pPr>
          </w:p>
        </w:tc>
      </w:tr>
      <w:tr w:rsidR="00BE45F5" w:rsidRPr="00692FFC" w14:paraId="797833C1" w14:textId="77777777" w:rsidTr="00DE48B8">
        <w:trPr>
          <w:trHeight w:val="20"/>
        </w:trPr>
        <w:tc>
          <w:tcPr>
            <w:tcW w:w="7015"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tcPr>
          <w:p w14:paraId="3ADE49C1" w14:textId="3DB92906" w:rsidR="00BE45F5" w:rsidRPr="00692FFC" w:rsidRDefault="00BE45F5" w:rsidP="00BE45F5">
            <w:pPr>
              <w:rPr>
                <w:rFonts w:cs="Times New Roman"/>
              </w:rPr>
            </w:pPr>
            <w:r w:rsidRPr="00336A78">
              <w:t>Institutional arrangement expected to last less than six months</w:t>
            </w:r>
          </w:p>
        </w:tc>
        <w:tc>
          <w:tcPr>
            <w:tcW w:w="3209" w:type="dxa"/>
            <w:vMerge w:val="restart"/>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vAlign w:val="center"/>
          </w:tcPr>
          <w:p w14:paraId="7CC0548A" w14:textId="6CA9A7D6" w:rsidR="00BE45F5" w:rsidRPr="00692FFC" w:rsidRDefault="00BE45F5" w:rsidP="00BE45F5">
            <w:pPr>
              <w:jc w:val="center"/>
              <w:rPr>
                <w:rFonts w:cs="Times New Roman"/>
                <w:i/>
              </w:rPr>
            </w:pPr>
            <w:r w:rsidRPr="00BE45F5">
              <w:rPr>
                <w:rFonts w:cs="Times New Roman"/>
                <w:i/>
              </w:rPr>
              <w:t>Temporarily Stable/Reduced Risk</w:t>
            </w:r>
          </w:p>
        </w:tc>
      </w:tr>
      <w:tr w:rsidR="00BE45F5" w:rsidRPr="00692FFC" w14:paraId="3CF50EC9" w14:textId="77777777" w:rsidTr="00DE48B8">
        <w:trPr>
          <w:trHeight w:val="20"/>
        </w:trPr>
        <w:tc>
          <w:tcPr>
            <w:tcW w:w="7015" w:type="dxa"/>
            <w:tcBorders>
              <w:top w:val="nil"/>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tcPr>
          <w:p w14:paraId="13667C9C" w14:textId="036794FD" w:rsidR="00BE45F5" w:rsidRPr="00692FFC" w:rsidRDefault="00BE45F5" w:rsidP="00BE45F5">
            <w:pPr>
              <w:rPr>
                <w:rFonts w:cs="Times New Roman"/>
              </w:rPr>
            </w:pPr>
            <w:r w:rsidRPr="00336A78">
              <w:t>Transitional housing</w:t>
            </w:r>
          </w:p>
        </w:tc>
        <w:tc>
          <w:tcPr>
            <w:tcW w:w="3209" w:type="dxa"/>
            <w:vMerge/>
            <w:tcBorders>
              <w:top w:val="nil"/>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5DC72C22" w14:textId="433FEEF0" w:rsidR="00BE45F5" w:rsidRPr="00692FFC" w:rsidRDefault="00BE45F5" w:rsidP="00BE45F5">
            <w:pPr>
              <w:jc w:val="center"/>
              <w:rPr>
                <w:rFonts w:cs="Times New Roman"/>
                <w:i/>
              </w:rPr>
            </w:pPr>
          </w:p>
        </w:tc>
      </w:tr>
      <w:tr w:rsidR="00BE45F5" w:rsidRPr="00692FFC" w14:paraId="1A1B72C3" w14:textId="77777777" w:rsidTr="00DE48B8">
        <w:trPr>
          <w:trHeight w:val="20"/>
        </w:trPr>
        <w:tc>
          <w:tcPr>
            <w:tcW w:w="7015"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tcPr>
          <w:p w14:paraId="20450738" w14:textId="37CB5E2A" w:rsidR="00BE45F5" w:rsidRPr="00692FFC" w:rsidRDefault="00BE45F5" w:rsidP="00BE45F5">
            <w:pPr>
              <w:rPr>
                <w:rFonts w:cs="Times New Roman"/>
              </w:rPr>
            </w:pPr>
            <w:r w:rsidRPr="00336A78">
              <w:t>Temporary housing</w:t>
            </w:r>
          </w:p>
        </w:tc>
        <w:tc>
          <w:tcPr>
            <w:tcW w:w="3209" w:type="dxa"/>
            <w:vMerge w:val="restart"/>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vAlign w:val="center"/>
          </w:tcPr>
          <w:p w14:paraId="1332ACCA" w14:textId="0A3F646C" w:rsidR="00BE45F5" w:rsidRPr="00692FFC" w:rsidRDefault="00BE45F5" w:rsidP="00BE45F5">
            <w:pPr>
              <w:jc w:val="center"/>
              <w:rPr>
                <w:rFonts w:cs="Times New Roman"/>
                <w:i/>
              </w:rPr>
            </w:pPr>
            <w:r w:rsidRPr="00BE45F5">
              <w:rPr>
                <w:rFonts w:cs="Times New Roman"/>
                <w:i/>
              </w:rPr>
              <w:t>Unstable Arrangements</w:t>
            </w:r>
          </w:p>
        </w:tc>
      </w:tr>
      <w:tr w:rsidR="00BE45F5" w:rsidRPr="00692FFC" w14:paraId="10FD9E39" w14:textId="77777777" w:rsidTr="00DE48B8">
        <w:trPr>
          <w:trHeight w:val="20"/>
        </w:trPr>
        <w:tc>
          <w:tcPr>
            <w:tcW w:w="701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2A0E7137" w14:textId="0FE84A33" w:rsidR="00BE45F5" w:rsidRPr="00692FFC" w:rsidRDefault="00BE45F5" w:rsidP="00BE45F5">
            <w:pPr>
              <w:rPr>
                <w:rFonts w:cs="Times New Roman"/>
              </w:rPr>
            </w:pPr>
            <w:r w:rsidRPr="00336A78">
              <w:t>Emergency shelter</w:t>
            </w:r>
          </w:p>
        </w:tc>
        <w:tc>
          <w:tcPr>
            <w:tcW w:w="3209" w:type="dxa"/>
            <w:vMerge/>
            <w:tcBorders>
              <w:top w:val="nil"/>
              <w:left w:val="single" w:sz="4" w:space="0" w:color="FFFFFF" w:themeColor="background1"/>
              <w:bottom w:val="nil"/>
              <w:right w:val="single" w:sz="4" w:space="0" w:color="FFFFFF" w:themeColor="background1"/>
            </w:tcBorders>
            <w:shd w:val="clear" w:color="auto" w:fill="DEEAF6" w:themeFill="accent1" w:themeFillTint="33"/>
            <w:vAlign w:val="center"/>
          </w:tcPr>
          <w:p w14:paraId="071A24AC" w14:textId="3A6D8998" w:rsidR="00BE45F5" w:rsidRPr="00692FFC" w:rsidRDefault="00BE45F5" w:rsidP="00BE45F5">
            <w:pPr>
              <w:jc w:val="center"/>
              <w:rPr>
                <w:rFonts w:cs="Times New Roman"/>
                <w:i/>
              </w:rPr>
            </w:pPr>
          </w:p>
        </w:tc>
      </w:tr>
      <w:tr w:rsidR="00BE45F5" w:rsidRPr="00692FFC" w14:paraId="177B2D8F" w14:textId="77777777" w:rsidTr="00DE48B8">
        <w:trPr>
          <w:trHeight w:val="20"/>
        </w:trPr>
        <w:tc>
          <w:tcPr>
            <w:tcW w:w="701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6CABABF9" w14:textId="5D73514E" w:rsidR="00BE45F5" w:rsidRPr="00692FFC" w:rsidRDefault="00BE45F5" w:rsidP="00BE45F5">
            <w:pPr>
              <w:rPr>
                <w:rFonts w:cs="Times New Roman"/>
              </w:rPr>
            </w:pPr>
            <w:r w:rsidRPr="00336A78">
              <w:t>Place not meant for human habitation</w:t>
            </w:r>
          </w:p>
        </w:tc>
        <w:tc>
          <w:tcPr>
            <w:tcW w:w="3209" w:type="dxa"/>
            <w:vMerge/>
            <w:tcBorders>
              <w:top w:val="nil"/>
              <w:left w:val="single" w:sz="4" w:space="0" w:color="FFFFFF" w:themeColor="background1"/>
              <w:bottom w:val="nil"/>
              <w:right w:val="single" w:sz="4" w:space="0" w:color="FFFFFF" w:themeColor="background1"/>
            </w:tcBorders>
            <w:shd w:val="clear" w:color="auto" w:fill="DEEAF6" w:themeFill="accent1" w:themeFillTint="33"/>
            <w:vAlign w:val="center"/>
          </w:tcPr>
          <w:p w14:paraId="10F1634D" w14:textId="2C55331E" w:rsidR="00BE45F5" w:rsidRPr="00692FFC" w:rsidRDefault="00BE45F5" w:rsidP="00BE45F5">
            <w:pPr>
              <w:jc w:val="center"/>
              <w:rPr>
                <w:rFonts w:cs="Times New Roman"/>
                <w:i/>
              </w:rPr>
            </w:pPr>
          </w:p>
        </w:tc>
      </w:tr>
      <w:tr w:rsidR="00BE45F5" w:rsidRPr="00692FFC" w14:paraId="6E67EB35" w14:textId="77777777" w:rsidTr="00DE48B8">
        <w:trPr>
          <w:trHeight w:val="20"/>
        </w:trPr>
        <w:tc>
          <w:tcPr>
            <w:tcW w:w="701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675ADEA5" w14:textId="0194FD02" w:rsidR="00BE45F5" w:rsidRPr="00692FFC" w:rsidRDefault="00BE45F5" w:rsidP="00BE45F5">
            <w:r w:rsidRPr="00336A78">
              <w:t>Jail/Prison term expected to last more than six months</w:t>
            </w:r>
          </w:p>
        </w:tc>
        <w:tc>
          <w:tcPr>
            <w:tcW w:w="3209" w:type="dxa"/>
            <w:vMerge/>
            <w:tcBorders>
              <w:top w:val="nil"/>
              <w:left w:val="single" w:sz="4" w:space="0" w:color="FFFFFF" w:themeColor="background1"/>
              <w:bottom w:val="nil"/>
              <w:right w:val="single" w:sz="4" w:space="0" w:color="FFFFFF" w:themeColor="background1"/>
            </w:tcBorders>
            <w:shd w:val="clear" w:color="auto" w:fill="DEEAF6" w:themeFill="accent1" w:themeFillTint="33"/>
            <w:vAlign w:val="center"/>
          </w:tcPr>
          <w:p w14:paraId="241C57FB" w14:textId="77777777" w:rsidR="00BE45F5" w:rsidRPr="00692FFC" w:rsidRDefault="00BE45F5" w:rsidP="00BE45F5">
            <w:pPr>
              <w:jc w:val="center"/>
              <w:rPr>
                <w:rFonts w:cs="Times New Roman"/>
                <w:i/>
              </w:rPr>
            </w:pPr>
          </w:p>
        </w:tc>
      </w:tr>
      <w:tr w:rsidR="00BE45F5" w:rsidRPr="00692FFC" w14:paraId="4819AB06" w14:textId="77777777" w:rsidTr="00DE48B8">
        <w:trPr>
          <w:trHeight w:val="20"/>
        </w:trPr>
        <w:tc>
          <w:tcPr>
            <w:tcW w:w="701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42D1FCAF" w14:textId="4BBAF916" w:rsidR="00BE45F5" w:rsidRPr="00692FFC" w:rsidRDefault="00BE45F5" w:rsidP="00BE45F5">
            <w:r w:rsidRPr="00336A78">
              <w:t>Jail/Prison term expected to last less than six months</w:t>
            </w:r>
          </w:p>
        </w:tc>
        <w:tc>
          <w:tcPr>
            <w:tcW w:w="3209" w:type="dxa"/>
            <w:vMerge/>
            <w:tcBorders>
              <w:top w:val="nil"/>
              <w:left w:val="single" w:sz="4" w:space="0" w:color="FFFFFF" w:themeColor="background1"/>
              <w:bottom w:val="nil"/>
              <w:right w:val="single" w:sz="4" w:space="0" w:color="FFFFFF" w:themeColor="background1"/>
            </w:tcBorders>
            <w:shd w:val="clear" w:color="auto" w:fill="DEEAF6" w:themeFill="accent1" w:themeFillTint="33"/>
            <w:vAlign w:val="center"/>
          </w:tcPr>
          <w:p w14:paraId="0CD7A676" w14:textId="77777777" w:rsidR="00BE45F5" w:rsidRPr="00692FFC" w:rsidRDefault="00BE45F5" w:rsidP="00BE45F5">
            <w:pPr>
              <w:jc w:val="center"/>
              <w:rPr>
                <w:rFonts w:cs="Times New Roman"/>
                <w:i/>
              </w:rPr>
            </w:pPr>
          </w:p>
        </w:tc>
      </w:tr>
      <w:tr w:rsidR="00BE45F5" w:rsidRPr="00692FFC" w14:paraId="1A18481E" w14:textId="77777777" w:rsidTr="00DE48B8">
        <w:trPr>
          <w:trHeight w:val="20"/>
        </w:trPr>
        <w:tc>
          <w:tcPr>
            <w:tcW w:w="7015" w:type="dxa"/>
            <w:tcBorders>
              <w:top w:val="nil"/>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tcPr>
          <w:p w14:paraId="5ED02EEC" w14:textId="5EF2A625" w:rsidR="00BE45F5" w:rsidRPr="00692FFC" w:rsidRDefault="00BE45F5" w:rsidP="00BE45F5">
            <w:r w:rsidRPr="00336A78">
              <w:t>Disconnected from care</w:t>
            </w:r>
          </w:p>
        </w:tc>
        <w:tc>
          <w:tcPr>
            <w:tcW w:w="3209" w:type="dxa"/>
            <w:vMerge/>
            <w:tcBorders>
              <w:top w:val="nil"/>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73A4F357" w14:textId="77777777" w:rsidR="00BE45F5" w:rsidRPr="00692FFC" w:rsidRDefault="00BE45F5" w:rsidP="00BE45F5">
            <w:pPr>
              <w:jc w:val="center"/>
              <w:rPr>
                <w:rFonts w:cs="Times New Roman"/>
                <w:i/>
              </w:rPr>
            </w:pPr>
          </w:p>
        </w:tc>
      </w:tr>
      <w:tr w:rsidR="00BE45F5" w:rsidRPr="00692FFC" w14:paraId="15334EDE" w14:textId="77777777" w:rsidTr="00DE48B8">
        <w:trPr>
          <w:trHeight w:val="20"/>
        </w:trPr>
        <w:tc>
          <w:tcPr>
            <w:tcW w:w="7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tcPr>
          <w:p w14:paraId="16179A04" w14:textId="1DDCC6FD" w:rsidR="00BE45F5" w:rsidRPr="00692FFC" w:rsidRDefault="00BE45F5" w:rsidP="00BE45F5">
            <w:r w:rsidRPr="00336A78">
              <w:t>Death</w:t>
            </w:r>
          </w:p>
        </w:tc>
        <w:tc>
          <w:tcPr>
            <w:tcW w:w="32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227C4A18" w14:textId="0B166DBE" w:rsidR="00BE45F5" w:rsidRPr="00692FFC" w:rsidRDefault="00BE45F5" w:rsidP="00BE45F5">
            <w:pPr>
              <w:jc w:val="center"/>
              <w:rPr>
                <w:rFonts w:cs="Times New Roman"/>
                <w:i/>
              </w:rPr>
            </w:pPr>
            <w:r w:rsidRPr="00BE45F5">
              <w:rPr>
                <w:rFonts w:cs="Times New Roman"/>
                <w:i/>
              </w:rPr>
              <w:t>Life Event</w:t>
            </w:r>
          </w:p>
        </w:tc>
      </w:tr>
      <w:bookmarkEnd w:id="28"/>
    </w:tbl>
    <w:p w14:paraId="398DB942" w14:textId="11D00232" w:rsidR="009C31A9" w:rsidRPr="002A61C8" w:rsidRDefault="009C31A9">
      <w:pPr>
        <w:pStyle w:val="NoSpacing"/>
      </w:pPr>
    </w:p>
    <w:p w14:paraId="51B02AA5" w14:textId="0804401D" w:rsidR="00B20BFB" w:rsidRDefault="00C00AC7" w:rsidP="00066B7E">
      <w:pPr>
        <w:pStyle w:val="Heading3"/>
      </w:pPr>
      <w:bookmarkStart w:id="29" w:name="_Toc140755471"/>
      <w:r>
        <w:t>Short-T</w:t>
      </w:r>
      <w:r w:rsidR="00B20BFB" w:rsidRPr="00F53A05">
        <w:t>erm Rent, Mortgage, and Utility (STRMU) Services</w:t>
      </w:r>
      <w:bookmarkEnd w:id="29"/>
    </w:p>
    <w:p w14:paraId="6E60E297" w14:textId="0E3B467B" w:rsidR="00B20BFB" w:rsidRPr="002D0662" w:rsidRDefault="006879FE">
      <w:pPr>
        <w:pStyle w:val="NoSpacing"/>
        <w:numPr>
          <w:ilvl w:val="1"/>
          <w:numId w:val="14"/>
        </w:numPr>
        <w:rPr>
          <w:rFonts w:cs="Times New Roman"/>
          <w:b/>
          <w:u w:val="single"/>
        </w:rPr>
      </w:pPr>
      <w:r w:rsidRPr="002D0662">
        <w:rPr>
          <w:rFonts w:cs="Times New Roman"/>
          <w:b/>
          <w:u w:val="single"/>
        </w:rPr>
        <w:t>Purpose</w:t>
      </w:r>
    </w:p>
    <w:p w14:paraId="6A770FC6" w14:textId="6F430785" w:rsidR="00D37E50" w:rsidRDefault="00DA6E60" w:rsidP="009A78DD">
      <w:pPr>
        <w:pStyle w:val="NoSpacing"/>
        <w:ind w:left="720"/>
        <w:rPr>
          <w:rFonts w:cs="Times New Roman"/>
        </w:rPr>
      </w:pPr>
      <w:r w:rsidRPr="00DA6E60">
        <w:rPr>
          <w:rFonts w:cs="Times New Roman"/>
        </w:rPr>
        <w:t xml:space="preserve">STRMU </w:t>
      </w:r>
      <w:r>
        <w:rPr>
          <w:rFonts w:cs="Times New Roman"/>
        </w:rPr>
        <w:t>provides</w:t>
      </w:r>
      <w:r w:rsidRPr="00DA6E60">
        <w:rPr>
          <w:rFonts w:cs="Times New Roman"/>
        </w:rPr>
        <w:t xml:space="preserve"> short-term</w:t>
      </w:r>
      <w:r w:rsidR="00052C90">
        <w:rPr>
          <w:rFonts w:cs="Times New Roman"/>
        </w:rPr>
        <w:t xml:space="preserve"> rent, mortgage, and utility payments for</w:t>
      </w:r>
      <w:r w:rsidRPr="00DA6E60">
        <w:rPr>
          <w:rFonts w:cs="Times New Roman"/>
        </w:rPr>
        <w:t xml:space="preserve"> households experiencing a financial crisis </w:t>
      </w:r>
      <w:r w:rsidR="00230FA3">
        <w:rPr>
          <w:rFonts w:cs="Times New Roman"/>
        </w:rPr>
        <w:t>related to</w:t>
      </w:r>
      <w:r w:rsidR="00E56152">
        <w:rPr>
          <w:rFonts w:cs="Times New Roman"/>
        </w:rPr>
        <w:t xml:space="preserve"> their HIV</w:t>
      </w:r>
      <w:r w:rsidRPr="00DA6E60">
        <w:rPr>
          <w:rFonts w:cs="Times New Roman"/>
        </w:rPr>
        <w:t xml:space="preserve"> health condition or a change in their economic circumstances. </w:t>
      </w:r>
      <w:r w:rsidR="00D37E50" w:rsidRPr="00D37E50">
        <w:rPr>
          <w:rFonts w:cs="Times New Roman"/>
        </w:rPr>
        <w:t xml:space="preserve">STRMU </w:t>
      </w:r>
      <w:r w:rsidR="009A78DD">
        <w:rPr>
          <w:rFonts w:cs="Times New Roman"/>
        </w:rPr>
        <w:t>helps</w:t>
      </w:r>
      <w:r w:rsidR="00C5758C">
        <w:rPr>
          <w:rFonts w:cs="Times New Roman"/>
        </w:rPr>
        <w:t xml:space="preserve"> </w:t>
      </w:r>
      <w:r w:rsidR="00D37E50" w:rsidRPr="00D37E50">
        <w:rPr>
          <w:rFonts w:cs="Times New Roman"/>
        </w:rPr>
        <w:t xml:space="preserve">prevent </w:t>
      </w:r>
      <w:r w:rsidR="00052C90">
        <w:rPr>
          <w:rFonts w:cs="Times New Roman"/>
        </w:rPr>
        <w:t>homelessness</w:t>
      </w:r>
      <w:r w:rsidR="00D37E50" w:rsidRPr="00D37E50">
        <w:rPr>
          <w:rFonts w:cs="Times New Roman"/>
        </w:rPr>
        <w:t xml:space="preserve"> by </w:t>
      </w:r>
      <w:r w:rsidR="009A78DD">
        <w:rPr>
          <w:rFonts w:cs="Times New Roman"/>
        </w:rPr>
        <w:t>enabling</w:t>
      </w:r>
      <w:r w:rsidR="009A78DD" w:rsidRPr="00D37E50">
        <w:rPr>
          <w:rFonts w:cs="Times New Roman"/>
        </w:rPr>
        <w:t xml:space="preserve"> </w:t>
      </w:r>
      <w:r w:rsidR="00052C90">
        <w:rPr>
          <w:rFonts w:cs="Times New Roman"/>
        </w:rPr>
        <w:t>households</w:t>
      </w:r>
      <w:r w:rsidR="00052C90" w:rsidRPr="00D37E50">
        <w:rPr>
          <w:rFonts w:cs="Times New Roman"/>
        </w:rPr>
        <w:t xml:space="preserve"> </w:t>
      </w:r>
      <w:r w:rsidR="009A78DD">
        <w:rPr>
          <w:rFonts w:cs="Times New Roman"/>
        </w:rPr>
        <w:t xml:space="preserve">to </w:t>
      </w:r>
      <w:r w:rsidR="00D37E50" w:rsidRPr="00D37E50">
        <w:rPr>
          <w:rFonts w:cs="Times New Roman"/>
        </w:rPr>
        <w:t xml:space="preserve">remain in their </w:t>
      </w:r>
      <w:r w:rsidR="0089533F">
        <w:rPr>
          <w:rFonts w:cs="Times New Roman"/>
        </w:rPr>
        <w:t xml:space="preserve">own </w:t>
      </w:r>
      <w:r w:rsidR="008C02C0">
        <w:rPr>
          <w:rFonts w:cs="Times New Roman"/>
        </w:rPr>
        <w:t>homes</w:t>
      </w:r>
      <w:r w:rsidR="007C7219">
        <w:rPr>
          <w:rFonts w:cs="Times New Roman"/>
        </w:rPr>
        <w:t xml:space="preserve">. </w:t>
      </w:r>
      <w:r w:rsidR="00643F8A">
        <w:rPr>
          <w:rFonts w:cs="Times New Roman"/>
        </w:rPr>
        <w:t xml:space="preserve">When combined with other </w:t>
      </w:r>
      <w:r w:rsidR="009A78DD">
        <w:rPr>
          <w:rFonts w:cs="Times New Roman"/>
        </w:rPr>
        <w:t xml:space="preserve">complementary </w:t>
      </w:r>
      <w:r w:rsidR="00643F8A">
        <w:rPr>
          <w:rFonts w:cs="Times New Roman"/>
        </w:rPr>
        <w:t xml:space="preserve">efforts, </w:t>
      </w:r>
      <w:r w:rsidR="00643F8A" w:rsidRPr="00DA6E60">
        <w:rPr>
          <w:rFonts w:cs="Times New Roman"/>
        </w:rPr>
        <w:t xml:space="preserve">including health care, case management, benefits counseling, and employment or vocational services, </w:t>
      </w:r>
      <w:r w:rsidR="00643F8A">
        <w:rPr>
          <w:rFonts w:cs="Times New Roman"/>
        </w:rPr>
        <w:t>STRMU can stabilize</w:t>
      </w:r>
      <w:r w:rsidR="00643F8A" w:rsidRPr="00DA6E60">
        <w:rPr>
          <w:rFonts w:cs="Times New Roman"/>
        </w:rPr>
        <w:t xml:space="preserve"> households</w:t>
      </w:r>
      <w:r w:rsidR="0002094C">
        <w:rPr>
          <w:rFonts w:cs="Times New Roman"/>
        </w:rPr>
        <w:t xml:space="preserve"> facing homelessness</w:t>
      </w:r>
      <w:r w:rsidR="00643F8A" w:rsidRPr="00DA6E60">
        <w:rPr>
          <w:rFonts w:cs="Times New Roman"/>
        </w:rPr>
        <w:t>.</w:t>
      </w:r>
    </w:p>
    <w:p w14:paraId="0F47D1C6" w14:textId="77777777" w:rsidR="00D37E50" w:rsidRPr="00D37E50" w:rsidRDefault="00D37E50">
      <w:pPr>
        <w:pStyle w:val="NoSpacing"/>
        <w:ind w:left="720"/>
        <w:rPr>
          <w:rFonts w:cs="Times New Roman"/>
        </w:rPr>
      </w:pPr>
    </w:p>
    <w:p w14:paraId="5071475A" w14:textId="69304416" w:rsidR="00D37E50" w:rsidRDefault="009A78DD">
      <w:pPr>
        <w:pStyle w:val="NoSpacing"/>
        <w:ind w:left="720"/>
        <w:rPr>
          <w:rFonts w:cs="Times New Roman"/>
        </w:rPr>
      </w:pPr>
      <w:r w:rsidRPr="00D37E50">
        <w:rPr>
          <w:rFonts w:cs="Times New Roman"/>
        </w:rPr>
        <w:t xml:space="preserve">STRMU payments </w:t>
      </w:r>
      <w:r>
        <w:rPr>
          <w:rFonts w:cs="Times New Roman"/>
        </w:rPr>
        <w:t xml:space="preserve">alone may only offer temporary stability to an </w:t>
      </w:r>
      <w:r w:rsidRPr="00D37E50">
        <w:rPr>
          <w:rFonts w:cs="Times New Roman"/>
        </w:rPr>
        <w:t>unstable living arrangement</w:t>
      </w:r>
      <w:r>
        <w:rPr>
          <w:rFonts w:cs="Times New Roman"/>
        </w:rPr>
        <w:t>. To achieve lasting housing stability, STRMU-assisted households should devise</w:t>
      </w:r>
      <w:r w:rsidRPr="00D37E50">
        <w:rPr>
          <w:rFonts w:cs="Times New Roman"/>
        </w:rPr>
        <w:t xml:space="preserve"> </w:t>
      </w:r>
      <w:r w:rsidR="0020463D">
        <w:rPr>
          <w:rFonts w:cs="Times New Roman"/>
        </w:rPr>
        <w:t xml:space="preserve">plans that address </w:t>
      </w:r>
      <w:r w:rsidR="0089533F">
        <w:rPr>
          <w:rFonts w:cs="Times New Roman"/>
        </w:rPr>
        <w:t xml:space="preserve">short- and </w:t>
      </w:r>
      <w:r w:rsidR="00D37E50" w:rsidRPr="00D37E50">
        <w:rPr>
          <w:rFonts w:cs="Times New Roman"/>
        </w:rPr>
        <w:t xml:space="preserve">long-term </w:t>
      </w:r>
      <w:r w:rsidR="0089533F">
        <w:rPr>
          <w:rFonts w:cs="Times New Roman"/>
        </w:rPr>
        <w:t>housing</w:t>
      </w:r>
      <w:r w:rsidR="0020463D">
        <w:rPr>
          <w:rFonts w:cs="Times New Roman"/>
        </w:rPr>
        <w:t xml:space="preserve"> stability</w:t>
      </w:r>
      <w:r w:rsidR="0089533F">
        <w:rPr>
          <w:rFonts w:cs="Times New Roman"/>
        </w:rPr>
        <w:t xml:space="preserve"> </w:t>
      </w:r>
      <w:r w:rsidR="00D37E50" w:rsidRPr="00D37E50">
        <w:rPr>
          <w:rFonts w:cs="Times New Roman"/>
        </w:rPr>
        <w:t>goals. When appropriate, these goals should involve efforts to restore self-sufficiency</w:t>
      </w:r>
      <w:r w:rsidR="005E1EFF">
        <w:rPr>
          <w:rFonts w:cs="Times New Roman"/>
        </w:rPr>
        <w:t>;</w:t>
      </w:r>
      <w:r w:rsidR="00D37E50" w:rsidRPr="00D37E50">
        <w:rPr>
          <w:rFonts w:cs="Times New Roman"/>
        </w:rPr>
        <w:t xml:space="preserve"> develop job skills </w:t>
      </w:r>
      <w:r w:rsidR="00D37E50" w:rsidRPr="00D37E50">
        <w:rPr>
          <w:rFonts w:cs="Times New Roman"/>
        </w:rPr>
        <w:lastRenderedPageBreak/>
        <w:t>necessary for gainful employment</w:t>
      </w:r>
      <w:r w:rsidR="005E1EFF">
        <w:rPr>
          <w:rFonts w:cs="Times New Roman"/>
        </w:rPr>
        <w:t>;</w:t>
      </w:r>
      <w:r w:rsidR="00D37E50" w:rsidRPr="00D37E50">
        <w:rPr>
          <w:rFonts w:cs="Times New Roman"/>
        </w:rPr>
        <w:t xml:space="preserve"> access public benefits</w:t>
      </w:r>
      <w:r w:rsidR="005E1EFF">
        <w:rPr>
          <w:rFonts w:cs="Times New Roman"/>
        </w:rPr>
        <w:t>;</w:t>
      </w:r>
      <w:r w:rsidR="00D37E50" w:rsidRPr="00D37E50">
        <w:rPr>
          <w:rFonts w:cs="Times New Roman"/>
        </w:rPr>
        <w:t xml:space="preserve"> and/or enhance educational attainment, vocational rehabilitation, or life skills needed for future independence from housing support. </w:t>
      </w:r>
      <w:r w:rsidR="0089533F">
        <w:rPr>
          <w:rFonts w:cs="Times New Roman"/>
        </w:rPr>
        <w:t>Individualized housing plans</w:t>
      </w:r>
      <w:r w:rsidR="00D37E50" w:rsidRPr="00D37E50">
        <w:rPr>
          <w:rFonts w:cs="Times New Roman"/>
        </w:rPr>
        <w:t xml:space="preserve"> also serve as documentation that </w:t>
      </w:r>
      <w:r w:rsidR="0089533F">
        <w:rPr>
          <w:rFonts w:cs="Times New Roman"/>
        </w:rPr>
        <w:t>P</w:t>
      </w:r>
      <w:r w:rsidR="00D37E50" w:rsidRPr="00D37E50">
        <w:rPr>
          <w:rFonts w:cs="Times New Roman"/>
        </w:rPr>
        <w:t xml:space="preserve">roject </w:t>
      </w:r>
      <w:r w:rsidR="0089533F">
        <w:rPr>
          <w:rFonts w:cs="Times New Roman"/>
        </w:rPr>
        <w:t>S</w:t>
      </w:r>
      <w:r w:rsidR="00D37E50" w:rsidRPr="00D37E50">
        <w:rPr>
          <w:rFonts w:cs="Times New Roman"/>
        </w:rPr>
        <w:t>ponsors have met the requirement</w:t>
      </w:r>
      <w:r w:rsidR="002568C9">
        <w:rPr>
          <w:rFonts w:cs="Times New Roman"/>
        </w:rPr>
        <w:t>s</w:t>
      </w:r>
      <w:r w:rsidR="00D37E50" w:rsidRPr="00D37E50">
        <w:rPr>
          <w:rFonts w:cs="Times New Roman"/>
        </w:rPr>
        <w:t xml:space="preserve"> for ongoing assessments of housing assistance and supportive services</w:t>
      </w:r>
      <w:r w:rsidR="002568C9" w:rsidRPr="002568C9">
        <w:rPr>
          <w:rFonts w:cs="Times New Roman"/>
        </w:rPr>
        <w:t xml:space="preserve"> </w:t>
      </w:r>
      <w:r w:rsidR="002568C9">
        <w:rPr>
          <w:rFonts w:cs="Times New Roman"/>
        </w:rPr>
        <w:t xml:space="preserve">in </w:t>
      </w:r>
      <w:hyperlink r:id="rId89" w:anchor="p-574.500(b)(2)" w:history="1">
        <w:r w:rsidR="002568C9" w:rsidRPr="0089533F">
          <w:rPr>
            <w:rStyle w:val="Hyperlink"/>
            <w:rFonts w:cs="Times New Roman"/>
          </w:rPr>
          <w:t>24 CFR §574.500</w:t>
        </w:r>
        <w:r w:rsidR="0089533F" w:rsidRPr="0089533F">
          <w:rPr>
            <w:rStyle w:val="Hyperlink"/>
            <w:rFonts w:cs="Times New Roman"/>
          </w:rPr>
          <w:t>(b)(2)</w:t>
        </w:r>
      </w:hyperlink>
      <w:r w:rsidR="00D37E50">
        <w:rPr>
          <w:rFonts w:cs="Times New Roman"/>
        </w:rPr>
        <w:t>.</w:t>
      </w:r>
      <w:r w:rsidRPr="009A78DD">
        <w:rPr>
          <w:rFonts w:cs="Times New Roman"/>
        </w:rPr>
        <w:t xml:space="preserve"> </w:t>
      </w:r>
      <w:r>
        <w:rPr>
          <w:rFonts w:cs="Times New Roman"/>
        </w:rPr>
        <w:t>Project Sponsors</w:t>
      </w:r>
      <w:r w:rsidRPr="00D37E50">
        <w:rPr>
          <w:rFonts w:cs="Times New Roman"/>
        </w:rPr>
        <w:t xml:space="preserve"> </w:t>
      </w:r>
      <w:r>
        <w:rPr>
          <w:rFonts w:cs="Times New Roman"/>
        </w:rPr>
        <w:t>should</w:t>
      </w:r>
      <w:r w:rsidRPr="00D37E50">
        <w:rPr>
          <w:rFonts w:cs="Times New Roman"/>
        </w:rPr>
        <w:t xml:space="preserve"> </w:t>
      </w:r>
      <w:r>
        <w:rPr>
          <w:rFonts w:cs="Times New Roman"/>
        </w:rPr>
        <w:t>evaluate</w:t>
      </w:r>
      <w:r w:rsidRPr="00D37E50">
        <w:rPr>
          <w:rFonts w:cs="Times New Roman"/>
        </w:rPr>
        <w:t xml:space="preserve"> the ongoing housing needs of </w:t>
      </w:r>
      <w:r>
        <w:rPr>
          <w:rFonts w:cs="Times New Roman"/>
        </w:rPr>
        <w:t>STRMU-assisted</w:t>
      </w:r>
      <w:r w:rsidRPr="00D37E50">
        <w:rPr>
          <w:rFonts w:cs="Times New Roman"/>
        </w:rPr>
        <w:t xml:space="preserve"> households</w:t>
      </w:r>
      <w:r w:rsidR="0020463D">
        <w:rPr>
          <w:rFonts w:cs="Times New Roman"/>
        </w:rPr>
        <w:t>, assess their current resources,</w:t>
      </w:r>
      <w:r w:rsidRPr="00D37E50">
        <w:rPr>
          <w:rFonts w:cs="Times New Roman"/>
        </w:rPr>
        <w:t xml:space="preserve"> and </w:t>
      </w:r>
      <w:r>
        <w:rPr>
          <w:rFonts w:cs="Times New Roman"/>
        </w:rPr>
        <w:t>link them</w:t>
      </w:r>
      <w:r w:rsidRPr="00D37E50">
        <w:rPr>
          <w:rFonts w:cs="Times New Roman"/>
        </w:rPr>
        <w:t xml:space="preserve"> to other permanent housing options </w:t>
      </w:r>
      <w:r>
        <w:rPr>
          <w:rFonts w:cs="Times New Roman"/>
        </w:rPr>
        <w:t>as</w:t>
      </w:r>
      <w:r w:rsidRPr="00D37E50">
        <w:rPr>
          <w:rFonts w:cs="Times New Roman"/>
        </w:rPr>
        <w:t xml:space="preserve"> appropriate</w:t>
      </w:r>
      <w:r>
        <w:rPr>
          <w:rFonts w:cs="Times New Roman"/>
        </w:rPr>
        <w:t>.</w:t>
      </w:r>
    </w:p>
    <w:p w14:paraId="4BCC4AF5" w14:textId="77777777" w:rsidR="00FF1903" w:rsidRPr="00DE48B8" w:rsidRDefault="00FF1903" w:rsidP="00DE48B8">
      <w:pPr>
        <w:pStyle w:val="NoSpacing"/>
        <w:ind w:left="720"/>
        <w:rPr>
          <w:rFonts w:cs="Times New Roman"/>
          <w:b/>
          <w:u w:val="single"/>
        </w:rPr>
      </w:pPr>
    </w:p>
    <w:p w14:paraId="2A86BE32" w14:textId="1DFB467F" w:rsidR="006879FE" w:rsidRDefault="00BD3E63">
      <w:pPr>
        <w:pStyle w:val="NoSpacing"/>
        <w:numPr>
          <w:ilvl w:val="1"/>
          <w:numId w:val="14"/>
        </w:numPr>
        <w:rPr>
          <w:rFonts w:cs="Times New Roman"/>
          <w:b/>
          <w:u w:val="single"/>
        </w:rPr>
      </w:pPr>
      <w:r w:rsidRPr="002D0662">
        <w:rPr>
          <w:rFonts w:cs="Times New Roman"/>
          <w:b/>
          <w:u w:val="single"/>
        </w:rPr>
        <w:t>Eligible</w:t>
      </w:r>
      <w:r w:rsidR="006879FE" w:rsidRPr="002D0662">
        <w:rPr>
          <w:rFonts w:cs="Times New Roman"/>
          <w:b/>
          <w:u w:val="single"/>
        </w:rPr>
        <w:t xml:space="preserve"> Costs</w:t>
      </w:r>
    </w:p>
    <w:p w14:paraId="2E910718" w14:textId="766EE83D" w:rsidR="00750637" w:rsidRDefault="00750637" w:rsidP="00750637">
      <w:pPr>
        <w:pStyle w:val="NoSpacing"/>
        <w:numPr>
          <w:ilvl w:val="2"/>
          <w:numId w:val="14"/>
        </w:numPr>
        <w:rPr>
          <w:rFonts w:cs="Times New Roman"/>
          <w:b/>
        </w:rPr>
      </w:pPr>
      <w:r>
        <w:rPr>
          <w:rFonts w:cs="Times New Roman"/>
          <w:b/>
        </w:rPr>
        <w:t>Service Delivery Costs</w:t>
      </w:r>
    </w:p>
    <w:p w14:paraId="17D06EC3" w14:textId="2990E3D2" w:rsidR="00BB3C4D" w:rsidRDefault="00BB3C4D" w:rsidP="00BB3C4D">
      <w:pPr>
        <w:pStyle w:val="NoSpacing"/>
        <w:ind w:left="1440"/>
        <w:rPr>
          <w:rFonts w:cs="Times New Roman"/>
        </w:rPr>
      </w:pPr>
      <w:r>
        <w:rPr>
          <w:rFonts w:cs="Times New Roman"/>
        </w:rPr>
        <w:t xml:space="preserve">Generally, service delivery costs include </w:t>
      </w:r>
      <w:r w:rsidRPr="00BB3C4D">
        <w:rPr>
          <w:rFonts w:cs="Times New Roman"/>
        </w:rPr>
        <w:t xml:space="preserve">personnel, travel, equipment, </w:t>
      </w:r>
      <w:r>
        <w:rPr>
          <w:rFonts w:cs="Times New Roman"/>
        </w:rPr>
        <w:t>and supplies</w:t>
      </w:r>
      <w:r w:rsidRPr="00BB3C4D">
        <w:rPr>
          <w:rFonts w:cs="Times New Roman"/>
        </w:rPr>
        <w:t>. Costs must be</w:t>
      </w:r>
      <w:r>
        <w:rPr>
          <w:rFonts w:cs="Times New Roman"/>
        </w:rPr>
        <w:t xml:space="preserve"> </w:t>
      </w:r>
      <w:r w:rsidR="00D47D01">
        <w:rPr>
          <w:rFonts w:cs="Times New Roman"/>
        </w:rPr>
        <w:t xml:space="preserve">necessary, </w:t>
      </w:r>
      <w:r>
        <w:rPr>
          <w:rFonts w:cs="Times New Roman"/>
        </w:rPr>
        <w:t>reasonable, allowable, documented</w:t>
      </w:r>
      <w:r w:rsidR="0096731F">
        <w:rPr>
          <w:rFonts w:cs="Times New Roman"/>
        </w:rPr>
        <w:t>,</w:t>
      </w:r>
      <w:r>
        <w:rPr>
          <w:rFonts w:cs="Times New Roman"/>
        </w:rPr>
        <w:t xml:space="preserve"> and allocable to STRMU</w:t>
      </w:r>
      <w:r w:rsidRPr="00BB3C4D">
        <w:rPr>
          <w:rFonts w:cs="Times New Roman"/>
        </w:rPr>
        <w:t>.</w:t>
      </w:r>
      <w:r>
        <w:rPr>
          <w:rFonts w:cs="Times New Roman"/>
        </w:rPr>
        <w:t xml:space="preserve"> STRMU service delivery </w:t>
      </w:r>
      <w:r w:rsidR="0026256B" w:rsidRPr="0026256B">
        <w:rPr>
          <w:rFonts w:cs="Times New Roman"/>
        </w:rPr>
        <w:t xml:space="preserve">activities </w:t>
      </w:r>
      <w:r>
        <w:rPr>
          <w:rFonts w:cs="Times New Roman"/>
        </w:rPr>
        <w:t>may include:</w:t>
      </w:r>
    </w:p>
    <w:p w14:paraId="34258D0B" w14:textId="77777777" w:rsidR="0096731F" w:rsidRDefault="0096731F" w:rsidP="003A5712">
      <w:pPr>
        <w:pStyle w:val="NoSpacing"/>
        <w:numPr>
          <w:ilvl w:val="0"/>
          <w:numId w:val="143"/>
        </w:numPr>
        <w:ind w:left="1890" w:hanging="450"/>
        <w:rPr>
          <w:rFonts w:ascii="Calibri" w:hAnsi="Calibri" w:cs="Calibri"/>
          <w:szCs w:val="20"/>
        </w:rPr>
      </w:pPr>
      <w:r>
        <w:rPr>
          <w:rFonts w:ascii="Calibri" w:hAnsi="Calibri" w:cs="Calibri"/>
          <w:szCs w:val="20"/>
        </w:rPr>
        <w:t>Assessing housing status and needs</w:t>
      </w:r>
    </w:p>
    <w:p w14:paraId="1FA0BCBC" w14:textId="77777777" w:rsidR="0096731F" w:rsidRPr="005D2A73" w:rsidRDefault="0096731F" w:rsidP="003A5712">
      <w:pPr>
        <w:pStyle w:val="NoSpacing"/>
        <w:numPr>
          <w:ilvl w:val="0"/>
          <w:numId w:val="143"/>
        </w:numPr>
        <w:ind w:left="1890" w:hanging="450"/>
        <w:rPr>
          <w:rFonts w:ascii="Calibri" w:hAnsi="Calibri" w:cs="Calibri"/>
          <w:szCs w:val="20"/>
        </w:rPr>
      </w:pPr>
      <w:r w:rsidRPr="005D2A73">
        <w:rPr>
          <w:rFonts w:ascii="Calibri" w:hAnsi="Calibri" w:cs="Calibri"/>
          <w:szCs w:val="20"/>
        </w:rPr>
        <w:t xml:space="preserve">Collecting program eligibility documentation </w:t>
      </w:r>
      <w:r>
        <w:rPr>
          <w:rFonts w:ascii="Calibri" w:hAnsi="Calibri" w:cs="Calibri"/>
          <w:szCs w:val="20"/>
        </w:rPr>
        <w:t>and qualifying households for</w:t>
      </w:r>
      <w:r w:rsidRPr="005D2A73">
        <w:rPr>
          <w:rFonts w:ascii="Calibri" w:hAnsi="Calibri" w:cs="Calibri"/>
          <w:szCs w:val="20"/>
        </w:rPr>
        <w:t xml:space="preserve"> services</w:t>
      </w:r>
    </w:p>
    <w:p w14:paraId="747534B0" w14:textId="45541C85" w:rsidR="0096731F" w:rsidRPr="00164C95" w:rsidRDefault="0096731F" w:rsidP="003A5712">
      <w:pPr>
        <w:pStyle w:val="NoSpacing"/>
        <w:numPr>
          <w:ilvl w:val="0"/>
          <w:numId w:val="143"/>
        </w:numPr>
        <w:ind w:left="1890" w:hanging="450"/>
        <w:rPr>
          <w:rFonts w:ascii="Calibri" w:hAnsi="Calibri" w:cs="Calibri"/>
          <w:szCs w:val="20"/>
        </w:rPr>
      </w:pPr>
      <w:r w:rsidRPr="00164C95">
        <w:rPr>
          <w:rFonts w:ascii="Calibri" w:hAnsi="Calibri" w:cs="Calibri"/>
          <w:szCs w:val="20"/>
        </w:rPr>
        <w:t>Collecting evidence of</w:t>
      </w:r>
      <w:r w:rsidR="00910D9D">
        <w:rPr>
          <w:rFonts w:ascii="Calibri" w:hAnsi="Calibri" w:cs="Calibri"/>
          <w:szCs w:val="20"/>
        </w:rPr>
        <w:t xml:space="preserve"> the</w:t>
      </w:r>
      <w:r w:rsidRPr="00164C95">
        <w:rPr>
          <w:rFonts w:ascii="Calibri" w:hAnsi="Calibri" w:cs="Calibri"/>
          <w:szCs w:val="20"/>
        </w:rPr>
        <w:t xml:space="preserve"> emergency</w:t>
      </w:r>
      <w:r>
        <w:rPr>
          <w:rFonts w:ascii="Calibri" w:hAnsi="Calibri" w:cs="Calibri"/>
          <w:szCs w:val="20"/>
        </w:rPr>
        <w:t>/</w:t>
      </w:r>
      <w:r w:rsidRPr="00164C95">
        <w:rPr>
          <w:rFonts w:ascii="Calibri" w:hAnsi="Calibri" w:cs="Calibri"/>
          <w:szCs w:val="20"/>
        </w:rPr>
        <w:t>need for services</w:t>
      </w:r>
      <w:r w:rsidR="00910D9D">
        <w:rPr>
          <w:rFonts w:ascii="Calibri" w:hAnsi="Calibri" w:cs="Calibri"/>
          <w:szCs w:val="20"/>
        </w:rPr>
        <w:t xml:space="preserve"> </w:t>
      </w:r>
      <w:r w:rsidRPr="00164C95">
        <w:rPr>
          <w:rFonts w:ascii="Calibri" w:hAnsi="Calibri" w:cs="Calibri"/>
          <w:szCs w:val="20"/>
        </w:rPr>
        <w:t>and inability to pay</w:t>
      </w:r>
      <w:r>
        <w:rPr>
          <w:rFonts w:ascii="Calibri" w:hAnsi="Calibri" w:cs="Calibri"/>
          <w:szCs w:val="20"/>
        </w:rPr>
        <w:t xml:space="preserve"> housing costs</w:t>
      </w:r>
    </w:p>
    <w:p w14:paraId="4F732D36" w14:textId="77777777" w:rsidR="0096731F" w:rsidRPr="00164C95" w:rsidRDefault="0096731F" w:rsidP="003A5712">
      <w:pPr>
        <w:pStyle w:val="NoSpacing"/>
        <w:numPr>
          <w:ilvl w:val="0"/>
          <w:numId w:val="143"/>
        </w:numPr>
        <w:ind w:left="1890" w:hanging="450"/>
        <w:rPr>
          <w:rFonts w:ascii="Calibri" w:hAnsi="Calibri" w:cs="Calibri"/>
          <w:szCs w:val="20"/>
        </w:rPr>
      </w:pPr>
      <w:r w:rsidRPr="00164C95">
        <w:rPr>
          <w:rFonts w:ascii="Calibri" w:hAnsi="Calibri" w:cs="Calibri"/>
          <w:szCs w:val="20"/>
        </w:rPr>
        <w:t>Performing initial eligibility certifications and annual</w:t>
      </w:r>
      <w:r>
        <w:rPr>
          <w:rFonts w:ascii="Calibri" w:hAnsi="Calibri" w:cs="Calibri"/>
          <w:szCs w:val="20"/>
        </w:rPr>
        <w:t xml:space="preserve"> and interim</w:t>
      </w:r>
      <w:r w:rsidRPr="00164C95">
        <w:rPr>
          <w:rFonts w:ascii="Calibri" w:hAnsi="Calibri" w:cs="Calibri"/>
          <w:szCs w:val="20"/>
        </w:rPr>
        <w:t xml:space="preserve"> eligibility recertifications</w:t>
      </w:r>
    </w:p>
    <w:p w14:paraId="109A5267" w14:textId="74108850" w:rsidR="0096731F" w:rsidRPr="00164C95" w:rsidRDefault="00C9681D" w:rsidP="003A5712">
      <w:pPr>
        <w:pStyle w:val="NoSpacing"/>
        <w:numPr>
          <w:ilvl w:val="0"/>
          <w:numId w:val="143"/>
        </w:numPr>
        <w:ind w:left="1890" w:hanging="450"/>
        <w:rPr>
          <w:rFonts w:ascii="Calibri" w:hAnsi="Calibri" w:cs="Calibri"/>
          <w:szCs w:val="20"/>
        </w:rPr>
      </w:pPr>
      <w:r w:rsidRPr="00C9681D">
        <w:rPr>
          <w:rFonts w:ascii="Calibri" w:hAnsi="Calibri" w:cs="Calibri"/>
          <w:szCs w:val="20"/>
        </w:rPr>
        <w:t>Referring ineligible households to other housing assistance services</w:t>
      </w:r>
      <w:r w:rsidRPr="00C9681D" w:rsidDel="00C9681D">
        <w:rPr>
          <w:rFonts w:ascii="Calibri" w:hAnsi="Calibri" w:cs="Calibri"/>
          <w:szCs w:val="20"/>
        </w:rPr>
        <w:t xml:space="preserve"> </w:t>
      </w:r>
    </w:p>
    <w:p w14:paraId="0B57EE79" w14:textId="77777777" w:rsidR="0096731F" w:rsidRDefault="0096731F" w:rsidP="003A5712">
      <w:pPr>
        <w:pStyle w:val="NoSpacing"/>
        <w:numPr>
          <w:ilvl w:val="0"/>
          <w:numId w:val="143"/>
        </w:numPr>
        <w:ind w:left="1890" w:hanging="450"/>
        <w:rPr>
          <w:rFonts w:ascii="Calibri" w:hAnsi="Calibri" w:cs="Calibri"/>
          <w:szCs w:val="20"/>
        </w:rPr>
      </w:pPr>
      <w:r w:rsidRPr="00164C95">
        <w:rPr>
          <w:rFonts w:ascii="Calibri" w:hAnsi="Calibri" w:cs="Calibri"/>
          <w:szCs w:val="20"/>
        </w:rPr>
        <w:t xml:space="preserve">Completing the File Structure Checklist and Forms A, B, C, D, E, F, G, </w:t>
      </w:r>
      <w:proofErr w:type="spellStart"/>
      <w:r w:rsidRPr="00164C95">
        <w:rPr>
          <w:rFonts w:ascii="Calibri" w:hAnsi="Calibri" w:cs="Calibri"/>
          <w:szCs w:val="20"/>
        </w:rPr>
        <w:t>K1</w:t>
      </w:r>
      <w:proofErr w:type="spellEnd"/>
      <w:r w:rsidRPr="00164C95">
        <w:rPr>
          <w:rFonts w:ascii="Calibri" w:hAnsi="Calibri" w:cs="Calibri"/>
          <w:szCs w:val="20"/>
        </w:rPr>
        <w:t>, O, and P</w:t>
      </w:r>
    </w:p>
    <w:p w14:paraId="47643C26" w14:textId="77777777" w:rsidR="0096731F" w:rsidRPr="00164C95" w:rsidRDefault="0096731F" w:rsidP="003A5712">
      <w:pPr>
        <w:pStyle w:val="NoSpacing"/>
        <w:numPr>
          <w:ilvl w:val="0"/>
          <w:numId w:val="143"/>
        </w:numPr>
        <w:ind w:left="1890" w:hanging="450"/>
        <w:rPr>
          <w:rFonts w:ascii="Calibri" w:hAnsi="Calibri" w:cs="Calibri"/>
          <w:szCs w:val="20"/>
        </w:rPr>
      </w:pPr>
      <w:r>
        <w:rPr>
          <w:rFonts w:ascii="Calibri" w:hAnsi="Calibri" w:cs="Calibri"/>
          <w:szCs w:val="20"/>
        </w:rPr>
        <w:t>Completing and distributing applicable VAWA materials</w:t>
      </w:r>
    </w:p>
    <w:p w14:paraId="6B644D60" w14:textId="47ABD903" w:rsidR="0096731F" w:rsidRPr="00164C95" w:rsidRDefault="0096731F" w:rsidP="003A5712">
      <w:pPr>
        <w:pStyle w:val="NoSpacing"/>
        <w:numPr>
          <w:ilvl w:val="0"/>
          <w:numId w:val="143"/>
        </w:numPr>
        <w:ind w:left="1890" w:hanging="450"/>
        <w:rPr>
          <w:rFonts w:ascii="Calibri" w:hAnsi="Calibri" w:cs="Calibri"/>
          <w:szCs w:val="20"/>
        </w:rPr>
      </w:pPr>
      <w:r w:rsidRPr="00164C95">
        <w:rPr>
          <w:rFonts w:ascii="Calibri" w:hAnsi="Calibri" w:cs="Calibri"/>
          <w:szCs w:val="20"/>
        </w:rPr>
        <w:t xml:space="preserve">Collecting supporting documentation </w:t>
      </w:r>
      <w:r>
        <w:rPr>
          <w:rFonts w:ascii="Calibri" w:hAnsi="Calibri" w:cs="Calibri"/>
          <w:szCs w:val="20"/>
        </w:rPr>
        <w:t xml:space="preserve">and attaching it </w:t>
      </w:r>
      <w:r w:rsidRPr="00164C95">
        <w:rPr>
          <w:rFonts w:ascii="Calibri" w:hAnsi="Calibri" w:cs="Calibri"/>
          <w:szCs w:val="20"/>
        </w:rPr>
        <w:t xml:space="preserve">to </w:t>
      </w:r>
      <w:r>
        <w:rPr>
          <w:rFonts w:ascii="Calibri" w:hAnsi="Calibri" w:cs="Calibri"/>
          <w:szCs w:val="20"/>
        </w:rPr>
        <w:t xml:space="preserve">program forms </w:t>
      </w:r>
      <w:r w:rsidR="00FD5ABA">
        <w:rPr>
          <w:rFonts w:ascii="Calibri" w:hAnsi="Calibri" w:cs="Calibri"/>
          <w:szCs w:val="20"/>
        </w:rPr>
        <w:t>if required</w:t>
      </w:r>
      <w:r>
        <w:rPr>
          <w:rFonts w:ascii="Calibri" w:hAnsi="Calibri" w:cs="Calibri"/>
          <w:szCs w:val="20"/>
        </w:rPr>
        <w:t xml:space="preserve"> or</w:t>
      </w:r>
      <w:r w:rsidRPr="00164C95">
        <w:rPr>
          <w:rFonts w:ascii="Calibri" w:hAnsi="Calibri" w:cs="Calibri"/>
          <w:szCs w:val="20"/>
        </w:rPr>
        <w:t xml:space="preserve"> applicable</w:t>
      </w:r>
    </w:p>
    <w:p w14:paraId="01F95856" w14:textId="77777777" w:rsidR="0096731F" w:rsidRPr="002C64D1" w:rsidRDefault="0096731F" w:rsidP="003A5712">
      <w:pPr>
        <w:pStyle w:val="NoSpacing"/>
        <w:numPr>
          <w:ilvl w:val="0"/>
          <w:numId w:val="143"/>
        </w:numPr>
        <w:ind w:left="1890" w:hanging="450"/>
        <w:rPr>
          <w:rFonts w:ascii="Calibri" w:hAnsi="Calibri" w:cs="Calibri"/>
          <w:szCs w:val="20"/>
        </w:rPr>
      </w:pPr>
      <w:r w:rsidRPr="002C64D1">
        <w:rPr>
          <w:rFonts w:ascii="Calibri" w:hAnsi="Calibri" w:cs="Calibri"/>
          <w:szCs w:val="20"/>
        </w:rPr>
        <w:t>Traveling to proposed units to complete HQS inspections</w:t>
      </w:r>
      <w:r>
        <w:rPr>
          <w:rFonts w:ascii="Calibri" w:hAnsi="Calibri" w:cs="Calibri"/>
          <w:szCs w:val="20"/>
        </w:rPr>
        <w:t xml:space="preserve"> </w:t>
      </w:r>
      <w:r w:rsidRPr="002C64D1">
        <w:rPr>
          <w:rFonts w:ascii="Calibri" w:hAnsi="Calibri" w:cs="Calibri"/>
          <w:szCs w:val="20"/>
        </w:rPr>
        <w:t>(if necessary)</w:t>
      </w:r>
    </w:p>
    <w:p w14:paraId="55BE837A" w14:textId="2B8C313B" w:rsidR="0096731F" w:rsidRPr="00164C95" w:rsidRDefault="0096731F" w:rsidP="003A5712">
      <w:pPr>
        <w:pStyle w:val="NoSpacing"/>
        <w:numPr>
          <w:ilvl w:val="0"/>
          <w:numId w:val="143"/>
        </w:numPr>
        <w:ind w:left="1890" w:hanging="450"/>
        <w:rPr>
          <w:rFonts w:ascii="Calibri" w:hAnsi="Calibri" w:cs="Calibri"/>
          <w:szCs w:val="20"/>
        </w:rPr>
      </w:pPr>
      <w:r w:rsidRPr="00164C95">
        <w:rPr>
          <w:rFonts w:ascii="Calibri" w:hAnsi="Calibri" w:cs="Calibri"/>
          <w:szCs w:val="20"/>
        </w:rPr>
        <w:t>Communicating with</w:t>
      </w:r>
      <w:r w:rsidR="00910D9D">
        <w:rPr>
          <w:rFonts w:ascii="Calibri" w:hAnsi="Calibri" w:cs="Calibri"/>
          <w:szCs w:val="20"/>
        </w:rPr>
        <w:t xml:space="preserve"> </w:t>
      </w:r>
      <w:r w:rsidRPr="00164C95">
        <w:rPr>
          <w:rFonts w:ascii="Calibri" w:hAnsi="Calibri" w:cs="Calibri"/>
          <w:szCs w:val="20"/>
        </w:rPr>
        <w:t>owners</w:t>
      </w:r>
      <w:r w:rsidR="00910D9D">
        <w:rPr>
          <w:rFonts w:ascii="Calibri" w:hAnsi="Calibri" w:cs="Calibri"/>
          <w:szCs w:val="20"/>
        </w:rPr>
        <w:t xml:space="preserve"> </w:t>
      </w:r>
      <w:r>
        <w:rPr>
          <w:rFonts w:ascii="Calibri" w:hAnsi="Calibri" w:cs="Calibri"/>
          <w:szCs w:val="20"/>
        </w:rPr>
        <w:t>and</w:t>
      </w:r>
      <w:r w:rsidRPr="00164C95">
        <w:rPr>
          <w:rFonts w:ascii="Calibri" w:hAnsi="Calibri" w:cs="Calibri"/>
          <w:szCs w:val="20"/>
        </w:rPr>
        <w:t xml:space="preserve"> mortgage</w:t>
      </w:r>
      <w:r>
        <w:rPr>
          <w:rFonts w:ascii="Calibri" w:hAnsi="Calibri" w:cs="Calibri"/>
          <w:szCs w:val="20"/>
        </w:rPr>
        <w:t xml:space="preserve"> and utility</w:t>
      </w:r>
      <w:r w:rsidRPr="00164C95">
        <w:rPr>
          <w:rFonts w:ascii="Calibri" w:hAnsi="Calibri" w:cs="Calibri"/>
          <w:szCs w:val="20"/>
        </w:rPr>
        <w:t xml:space="preserve"> companies about program requirements</w:t>
      </w:r>
    </w:p>
    <w:p w14:paraId="08C6CDEC" w14:textId="77777777" w:rsidR="0096731F" w:rsidRDefault="0096731F" w:rsidP="003A5712">
      <w:pPr>
        <w:pStyle w:val="NoSpacing"/>
        <w:numPr>
          <w:ilvl w:val="0"/>
          <w:numId w:val="143"/>
        </w:numPr>
        <w:ind w:left="1890" w:hanging="450"/>
        <w:rPr>
          <w:rFonts w:ascii="Calibri" w:hAnsi="Calibri" w:cs="Calibri"/>
          <w:szCs w:val="20"/>
        </w:rPr>
      </w:pPr>
      <w:r w:rsidRPr="00164C95">
        <w:rPr>
          <w:rFonts w:ascii="Calibri" w:hAnsi="Calibri" w:cs="Calibri"/>
          <w:szCs w:val="20"/>
        </w:rPr>
        <w:t>Requesting</w:t>
      </w:r>
      <w:r>
        <w:rPr>
          <w:rFonts w:ascii="Calibri" w:hAnsi="Calibri" w:cs="Calibri"/>
          <w:szCs w:val="20"/>
        </w:rPr>
        <w:t>, issuing, and documenting payments</w:t>
      </w:r>
    </w:p>
    <w:p w14:paraId="4DD67EBF" w14:textId="77777777" w:rsidR="0096731F" w:rsidRPr="00164C95" w:rsidRDefault="0096731F" w:rsidP="003A5712">
      <w:pPr>
        <w:pStyle w:val="NoSpacing"/>
        <w:numPr>
          <w:ilvl w:val="0"/>
          <w:numId w:val="143"/>
        </w:numPr>
        <w:ind w:left="1890" w:hanging="450"/>
        <w:rPr>
          <w:rFonts w:ascii="Calibri" w:hAnsi="Calibri" w:cs="Calibri"/>
          <w:szCs w:val="20"/>
        </w:rPr>
      </w:pPr>
      <w:r w:rsidRPr="002428DE">
        <w:rPr>
          <w:rFonts w:ascii="Calibri" w:hAnsi="Calibri" w:cs="Calibri"/>
          <w:szCs w:val="20"/>
        </w:rPr>
        <w:t>Documenting housing assistance and supportive service outcomes</w:t>
      </w:r>
    </w:p>
    <w:p w14:paraId="38C93F14" w14:textId="7E6D7225" w:rsidR="0096731F" w:rsidRDefault="0096731F" w:rsidP="003A5712">
      <w:pPr>
        <w:pStyle w:val="NoSpacing"/>
        <w:numPr>
          <w:ilvl w:val="0"/>
          <w:numId w:val="143"/>
        </w:numPr>
        <w:ind w:left="1890" w:hanging="450"/>
        <w:rPr>
          <w:rFonts w:ascii="Calibri" w:hAnsi="Calibri" w:cs="Calibri"/>
          <w:szCs w:val="20"/>
        </w:rPr>
      </w:pPr>
      <w:r w:rsidRPr="00164C95">
        <w:rPr>
          <w:rFonts w:ascii="Calibri" w:hAnsi="Calibri" w:cs="Calibri"/>
          <w:szCs w:val="20"/>
        </w:rPr>
        <w:t>Recordkeeping</w:t>
      </w:r>
      <w:r>
        <w:rPr>
          <w:rFonts w:ascii="Calibri" w:hAnsi="Calibri" w:cs="Calibri"/>
          <w:szCs w:val="20"/>
        </w:rPr>
        <w:t>, logging time and effort, and maintaining case notes</w:t>
      </w:r>
    </w:p>
    <w:p w14:paraId="47C0EFE0" w14:textId="54FB189F" w:rsidR="00CA07B7" w:rsidRDefault="00CA07B7" w:rsidP="003A5712">
      <w:pPr>
        <w:pStyle w:val="NoSpacing"/>
        <w:numPr>
          <w:ilvl w:val="0"/>
          <w:numId w:val="143"/>
        </w:numPr>
        <w:ind w:left="1890" w:hanging="450"/>
        <w:rPr>
          <w:rFonts w:ascii="Calibri" w:hAnsi="Calibri" w:cs="Calibri"/>
          <w:szCs w:val="20"/>
        </w:rPr>
      </w:pPr>
      <w:r w:rsidRPr="00CA07B7">
        <w:rPr>
          <w:rFonts w:ascii="Calibri" w:hAnsi="Calibri" w:cs="Calibri"/>
          <w:szCs w:val="20"/>
        </w:rPr>
        <w:t>Translating documents and interpreting speech</w:t>
      </w:r>
    </w:p>
    <w:p w14:paraId="516BEB0F" w14:textId="77777777" w:rsidR="0096731F" w:rsidRDefault="0096731F" w:rsidP="002A61C8">
      <w:pPr>
        <w:pStyle w:val="NoSpacing"/>
        <w:ind w:left="1440"/>
        <w:rPr>
          <w:rFonts w:cs="Times New Roman"/>
          <w:b/>
        </w:rPr>
      </w:pPr>
    </w:p>
    <w:p w14:paraId="3A1A1F41" w14:textId="71629FC6" w:rsidR="00750637" w:rsidRPr="00ED208F" w:rsidRDefault="00750637" w:rsidP="00750637">
      <w:pPr>
        <w:pStyle w:val="NoSpacing"/>
        <w:numPr>
          <w:ilvl w:val="2"/>
          <w:numId w:val="14"/>
        </w:numPr>
        <w:rPr>
          <w:rFonts w:cs="Times New Roman"/>
          <w:b/>
        </w:rPr>
      </w:pPr>
      <w:r>
        <w:rPr>
          <w:rFonts w:cs="Times New Roman"/>
          <w:b/>
        </w:rPr>
        <w:t>Housing Assistance Costs</w:t>
      </w:r>
    </w:p>
    <w:p w14:paraId="444FE6D7" w14:textId="4DBABEA3" w:rsidR="00817B88" w:rsidRDefault="00817B88" w:rsidP="002A61C8">
      <w:pPr>
        <w:pStyle w:val="NoSpacing"/>
        <w:ind w:left="1440"/>
        <w:rPr>
          <w:rFonts w:cs="Times New Roman"/>
        </w:rPr>
      </w:pPr>
      <w:r w:rsidRPr="00817B88">
        <w:rPr>
          <w:rFonts w:cs="Times New Roman"/>
        </w:rPr>
        <w:t xml:space="preserve">STRMU </w:t>
      </w:r>
      <w:r w:rsidR="005576A0">
        <w:rPr>
          <w:rFonts w:cs="Times New Roman"/>
        </w:rPr>
        <w:t>pays</w:t>
      </w:r>
      <w:r w:rsidRPr="00817B88">
        <w:rPr>
          <w:rFonts w:cs="Times New Roman"/>
        </w:rPr>
        <w:t xml:space="preserve"> rental, mortgage, </w:t>
      </w:r>
      <w:r w:rsidR="000E74CF">
        <w:rPr>
          <w:rFonts w:cs="Times New Roman"/>
        </w:rPr>
        <w:t xml:space="preserve">and </w:t>
      </w:r>
      <w:r w:rsidRPr="00817B88">
        <w:rPr>
          <w:rFonts w:cs="Times New Roman"/>
        </w:rPr>
        <w:t>utility debts and dues</w:t>
      </w:r>
      <w:r w:rsidR="00302456">
        <w:rPr>
          <w:rFonts w:cs="Times New Roman"/>
        </w:rPr>
        <w:t xml:space="preserve"> to help prevent homelessness</w:t>
      </w:r>
      <w:r w:rsidRPr="00817B88">
        <w:rPr>
          <w:rFonts w:cs="Times New Roman"/>
        </w:rPr>
        <w:t xml:space="preserve">. STRMU can pay late fees and other penalties if, in the event of nonpayment, the household </w:t>
      </w:r>
      <w:r w:rsidR="00FD10F9">
        <w:rPr>
          <w:rFonts w:cs="Times New Roman"/>
        </w:rPr>
        <w:t>risks</w:t>
      </w:r>
      <w:r w:rsidRPr="00817B88">
        <w:rPr>
          <w:rFonts w:cs="Times New Roman"/>
        </w:rPr>
        <w:t xml:space="preserve"> eviction or loss of housing. </w:t>
      </w:r>
      <w:r w:rsidR="0001399A">
        <w:rPr>
          <w:rFonts w:cs="Times New Roman"/>
        </w:rPr>
        <w:t xml:space="preserve">Per 24 CFR </w:t>
      </w:r>
      <w:r w:rsidR="0001399A" w:rsidRPr="0001399A">
        <w:rPr>
          <w:rFonts w:cs="Times New Roman"/>
        </w:rPr>
        <w:t>§574.330</w:t>
      </w:r>
      <w:r w:rsidR="0001399A">
        <w:rPr>
          <w:rFonts w:cs="Times New Roman"/>
        </w:rPr>
        <w:t xml:space="preserve">(a)(1), </w:t>
      </w:r>
      <w:r w:rsidR="00AB6150">
        <w:rPr>
          <w:rFonts w:cs="Times New Roman"/>
        </w:rPr>
        <w:t xml:space="preserve">STRMU </w:t>
      </w:r>
      <w:r w:rsidR="0063265A">
        <w:rPr>
          <w:rFonts w:cs="Times New Roman"/>
        </w:rPr>
        <w:t>may assist with up to</w:t>
      </w:r>
      <w:r w:rsidR="00302456">
        <w:rPr>
          <w:rFonts w:cs="Times New Roman"/>
        </w:rPr>
        <w:t xml:space="preserve"> </w:t>
      </w:r>
      <w:r w:rsidR="0001399A" w:rsidRPr="0001399A">
        <w:rPr>
          <w:rFonts w:cs="Times New Roman"/>
        </w:rPr>
        <w:t xml:space="preserve">21 weeks </w:t>
      </w:r>
      <w:r w:rsidR="00302456">
        <w:rPr>
          <w:rFonts w:cs="Times New Roman"/>
        </w:rPr>
        <w:t xml:space="preserve">of accrued costs </w:t>
      </w:r>
      <w:r w:rsidR="0001399A" w:rsidRPr="0001399A">
        <w:rPr>
          <w:rFonts w:cs="Times New Roman"/>
        </w:rPr>
        <w:t xml:space="preserve">in </w:t>
      </w:r>
      <w:r w:rsidR="00302456">
        <w:rPr>
          <w:rFonts w:cs="Times New Roman"/>
        </w:rPr>
        <w:t>a</w:t>
      </w:r>
      <w:r w:rsidR="0001399A" w:rsidRPr="0001399A">
        <w:rPr>
          <w:rFonts w:cs="Times New Roman"/>
        </w:rPr>
        <w:t xml:space="preserve"> 52</w:t>
      </w:r>
      <w:r w:rsidR="00302456">
        <w:rPr>
          <w:rFonts w:cs="Times New Roman"/>
        </w:rPr>
        <w:t>-</w:t>
      </w:r>
      <w:r w:rsidR="0001399A" w:rsidRPr="0001399A">
        <w:rPr>
          <w:rFonts w:cs="Times New Roman"/>
        </w:rPr>
        <w:t>week period.</w:t>
      </w:r>
      <w:r w:rsidR="0001399A">
        <w:rPr>
          <w:rFonts w:cs="Times New Roman"/>
        </w:rPr>
        <w:t xml:space="preserve"> </w:t>
      </w:r>
      <w:r w:rsidR="003E7D91">
        <w:rPr>
          <w:rFonts w:cs="Times New Roman"/>
        </w:rPr>
        <w:t>Unlike TBRA</w:t>
      </w:r>
      <w:r w:rsidR="001D4EBE">
        <w:rPr>
          <w:rFonts w:cs="Times New Roman"/>
        </w:rPr>
        <w:t xml:space="preserve"> </w:t>
      </w:r>
      <w:r w:rsidR="009541ED">
        <w:rPr>
          <w:rFonts w:cs="Times New Roman"/>
        </w:rPr>
        <w:t>and</w:t>
      </w:r>
      <w:r w:rsidR="001D4EBE">
        <w:rPr>
          <w:rFonts w:cs="Times New Roman"/>
        </w:rPr>
        <w:t xml:space="preserve"> TSH</w:t>
      </w:r>
      <w:r w:rsidR="003E7D91">
        <w:rPr>
          <w:rFonts w:cs="Times New Roman"/>
        </w:rPr>
        <w:t xml:space="preserve"> services, </w:t>
      </w:r>
      <w:r w:rsidR="00FD10F9">
        <w:rPr>
          <w:rFonts w:cs="Times New Roman"/>
        </w:rPr>
        <w:t>t</w:t>
      </w:r>
      <w:r w:rsidR="00FD10F9" w:rsidRPr="00FD10F9">
        <w:rPr>
          <w:rFonts w:cs="Times New Roman"/>
        </w:rPr>
        <w:t xml:space="preserve">he amount of </w:t>
      </w:r>
      <w:r w:rsidR="00FD10F9">
        <w:rPr>
          <w:rFonts w:cs="Times New Roman"/>
        </w:rPr>
        <w:t xml:space="preserve">STRMU </w:t>
      </w:r>
      <w:r w:rsidR="00406151">
        <w:rPr>
          <w:rFonts w:cs="Times New Roman"/>
        </w:rPr>
        <w:t>assistance</w:t>
      </w:r>
      <w:r w:rsidR="00FD10F9" w:rsidRPr="00FD10F9">
        <w:rPr>
          <w:rFonts w:cs="Times New Roman"/>
        </w:rPr>
        <w:t xml:space="preserve"> </w:t>
      </w:r>
      <w:r w:rsidR="00FD10F9">
        <w:rPr>
          <w:rFonts w:cs="Times New Roman"/>
        </w:rPr>
        <w:t>a household receive</w:t>
      </w:r>
      <w:r w:rsidR="00C7260F">
        <w:rPr>
          <w:rFonts w:cs="Times New Roman"/>
        </w:rPr>
        <w:t>s</w:t>
      </w:r>
      <w:r w:rsidR="00FD10F9">
        <w:rPr>
          <w:rFonts w:cs="Times New Roman"/>
        </w:rPr>
        <w:t xml:space="preserve"> </w:t>
      </w:r>
      <w:r w:rsidR="00FD10F9" w:rsidRPr="00FD10F9">
        <w:rPr>
          <w:rFonts w:cs="Times New Roman"/>
        </w:rPr>
        <w:t xml:space="preserve">depends on </w:t>
      </w:r>
      <w:r w:rsidR="00FD10F9">
        <w:rPr>
          <w:rFonts w:cs="Times New Roman"/>
        </w:rPr>
        <w:t xml:space="preserve">the household’s assessed </w:t>
      </w:r>
      <w:r w:rsidR="00FD10F9" w:rsidRPr="00FD10F9">
        <w:rPr>
          <w:rFonts w:cs="Times New Roman"/>
        </w:rPr>
        <w:t>need</w:t>
      </w:r>
      <w:r w:rsidR="00FD10F9">
        <w:rPr>
          <w:rFonts w:cs="Times New Roman"/>
        </w:rPr>
        <w:t>s</w:t>
      </w:r>
      <w:r w:rsidR="00FD10F9" w:rsidRPr="00FD10F9">
        <w:rPr>
          <w:rFonts w:cs="Times New Roman"/>
        </w:rPr>
        <w:t xml:space="preserve"> and negotiation.</w:t>
      </w:r>
      <w:r w:rsidR="00FD10F9">
        <w:rPr>
          <w:rFonts w:cs="Times New Roman"/>
        </w:rPr>
        <w:t xml:space="preserve"> STRMU does not </w:t>
      </w:r>
      <w:r w:rsidR="00C7260F">
        <w:rPr>
          <w:rFonts w:cs="Times New Roman"/>
        </w:rPr>
        <w:t xml:space="preserve">require a </w:t>
      </w:r>
      <w:r w:rsidR="00FD10F9">
        <w:rPr>
          <w:rFonts w:cs="Times New Roman"/>
        </w:rPr>
        <w:t xml:space="preserve">rent standard </w:t>
      </w:r>
      <w:r w:rsidR="0001495C">
        <w:rPr>
          <w:rFonts w:cs="Times New Roman"/>
        </w:rPr>
        <w:t>or</w:t>
      </w:r>
      <w:r w:rsidR="00FD10F9">
        <w:rPr>
          <w:rFonts w:cs="Times New Roman"/>
        </w:rPr>
        <w:t xml:space="preserve"> rent reasonableness </w:t>
      </w:r>
      <w:r w:rsidR="00C7260F">
        <w:rPr>
          <w:rFonts w:cs="Times New Roman"/>
        </w:rPr>
        <w:t>examination</w:t>
      </w:r>
      <w:r w:rsidR="003E7D91">
        <w:rPr>
          <w:rFonts w:cs="Times New Roman"/>
        </w:rPr>
        <w:t xml:space="preserve"> and</w:t>
      </w:r>
      <w:r w:rsidRPr="00817B88">
        <w:rPr>
          <w:rFonts w:cs="Times New Roman"/>
        </w:rPr>
        <w:t xml:space="preserve"> households </w:t>
      </w:r>
      <w:r w:rsidR="00C7260F">
        <w:rPr>
          <w:rFonts w:cs="Times New Roman"/>
        </w:rPr>
        <w:t>do not have</w:t>
      </w:r>
      <w:r w:rsidRPr="00817B88">
        <w:rPr>
          <w:rFonts w:cs="Times New Roman"/>
        </w:rPr>
        <w:t xml:space="preserve"> to pay a </w:t>
      </w:r>
      <w:r w:rsidR="00C7260F">
        <w:rPr>
          <w:rFonts w:cs="Times New Roman"/>
        </w:rPr>
        <w:t xml:space="preserve">calculated </w:t>
      </w:r>
      <w:r w:rsidRPr="00817B88">
        <w:rPr>
          <w:rFonts w:cs="Times New Roman"/>
        </w:rPr>
        <w:t>portion of their income toward the</w:t>
      </w:r>
      <w:r w:rsidR="00FD10F9">
        <w:rPr>
          <w:rFonts w:cs="Times New Roman"/>
        </w:rPr>
        <w:t>ir</w:t>
      </w:r>
      <w:r w:rsidRPr="00817B88">
        <w:rPr>
          <w:rFonts w:cs="Times New Roman"/>
        </w:rPr>
        <w:t xml:space="preserve"> rent</w:t>
      </w:r>
      <w:r w:rsidR="00FD10F9">
        <w:rPr>
          <w:rFonts w:cs="Times New Roman"/>
        </w:rPr>
        <w:t xml:space="preserve">, </w:t>
      </w:r>
      <w:r w:rsidRPr="00817B88">
        <w:rPr>
          <w:rFonts w:cs="Times New Roman"/>
        </w:rPr>
        <w:t>mortgage</w:t>
      </w:r>
      <w:r w:rsidR="00FD10F9">
        <w:rPr>
          <w:rFonts w:cs="Times New Roman"/>
        </w:rPr>
        <w:t>, or utility costs</w:t>
      </w:r>
      <w:r w:rsidRPr="00817B88">
        <w:rPr>
          <w:rFonts w:cs="Times New Roman"/>
        </w:rPr>
        <w:t xml:space="preserve">. However, if able, households </w:t>
      </w:r>
      <w:r w:rsidR="00C7260F">
        <w:rPr>
          <w:rFonts w:cs="Times New Roman"/>
        </w:rPr>
        <w:t>may</w:t>
      </w:r>
      <w:r w:rsidR="00C7260F" w:rsidRPr="00817B88">
        <w:rPr>
          <w:rFonts w:cs="Times New Roman"/>
        </w:rPr>
        <w:t xml:space="preserve"> </w:t>
      </w:r>
      <w:r w:rsidRPr="00817B88">
        <w:rPr>
          <w:rFonts w:cs="Times New Roman"/>
        </w:rPr>
        <w:t xml:space="preserve">pay a portion of their housing costs as any portion </w:t>
      </w:r>
      <w:r w:rsidR="00215966">
        <w:rPr>
          <w:rFonts w:cs="Times New Roman"/>
        </w:rPr>
        <w:t>contributed</w:t>
      </w:r>
      <w:r w:rsidR="00215966" w:rsidRPr="00817B88">
        <w:rPr>
          <w:rFonts w:cs="Times New Roman"/>
        </w:rPr>
        <w:t xml:space="preserve"> </w:t>
      </w:r>
      <w:r w:rsidRPr="00817B88">
        <w:rPr>
          <w:rFonts w:cs="Times New Roman"/>
        </w:rPr>
        <w:t xml:space="preserve">by the </w:t>
      </w:r>
      <w:r w:rsidR="00F804AB">
        <w:rPr>
          <w:rFonts w:cs="Times New Roman"/>
        </w:rPr>
        <w:t>household</w:t>
      </w:r>
      <w:r w:rsidR="00F804AB" w:rsidRPr="00817B88">
        <w:rPr>
          <w:rFonts w:cs="Times New Roman"/>
        </w:rPr>
        <w:t xml:space="preserve"> </w:t>
      </w:r>
      <w:r w:rsidRPr="00817B88">
        <w:rPr>
          <w:rFonts w:cs="Times New Roman"/>
        </w:rPr>
        <w:t xml:space="preserve">does not count against the 21-week STRMU </w:t>
      </w:r>
      <w:r w:rsidR="0063265A">
        <w:rPr>
          <w:rFonts w:cs="Times New Roman"/>
        </w:rPr>
        <w:t>limit</w:t>
      </w:r>
      <w:r w:rsidRPr="00817B88">
        <w:rPr>
          <w:rFonts w:cs="Times New Roman"/>
        </w:rPr>
        <w:t>.</w:t>
      </w:r>
    </w:p>
    <w:p w14:paraId="233AF4B5" w14:textId="77777777" w:rsidR="00BE4BAB" w:rsidRPr="00817B88" w:rsidRDefault="00BE4BAB">
      <w:pPr>
        <w:pStyle w:val="NoSpacing"/>
        <w:ind w:left="720"/>
        <w:rPr>
          <w:rFonts w:cs="Times New Roman"/>
        </w:rPr>
      </w:pPr>
    </w:p>
    <w:p w14:paraId="75F2ACC3" w14:textId="79DAA574" w:rsidR="00BD3E63" w:rsidRPr="002D0662" w:rsidRDefault="00BD3E63">
      <w:pPr>
        <w:pStyle w:val="NoSpacing"/>
        <w:numPr>
          <w:ilvl w:val="1"/>
          <w:numId w:val="14"/>
        </w:numPr>
        <w:rPr>
          <w:rFonts w:cs="Times New Roman"/>
          <w:b/>
          <w:u w:val="single"/>
        </w:rPr>
      </w:pPr>
      <w:r w:rsidRPr="002D0662">
        <w:rPr>
          <w:rFonts w:cs="Times New Roman"/>
          <w:b/>
          <w:u w:val="single"/>
        </w:rPr>
        <w:t>Ineligible Costs</w:t>
      </w:r>
    </w:p>
    <w:p w14:paraId="743E91CB" w14:textId="091FF196" w:rsidR="008E4AA7" w:rsidRDefault="00BE72B4" w:rsidP="008E4AA7">
      <w:pPr>
        <w:pStyle w:val="NoSpacing"/>
        <w:ind w:left="720"/>
        <w:rPr>
          <w:rFonts w:cs="Times New Roman"/>
        </w:rPr>
      </w:pPr>
      <w:r w:rsidRPr="00BE72B4">
        <w:rPr>
          <w:rFonts w:cs="Times New Roman"/>
        </w:rPr>
        <w:t xml:space="preserve">STRMU cannot </w:t>
      </w:r>
      <w:r w:rsidR="00A94C3B">
        <w:rPr>
          <w:rFonts w:cs="Times New Roman"/>
        </w:rPr>
        <w:t>assist</w:t>
      </w:r>
      <w:r w:rsidRPr="00BE72B4">
        <w:rPr>
          <w:rFonts w:cs="Times New Roman"/>
        </w:rPr>
        <w:t xml:space="preserve"> households </w:t>
      </w:r>
      <w:r w:rsidR="005E7860">
        <w:rPr>
          <w:rFonts w:cs="Times New Roman"/>
        </w:rPr>
        <w:t>that already receive</w:t>
      </w:r>
      <w:r w:rsidR="005E7860" w:rsidRPr="00BE72B4">
        <w:rPr>
          <w:rFonts w:cs="Times New Roman"/>
        </w:rPr>
        <w:t xml:space="preserve"> </w:t>
      </w:r>
      <w:r w:rsidRPr="00BE72B4">
        <w:rPr>
          <w:rFonts w:cs="Times New Roman"/>
        </w:rPr>
        <w:t xml:space="preserve">rental assistance </w:t>
      </w:r>
      <w:r w:rsidR="005E7860">
        <w:rPr>
          <w:rFonts w:cs="Times New Roman"/>
        </w:rPr>
        <w:t>via</w:t>
      </w:r>
      <w:r w:rsidRPr="00BE72B4">
        <w:rPr>
          <w:rFonts w:cs="Times New Roman"/>
        </w:rPr>
        <w:t xml:space="preserve"> HOPWA or another federal, state, or local housing assistance program. For example, </w:t>
      </w:r>
      <w:r w:rsidR="00390EAA">
        <w:rPr>
          <w:rFonts w:cs="Times New Roman"/>
        </w:rPr>
        <w:t xml:space="preserve">if a household has enrolled in the Housing Choice Voucher Program (HCVP) </w:t>
      </w:r>
      <w:r w:rsidR="00390EAA" w:rsidRPr="00BE72B4">
        <w:rPr>
          <w:rFonts w:cs="Times New Roman"/>
        </w:rPr>
        <w:t xml:space="preserve">or </w:t>
      </w:r>
      <w:r w:rsidR="00390EAA">
        <w:rPr>
          <w:rFonts w:cs="Times New Roman"/>
        </w:rPr>
        <w:t>receives another</w:t>
      </w:r>
      <w:r w:rsidR="00390EAA" w:rsidRPr="00BE72B4">
        <w:rPr>
          <w:rFonts w:cs="Times New Roman"/>
        </w:rPr>
        <w:t xml:space="preserve"> type of rental assistanc</w:t>
      </w:r>
      <w:r w:rsidR="00390EAA">
        <w:rPr>
          <w:rFonts w:cs="Times New Roman"/>
        </w:rPr>
        <w:t xml:space="preserve">e, </w:t>
      </w:r>
      <w:r w:rsidR="00A636EC">
        <w:rPr>
          <w:rFonts w:cs="Times New Roman"/>
        </w:rPr>
        <w:t xml:space="preserve">STRMU cannot </w:t>
      </w:r>
      <w:r w:rsidR="005576A0">
        <w:rPr>
          <w:rFonts w:cs="Times New Roman"/>
        </w:rPr>
        <w:t>pay</w:t>
      </w:r>
      <w:r w:rsidR="00A636EC">
        <w:rPr>
          <w:rFonts w:cs="Times New Roman"/>
        </w:rPr>
        <w:t xml:space="preserve"> the </w:t>
      </w:r>
      <w:r w:rsidR="00390EAA">
        <w:rPr>
          <w:rFonts w:cs="Times New Roman"/>
        </w:rPr>
        <w:t>household’s calculated share of rent</w:t>
      </w:r>
      <w:r w:rsidR="00A636EC">
        <w:rPr>
          <w:rFonts w:cs="Times New Roman"/>
        </w:rPr>
        <w:t>.</w:t>
      </w:r>
      <w:r w:rsidR="00CB6FE6">
        <w:rPr>
          <w:rFonts w:cs="Times New Roman"/>
        </w:rPr>
        <w:t xml:space="preserve"> </w:t>
      </w:r>
      <w:bookmarkStart w:id="30" w:name="_Hlk137719799"/>
      <w:r w:rsidR="00C25B9D">
        <w:rPr>
          <w:rFonts w:cs="Times New Roman"/>
        </w:rPr>
        <w:t xml:space="preserve">Per statute, </w:t>
      </w:r>
      <w:r w:rsidRPr="00BE72B4">
        <w:rPr>
          <w:rFonts w:cs="Times New Roman"/>
        </w:rPr>
        <w:t xml:space="preserve">STRMU </w:t>
      </w:r>
      <w:r w:rsidR="00A94C3B">
        <w:rPr>
          <w:rFonts w:cs="Times New Roman"/>
        </w:rPr>
        <w:t>enables</w:t>
      </w:r>
      <w:r w:rsidR="00A94C3B" w:rsidRPr="00A94C3B">
        <w:rPr>
          <w:rFonts w:cs="Times New Roman"/>
        </w:rPr>
        <w:t xml:space="preserve"> households to remain in their own homes</w:t>
      </w:r>
      <w:r w:rsidR="00A94C3B">
        <w:rPr>
          <w:rFonts w:cs="Times New Roman"/>
        </w:rPr>
        <w:t xml:space="preserve"> </w:t>
      </w:r>
      <w:r w:rsidR="00C25B9D">
        <w:rPr>
          <w:rFonts w:cs="Times New Roman"/>
        </w:rPr>
        <w:t>by</w:t>
      </w:r>
      <w:r w:rsidRPr="00BE72B4">
        <w:rPr>
          <w:rFonts w:cs="Times New Roman"/>
        </w:rPr>
        <w:t xml:space="preserve"> prevent</w:t>
      </w:r>
      <w:r w:rsidR="00C25B9D">
        <w:rPr>
          <w:rFonts w:cs="Times New Roman"/>
        </w:rPr>
        <w:t>ing</w:t>
      </w:r>
      <w:r w:rsidRPr="00BE72B4">
        <w:rPr>
          <w:rFonts w:cs="Times New Roman"/>
        </w:rPr>
        <w:t xml:space="preserve"> eviction</w:t>
      </w:r>
      <w:r w:rsidR="00C25B9D">
        <w:rPr>
          <w:rFonts w:cs="Times New Roman"/>
        </w:rPr>
        <w:t xml:space="preserve"> or loss of housing</w:t>
      </w:r>
      <w:r w:rsidR="00D8513E" w:rsidRPr="00D8513E">
        <w:rPr>
          <w:rFonts w:cs="Times New Roman"/>
        </w:rPr>
        <w:t xml:space="preserve">. Accordingly, STRMU can only </w:t>
      </w:r>
      <w:r w:rsidR="00C25B9D">
        <w:rPr>
          <w:rFonts w:cs="Times New Roman"/>
        </w:rPr>
        <w:t>assist</w:t>
      </w:r>
      <w:r w:rsidR="00D8513E" w:rsidRPr="00D8513E">
        <w:rPr>
          <w:rFonts w:cs="Times New Roman"/>
        </w:rPr>
        <w:t xml:space="preserve"> </w:t>
      </w:r>
      <w:r w:rsidR="00C25B9D">
        <w:rPr>
          <w:rFonts w:cs="Times New Roman"/>
        </w:rPr>
        <w:t>currently housed household</w:t>
      </w:r>
      <w:r w:rsidR="00A94C3B">
        <w:rPr>
          <w:rFonts w:cs="Times New Roman"/>
        </w:rPr>
        <w:t>s</w:t>
      </w:r>
      <w:r w:rsidR="00D8513E" w:rsidRPr="00D8513E">
        <w:rPr>
          <w:rFonts w:cs="Times New Roman"/>
        </w:rPr>
        <w:t xml:space="preserve"> as an intervention to prevent homelessness. </w:t>
      </w:r>
      <w:r w:rsidR="00171F19" w:rsidRPr="00342042">
        <w:rPr>
          <w:rFonts w:cs="Times New Roman"/>
        </w:rPr>
        <w:t xml:space="preserve">STRMU </w:t>
      </w:r>
      <w:r w:rsidR="00171F19">
        <w:rPr>
          <w:rFonts w:cs="Times New Roman"/>
        </w:rPr>
        <w:t>cannot</w:t>
      </w:r>
      <w:r w:rsidR="00171F19" w:rsidRPr="00342042">
        <w:rPr>
          <w:rFonts w:cs="Times New Roman"/>
        </w:rPr>
        <w:t xml:space="preserve"> assist </w:t>
      </w:r>
      <w:r w:rsidR="00171F19">
        <w:rPr>
          <w:rFonts w:cs="Times New Roman"/>
        </w:rPr>
        <w:t>homeless households or households</w:t>
      </w:r>
      <w:r w:rsidR="00171F19" w:rsidRPr="00342042">
        <w:rPr>
          <w:rFonts w:cs="Times New Roman"/>
        </w:rPr>
        <w:t xml:space="preserve"> moving into new housing arrangement</w:t>
      </w:r>
      <w:r w:rsidR="00171F19">
        <w:rPr>
          <w:rFonts w:cs="Times New Roman"/>
        </w:rPr>
        <w:t>s</w:t>
      </w:r>
      <w:r w:rsidR="00171F19" w:rsidRPr="00D8513E" w:rsidDel="00171F19">
        <w:rPr>
          <w:rFonts w:cs="Times New Roman"/>
        </w:rPr>
        <w:t xml:space="preserve"> </w:t>
      </w:r>
      <w:r w:rsidR="00F64163">
        <w:rPr>
          <w:rFonts w:cs="Times New Roman"/>
        </w:rPr>
        <w:t xml:space="preserve">(e.g., </w:t>
      </w:r>
      <w:r w:rsidR="00171F19">
        <w:rPr>
          <w:rFonts w:cs="Times New Roman"/>
        </w:rPr>
        <w:t xml:space="preserve">costs for </w:t>
      </w:r>
      <w:r w:rsidR="00F64163">
        <w:rPr>
          <w:rFonts w:cs="Times New Roman"/>
        </w:rPr>
        <w:t>moving services</w:t>
      </w:r>
      <w:r w:rsidR="00D8513E" w:rsidRPr="00D8513E">
        <w:rPr>
          <w:rFonts w:cs="Times New Roman"/>
        </w:rPr>
        <w:t xml:space="preserve">, </w:t>
      </w:r>
      <w:proofErr w:type="gramStart"/>
      <w:r w:rsidR="00D8513E" w:rsidRPr="00D8513E">
        <w:rPr>
          <w:rFonts w:cs="Times New Roman"/>
        </w:rPr>
        <w:t>security</w:t>
      </w:r>
      <w:proofErr w:type="gramEnd"/>
      <w:r w:rsidR="001A296F">
        <w:rPr>
          <w:rFonts w:cs="Times New Roman"/>
        </w:rPr>
        <w:t xml:space="preserve"> </w:t>
      </w:r>
      <w:r w:rsidR="00171F19">
        <w:rPr>
          <w:rFonts w:cs="Times New Roman"/>
        </w:rPr>
        <w:t xml:space="preserve">or </w:t>
      </w:r>
      <w:r w:rsidR="001A296F">
        <w:rPr>
          <w:rFonts w:cs="Times New Roman"/>
        </w:rPr>
        <w:t>utility</w:t>
      </w:r>
      <w:r w:rsidR="00D8513E" w:rsidRPr="00D8513E">
        <w:rPr>
          <w:rFonts w:cs="Times New Roman"/>
        </w:rPr>
        <w:t xml:space="preserve"> deposits, first month’s rent</w:t>
      </w:r>
      <w:r w:rsidR="00F64163">
        <w:rPr>
          <w:rFonts w:cs="Times New Roman"/>
        </w:rPr>
        <w:t>, etc.)</w:t>
      </w:r>
      <w:r w:rsidR="00D8513E" w:rsidRPr="00D8513E">
        <w:rPr>
          <w:rFonts w:cs="Times New Roman"/>
        </w:rPr>
        <w:t>.</w:t>
      </w:r>
      <w:bookmarkEnd w:id="30"/>
      <w:r w:rsidR="008E4AA7" w:rsidRPr="008E4AA7">
        <w:rPr>
          <w:rFonts w:cs="Times New Roman"/>
        </w:rPr>
        <w:t xml:space="preserve"> </w:t>
      </w:r>
      <w:r w:rsidR="008E4AA7" w:rsidRPr="00D8513E">
        <w:rPr>
          <w:rFonts w:cs="Times New Roman"/>
        </w:rPr>
        <w:t xml:space="preserve">Furthermore, </w:t>
      </w:r>
      <w:r w:rsidR="008E4AA7">
        <w:rPr>
          <w:rFonts w:cs="Times New Roman"/>
        </w:rPr>
        <w:t xml:space="preserve">STRMU </w:t>
      </w:r>
      <w:r w:rsidR="008E4AA7" w:rsidRPr="00CB6FE6">
        <w:rPr>
          <w:rFonts w:cs="Times New Roman"/>
        </w:rPr>
        <w:t xml:space="preserve">cannot assist </w:t>
      </w:r>
      <w:r w:rsidR="008E4AA7">
        <w:rPr>
          <w:rFonts w:cs="Times New Roman"/>
        </w:rPr>
        <w:t xml:space="preserve">with the costs of </w:t>
      </w:r>
      <w:r w:rsidR="008E4AA7" w:rsidRPr="00D8513E">
        <w:rPr>
          <w:rFonts w:cs="Times New Roman"/>
        </w:rPr>
        <w:t>household supplies</w:t>
      </w:r>
      <w:r w:rsidR="008E4AA7">
        <w:rPr>
          <w:rFonts w:cs="Times New Roman"/>
        </w:rPr>
        <w:t>;</w:t>
      </w:r>
      <w:r w:rsidR="008E4AA7" w:rsidRPr="00D8513E">
        <w:rPr>
          <w:rFonts w:cs="Times New Roman"/>
        </w:rPr>
        <w:t xml:space="preserve"> furnishings</w:t>
      </w:r>
      <w:r w:rsidR="008E4AA7">
        <w:rPr>
          <w:rFonts w:cs="Times New Roman"/>
        </w:rPr>
        <w:t>;</w:t>
      </w:r>
      <w:r w:rsidR="008E4AA7" w:rsidRPr="00D8513E">
        <w:rPr>
          <w:rFonts w:cs="Times New Roman"/>
        </w:rPr>
        <w:t xml:space="preserve"> automobile/transportation</w:t>
      </w:r>
      <w:r w:rsidR="008E4AA7">
        <w:rPr>
          <w:rFonts w:cs="Times New Roman"/>
        </w:rPr>
        <w:t xml:space="preserve"> repairs;</w:t>
      </w:r>
      <w:r w:rsidR="008E4AA7" w:rsidRPr="00D8513E">
        <w:rPr>
          <w:rFonts w:cs="Times New Roman"/>
        </w:rPr>
        <w:t xml:space="preserve"> </w:t>
      </w:r>
      <w:r w:rsidR="00171F19">
        <w:rPr>
          <w:rFonts w:cs="Times New Roman"/>
        </w:rPr>
        <w:t>or</w:t>
      </w:r>
      <w:r w:rsidR="008E4AA7" w:rsidRPr="00D8513E">
        <w:rPr>
          <w:rFonts w:cs="Times New Roman"/>
        </w:rPr>
        <w:t xml:space="preserve"> </w:t>
      </w:r>
      <w:r w:rsidR="008E4AA7">
        <w:rPr>
          <w:rFonts w:cs="Times New Roman"/>
        </w:rPr>
        <w:t>t</w:t>
      </w:r>
      <w:r w:rsidR="008E4AA7" w:rsidRPr="000137EB">
        <w:rPr>
          <w:rFonts w:cs="Times New Roman"/>
        </w:rPr>
        <w:t xml:space="preserve">elephone, internet, </w:t>
      </w:r>
      <w:r w:rsidR="00171F19">
        <w:rPr>
          <w:rFonts w:cs="Times New Roman"/>
        </w:rPr>
        <w:t>or</w:t>
      </w:r>
      <w:r w:rsidR="008E4AA7" w:rsidRPr="000137EB">
        <w:rPr>
          <w:rFonts w:cs="Times New Roman"/>
        </w:rPr>
        <w:t xml:space="preserve"> cable</w:t>
      </w:r>
      <w:r w:rsidR="008E4AA7" w:rsidRPr="000137EB" w:rsidDel="000137EB">
        <w:rPr>
          <w:rFonts w:cs="Times New Roman"/>
        </w:rPr>
        <w:t xml:space="preserve"> </w:t>
      </w:r>
      <w:r w:rsidR="008E4AA7" w:rsidRPr="00D8513E">
        <w:rPr>
          <w:rFonts w:cs="Times New Roman"/>
        </w:rPr>
        <w:t>service</w:t>
      </w:r>
      <w:r w:rsidR="008E4AA7">
        <w:rPr>
          <w:rFonts w:cs="Times New Roman"/>
        </w:rPr>
        <w:t>s.</w:t>
      </w:r>
    </w:p>
    <w:p w14:paraId="583C7C3F" w14:textId="1F6C1042" w:rsidR="00BE72B4" w:rsidRDefault="00BE72B4">
      <w:pPr>
        <w:pStyle w:val="NoSpacing"/>
        <w:ind w:left="720"/>
        <w:rPr>
          <w:rFonts w:cs="Times New Roman"/>
        </w:rPr>
      </w:pPr>
    </w:p>
    <w:p w14:paraId="6FEEDDA6" w14:textId="6FC11829" w:rsidR="00D8513E" w:rsidRDefault="00F64163">
      <w:pPr>
        <w:pStyle w:val="NoSpacing"/>
        <w:ind w:left="720"/>
        <w:rPr>
          <w:rFonts w:cs="Times New Roman"/>
        </w:rPr>
      </w:pPr>
      <w:r>
        <w:rPr>
          <w:rFonts w:cs="Times New Roman"/>
        </w:rPr>
        <w:t>Additionally</w:t>
      </w:r>
      <w:r w:rsidR="00D8513E" w:rsidRPr="00D8513E">
        <w:rPr>
          <w:rFonts w:cs="Times New Roman"/>
        </w:rPr>
        <w:t xml:space="preserve">, STRMU </w:t>
      </w:r>
      <w:r>
        <w:rPr>
          <w:rFonts w:cs="Times New Roman"/>
        </w:rPr>
        <w:t xml:space="preserve">cannot assist with the following mortgage </w:t>
      </w:r>
      <w:r w:rsidR="0001495C">
        <w:rPr>
          <w:rFonts w:cs="Times New Roman"/>
        </w:rPr>
        <w:t>costs</w:t>
      </w:r>
      <w:r>
        <w:rPr>
          <w:rFonts w:cs="Times New Roman"/>
        </w:rPr>
        <w:t>:</w:t>
      </w:r>
      <w:r w:rsidR="00B73ACD">
        <w:rPr>
          <w:rFonts w:cs="Times New Roman"/>
        </w:rPr>
        <w:t xml:space="preserve"> S</w:t>
      </w:r>
      <w:r w:rsidR="00D8513E" w:rsidRPr="00D8513E">
        <w:rPr>
          <w:rFonts w:cs="Times New Roman"/>
        </w:rPr>
        <w:t xml:space="preserve">upport for an open line of credit or loan secured by the house; </w:t>
      </w:r>
      <w:r>
        <w:rPr>
          <w:rFonts w:cs="Times New Roman"/>
        </w:rPr>
        <w:t xml:space="preserve">payments for </w:t>
      </w:r>
      <w:r w:rsidR="00BB16A3">
        <w:rPr>
          <w:rFonts w:cs="Times New Roman"/>
        </w:rPr>
        <w:t xml:space="preserve">property </w:t>
      </w:r>
      <w:r w:rsidR="00D8513E" w:rsidRPr="00D8513E">
        <w:rPr>
          <w:rFonts w:cs="Times New Roman"/>
        </w:rPr>
        <w:t>taxes</w:t>
      </w:r>
      <w:r w:rsidR="00F30084">
        <w:rPr>
          <w:rFonts w:cs="Times New Roman"/>
        </w:rPr>
        <w:t xml:space="preserve">, </w:t>
      </w:r>
      <w:r w:rsidR="00D8513E" w:rsidRPr="00D8513E">
        <w:rPr>
          <w:rFonts w:cs="Times New Roman"/>
        </w:rPr>
        <w:t>insurance</w:t>
      </w:r>
      <w:r w:rsidR="00BB16A3">
        <w:rPr>
          <w:rFonts w:cs="Times New Roman"/>
        </w:rPr>
        <w:t xml:space="preserve"> premiums</w:t>
      </w:r>
      <w:r w:rsidR="00F30084">
        <w:rPr>
          <w:rFonts w:cs="Times New Roman"/>
        </w:rPr>
        <w:t>, or other fees</w:t>
      </w:r>
      <w:r w:rsidR="00D8513E" w:rsidRPr="00D8513E">
        <w:rPr>
          <w:rFonts w:cs="Times New Roman"/>
        </w:rPr>
        <w:t xml:space="preserve"> paid separately after </w:t>
      </w:r>
      <w:r>
        <w:rPr>
          <w:rFonts w:cs="Times New Roman"/>
        </w:rPr>
        <w:t xml:space="preserve">paying </w:t>
      </w:r>
      <w:r w:rsidR="00D8513E" w:rsidRPr="00D8513E">
        <w:rPr>
          <w:rFonts w:cs="Times New Roman"/>
        </w:rPr>
        <w:t xml:space="preserve">the first or second mortgage </w:t>
      </w:r>
      <w:r>
        <w:rPr>
          <w:rFonts w:cs="Times New Roman"/>
        </w:rPr>
        <w:t>i</w:t>
      </w:r>
      <w:r w:rsidR="00D8513E" w:rsidRPr="00D8513E">
        <w:rPr>
          <w:rFonts w:cs="Times New Roman"/>
        </w:rPr>
        <w:t xml:space="preserve">n full; </w:t>
      </w:r>
      <w:r>
        <w:rPr>
          <w:rFonts w:cs="Times New Roman"/>
        </w:rPr>
        <w:t>payments</w:t>
      </w:r>
      <w:r w:rsidR="00D8513E" w:rsidRPr="00D8513E">
        <w:rPr>
          <w:rFonts w:cs="Times New Roman"/>
        </w:rPr>
        <w:t xml:space="preserve"> towards personal loans or credit debts secured against the </w:t>
      </w:r>
      <w:r w:rsidR="00D8513E" w:rsidRPr="00D8513E">
        <w:rPr>
          <w:rFonts w:cs="Times New Roman"/>
        </w:rPr>
        <w:lastRenderedPageBreak/>
        <w:t xml:space="preserve">unit; </w:t>
      </w:r>
      <w:r>
        <w:rPr>
          <w:rFonts w:cs="Times New Roman"/>
        </w:rPr>
        <w:t>payments</w:t>
      </w:r>
      <w:r w:rsidRPr="00D8513E">
        <w:rPr>
          <w:rFonts w:cs="Times New Roman"/>
        </w:rPr>
        <w:t xml:space="preserve"> </w:t>
      </w:r>
      <w:r w:rsidR="00D8513E" w:rsidRPr="00D8513E">
        <w:rPr>
          <w:rFonts w:cs="Times New Roman"/>
        </w:rPr>
        <w:t xml:space="preserve">for a second mortgage when </w:t>
      </w:r>
      <w:r w:rsidR="00CB6FE6">
        <w:rPr>
          <w:rFonts w:cs="Times New Roman"/>
        </w:rPr>
        <w:t>the household owes payments for the first mortgage</w:t>
      </w:r>
      <w:r w:rsidR="00D8513E" w:rsidRPr="00D8513E">
        <w:rPr>
          <w:rFonts w:cs="Times New Roman"/>
        </w:rPr>
        <w:t xml:space="preserve">; or down-payment assistance to purchase </w:t>
      </w:r>
      <w:r w:rsidR="00CB6FE6">
        <w:rPr>
          <w:rFonts w:cs="Times New Roman"/>
        </w:rPr>
        <w:t>a</w:t>
      </w:r>
      <w:r w:rsidR="00CB6FE6" w:rsidRPr="00D8513E">
        <w:rPr>
          <w:rFonts w:cs="Times New Roman"/>
        </w:rPr>
        <w:t xml:space="preserve"> </w:t>
      </w:r>
      <w:r w:rsidR="00D8513E" w:rsidRPr="00D8513E">
        <w:rPr>
          <w:rFonts w:cs="Times New Roman"/>
        </w:rPr>
        <w:t>new unit.</w:t>
      </w:r>
    </w:p>
    <w:p w14:paraId="51E1361D" w14:textId="3C31B1B0" w:rsidR="00A11E5E" w:rsidRDefault="0049226F">
      <w:pPr>
        <w:pStyle w:val="NoSpacing"/>
        <w:ind w:left="720"/>
        <w:rPr>
          <w:rFonts w:cs="Times New Roman"/>
          <w:color w:val="C00000"/>
        </w:rPr>
      </w:pPr>
      <w:r w:rsidRPr="0049226F">
        <w:rPr>
          <w:rFonts w:cs="Times New Roman"/>
          <w:b/>
          <w:color w:val="C00000"/>
        </w:rPr>
        <w:t xml:space="preserve">NOTE: </w:t>
      </w:r>
      <w:r w:rsidRPr="00ED208F">
        <w:rPr>
          <w:rFonts w:cs="Times New Roman"/>
          <w:color w:val="C00000"/>
        </w:rPr>
        <w:t xml:space="preserve">Households cannot receive TBRA, STRMU, or FBHA services at the same time (i.e., TBRA, STRMU, and FBHA service periods </w:t>
      </w:r>
      <w:r w:rsidR="00AA7986">
        <w:rPr>
          <w:rFonts w:cs="Times New Roman"/>
          <w:color w:val="C00000"/>
        </w:rPr>
        <w:t>cannot</w:t>
      </w:r>
      <w:r w:rsidRPr="00ED208F">
        <w:rPr>
          <w:rFonts w:cs="Times New Roman"/>
          <w:color w:val="C00000"/>
        </w:rPr>
        <w:t xml:space="preserve"> overlap).</w:t>
      </w:r>
    </w:p>
    <w:p w14:paraId="667C91D1" w14:textId="77777777" w:rsidR="00FF1903" w:rsidRPr="00DE48B8" w:rsidRDefault="00FF1903" w:rsidP="00DE48B8">
      <w:pPr>
        <w:pStyle w:val="NoSpacing"/>
        <w:ind w:left="720"/>
        <w:rPr>
          <w:rFonts w:cs="Times New Roman"/>
          <w:b/>
          <w:u w:val="single"/>
        </w:rPr>
      </w:pPr>
    </w:p>
    <w:p w14:paraId="227C4AC4" w14:textId="49B732D0" w:rsidR="00380FE8" w:rsidRPr="002D0662" w:rsidRDefault="006879FE">
      <w:pPr>
        <w:pStyle w:val="NoSpacing"/>
        <w:numPr>
          <w:ilvl w:val="1"/>
          <w:numId w:val="14"/>
        </w:numPr>
        <w:rPr>
          <w:rFonts w:cs="Times New Roman"/>
          <w:b/>
          <w:u w:val="single"/>
        </w:rPr>
      </w:pPr>
      <w:r w:rsidRPr="002D0662">
        <w:rPr>
          <w:rFonts w:cs="Times New Roman"/>
          <w:b/>
          <w:u w:val="single"/>
        </w:rPr>
        <w:t xml:space="preserve">Establishing Additional Service </w:t>
      </w:r>
      <w:r w:rsidR="006B3988">
        <w:rPr>
          <w:rFonts w:cs="Times New Roman"/>
          <w:b/>
          <w:u w:val="single"/>
        </w:rPr>
        <w:t>Requirements</w:t>
      </w:r>
    </w:p>
    <w:p w14:paraId="61881A35" w14:textId="7E24CEEC" w:rsidR="006879FE" w:rsidRDefault="00F60BE9">
      <w:pPr>
        <w:pStyle w:val="NoSpacing"/>
        <w:ind w:left="720"/>
        <w:rPr>
          <w:rFonts w:cs="Times New Roman"/>
        </w:rPr>
      </w:pPr>
      <w:r w:rsidRPr="00AA771E">
        <w:rPr>
          <w:rFonts w:cs="Times New Roman"/>
        </w:rPr>
        <w:t xml:space="preserve">HUD permits </w:t>
      </w:r>
      <w:r w:rsidR="00380FE8" w:rsidRPr="00380FE8">
        <w:rPr>
          <w:rFonts w:cs="Times New Roman"/>
        </w:rPr>
        <w:t xml:space="preserve">Project Sponsors </w:t>
      </w:r>
      <w:r>
        <w:rPr>
          <w:rFonts w:cs="Times New Roman"/>
        </w:rPr>
        <w:t>to</w:t>
      </w:r>
      <w:r w:rsidRPr="00380FE8">
        <w:rPr>
          <w:rFonts w:cs="Times New Roman"/>
        </w:rPr>
        <w:t xml:space="preserve"> </w:t>
      </w:r>
      <w:r w:rsidR="00380FE8" w:rsidRPr="00380FE8">
        <w:rPr>
          <w:rFonts w:cs="Times New Roman"/>
        </w:rPr>
        <w:t xml:space="preserve">establish additional </w:t>
      </w:r>
      <w:r w:rsidR="006919D0">
        <w:rPr>
          <w:rFonts w:cs="Times New Roman"/>
        </w:rPr>
        <w:t xml:space="preserve">STRMU </w:t>
      </w:r>
      <w:r w:rsidR="00380FE8" w:rsidRPr="00380FE8">
        <w:rPr>
          <w:rFonts w:cs="Times New Roman"/>
        </w:rPr>
        <w:t xml:space="preserve">service </w:t>
      </w:r>
      <w:r w:rsidR="006B3988">
        <w:rPr>
          <w:rFonts w:cs="Times New Roman"/>
        </w:rPr>
        <w:t>requirements</w:t>
      </w:r>
      <w:r w:rsidR="00D34186" w:rsidRPr="00AA771E">
        <w:rPr>
          <w:rFonts w:cs="Times New Roman"/>
        </w:rPr>
        <w:t xml:space="preserve"> as a means of prioritizing benefits to those </w:t>
      </w:r>
      <w:r w:rsidR="00D34186">
        <w:rPr>
          <w:rFonts w:cs="Times New Roman"/>
        </w:rPr>
        <w:t>with the greatest need</w:t>
      </w:r>
      <w:r w:rsidR="00AA771E" w:rsidRPr="00AA771E">
        <w:rPr>
          <w:rFonts w:cs="Times New Roman"/>
        </w:rPr>
        <w:t xml:space="preserve">. </w:t>
      </w:r>
      <w:r w:rsidR="00D22435" w:rsidRPr="00D22435">
        <w:rPr>
          <w:rFonts w:cs="Times New Roman"/>
        </w:rPr>
        <w:t>HUD</w:t>
      </w:r>
      <w:r w:rsidR="005A2088">
        <w:rPr>
          <w:rFonts w:cs="Times New Roman"/>
        </w:rPr>
        <w:t>’</w:t>
      </w:r>
      <w:r w:rsidR="00D22435" w:rsidRPr="00D22435">
        <w:rPr>
          <w:rFonts w:cs="Times New Roman"/>
        </w:rPr>
        <w:t>s Office of Fair Housing and Equal Opportunity (FHEO) must approve local preferences to ensure such practices do not discriminate or inadvertently exclude any persons by design or omission.</w:t>
      </w:r>
      <w:r w:rsidR="00AA771E">
        <w:rPr>
          <w:rFonts w:cs="Times New Roman"/>
        </w:rPr>
        <w:t xml:space="preserve"> </w:t>
      </w:r>
      <w:r w:rsidR="00AA771E" w:rsidRPr="008026D4">
        <w:rPr>
          <w:rFonts w:cs="Times New Roman"/>
        </w:rPr>
        <w:t xml:space="preserve">If a Project Sponsor establishes additional </w:t>
      </w:r>
      <w:r w:rsidR="006B3988">
        <w:rPr>
          <w:rFonts w:cs="Times New Roman"/>
        </w:rPr>
        <w:t>service requirements</w:t>
      </w:r>
      <w:r w:rsidR="00AA771E" w:rsidRPr="008026D4">
        <w:rPr>
          <w:rFonts w:cs="Times New Roman"/>
        </w:rPr>
        <w:t xml:space="preserve">, they must collaborate with </w:t>
      </w:r>
      <w:r w:rsidR="00570DA0">
        <w:rPr>
          <w:rFonts w:cs="Times New Roman"/>
        </w:rPr>
        <w:t>their AA</w:t>
      </w:r>
      <w:r w:rsidR="00AA771E" w:rsidRPr="008026D4">
        <w:rPr>
          <w:rFonts w:cs="Times New Roman"/>
        </w:rPr>
        <w:t xml:space="preserve"> to develop a local program policy</w:t>
      </w:r>
      <w:r w:rsidR="00AA771E">
        <w:rPr>
          <w:rFonts w:cs="Times New Roman"/>
        </w:rPr>
        <w:t xml:space="preserve">. </w:t>
      </w:r>
      <w:r w:rsidR="00570DA0">
        <w:rPr>
          <w:rFonts w:cs="Times New Roman"/>
        </w:rPr>
        <w:t>Their AA</w:t>
      </w:r>
      <w:r w:rsidR="00AA771E" w:rsidRPr="008026D4">
        <w:rPr>
          <w:rFonts w:cs="Times New Roman"/>
        </w:rPr>
        <w:t xml:space="preserve"> must </w:t>
      </w:r>
      <w:r w:rsidR="00AA771E">
        <w:rPr>
          <w:rFonts w:cs="Times New Roman"/>
        </w:rPr>
        <w:t xml:space="preserve">consult with DSHS and DSHS must consult with HUD before </w:t>
      </w:r>
      <w:r w:rsidR="008C271C">
        <w:rPr>
          <w:rFonts w:cs="Times New Roman"/>
        </w:rPr>
        <w:t>DSHS approves the policy</w:t>
      </w:r>
      <w:r w:rsidR="00AA771E" w:rsidRPr="008026D4">
        <w:rPr>
          <w:rFonts w:cs="Times New Roman"/>
        </w:rPr>
        <w:t>.</w:t>
      </w:r>
      <w:r w:rsidR="00AA771E">
        <w:rPr>
          <w:rFonts w:cs="Times New Roman"/>
        </w:rPr>
        <w:t xml:space="preserve"> </w:t>
      </w:r>
      <w:r w:rsidR="00380FE8" w:rsidRPr="00380FE8">
        <w:rPr>
          <w:rFonts w:cs="Times New Roman"/>
        </w:rPr>
        <w:t xml:space="preserve">For example, a Project Sponsor could </w:t>
      </w:r>
      <w:r w:rsidR="006B3988">
        <w:rPr>
          <w:rFonts w:cs="Times New Roman"/>
        </w:rPr>
        <w:t>prioritize</w:t>
      </w:r>
      <w:r w:rsidR="006B3988" w:rsidRPr="00380FE8">
        <w:rPr>
          <w:rFonts w:cs="Times New Roman"/>
        </w:rPr>
        <w:t xml:space="preserve"> </w:t>
      </w:r>
      <w:r w:rsidR="00380FE8">
        <w:rPr>
          <w:rFonts w:cs="Times New Roman"/>
        </w:rPr>
        <w:t>STRMU</w:t>
      </w:r>
      <w:r w:rsidR="00380FE8" w:rsidRPr="00380FE8">
        <w:rPr>
          <w:rFonts w:cs="Times New Roman"/>
        </w:rPr>
        <w:t xml:space="preserve"> services to households </w:t>
      </w:r>
      <w:r w:rsidR="00380FE8">
        <w:rPr>
          <w:rFonts w:cs="Times New Roman"/>
        </w:rPr>
        <w:t>experiencing specific types of emergencies</w:t>
      </w:r>
      <w:r w:rsidR="00380FE8" w:rsidRPr="00380FE8">
        <w:rPr>
          <w:rFonts w:cs="Times New Roman"/>
        </w:rPr>
        <w:t xml:space="preserve"> or </w:t>
      </w:r>
      <w:r w:rsidR="00CF2F22" w:rsidRPr="00CF2F22">
        <w:rPr>
          <w:rFonts w:cs="Times New Roman"/>
        </w:rPr>
        <w:t>households with members who are unemployed, discharging from a hospital, persons with special needs, or presenting with some other specific situation</w:t>
      </w:r>
      <w:r w:rsidR="00CF2F22" w:rsidRPr="00CF2F22" w:rsidDel="00CF2F22">
        <w:rPr>
          <w:rFonts w:cs="Times New Roman"/>
        </w:rPr>
        <w:t xml:space="preserve"> </w:t>
      </w:r>
      <w:r w:rsidR="00380FE8" w:rsidRPr="00380FE8">
        <w:rPr>
          <w:rFonts w:cs="Times New Roman"/>
        </w:rPr>
        <w:t>.</w:t>
      </w:r>
    </w:p>
    <w:p w14:paraId="155D7348" w14:textId="77777777" w:rsidR="00BE4BAB" w:rsidRPr="00380FE8" w:rsidRDefault="00BE4BAB">
      <w:pPr>
        <w:pStyle w:val="NoSpacing"/>
        <w:ind w:left="720"/>
        <w:rPr>
          <w:rFonts w:cs="Times New Roman"/>
          <w:b/>
        </w:rPr>
      </w:pPr>
    </w:p>
    <w:p w14:paraId="6DF7B351" w14:textId="77777777" w:rsidR="00342042" w:rsidRPr="001B2577" w:rsidRDefault="00342042">
      <w:pPr>
        <w:pStyle w:val="NoSpacing"/>
        <w:numPr>
          <w:ilvl w:val="1"/>
          <w:numId w:val="14"/>
        </w:numPr>
        <w:rPr>
          <w:rFonts w:cs="Times New Roman"/>
          <w:b/>
          <w:u w:val="single"/>
        </w:rPr>
      </w:pPr>
      <w:r w:rsidRPr="001B2577">
        <w:rPr>
          <w:rFonts w:cs="Times New Roman"/>
          <w:b/>
          <w:u w:val="single"/>
        </w:rPr>
        <w:t>Housing Status</w:t>
      </w:r>
    </w:p>
    <w:p w14:paraId="41E4C3BF" w14:textId="62EBD721" w:rsidR="009541CA" w:rsidRDefault="00171F19">
      <w:pPr>
        <w:pStyle w:val="NoSpacing"/>
        <w:ind w:left="720"/>
        <w:rPr>
          <w:rFonts w:cs="Times New Roman"/>
        </w:rPr>
      </w:pPr>
      <w:r w:rsidRPr="00171F19">
        <w:rPr>
          <w:rFonts w:cs="Times New Roman"/>
        </w:rPr>
        <w:t xml:space="preserve">To receive </w:t>
      </w:r>
      <w:r>
        <w:rPr>
          <w:rFonts w:cs="Times New Roman"/>
        </w:rPr>
        <w:t>STRMU</w:t>
      </w:r>
      <w:r w:rsidRPr="00171F19">
        <w:rPr>
          <w:rFonts w:cs="Times New Roman"/>
        </w:rPr>
        <w:t xml:space="preserve"> </w:t>
      </w:r>
      <w:r w:rsidR="00B77E4E">
        <w:rPr>
          <w:rFonts w:cs="Times New Roman"/>
        </w:rPr>
        <w:t>services</w:t>
      </w:r>
      <w:r w:rsidRPr="00171F19">
        <w:rPr>
          <w:rFonts w:cs="Times New Roman"/>
        </w:rPr>
        <w:t xml:space="preserve">, households must present evidence </w:t>
      </w:r>
      <w:r>
        <w:rPr>
          <w:rFonts w:cs="Times New Roman"/>
        </w:rPr>
        <w:t>that they rent or own their home</w:t>
      </w:r>
      <w:r w:rsidRPr="00171F19">
        <w:rPr>
          <w:rFonts w:cs="Times New Roman"/>
        </w:rPr>
        <w:t>.</w:t>
      </w:r>
      <w:r>
        <w:rPr>
          <w:rFonts w:cs="Times New Roman"/>
        </w:rPr>
        <w:t xml:space="preserve"> </w:t>
      </w:r>
      <w:r w:rsidR="00635FCF" w:rsidRPr="00342042">
        <w:rPr>
          <w:rFonts w:cs="Times New Roman"/>
        </w:rPr>
        <w:t xml:space="preserve">STRMU </w:t>
      </w:r>
      <w:r w:rsidR="008E4AA7">
        <w:rPr>
          <w:rFonts w:cs="Times New Roman"/>
        </w:rPr>
        <w:t>enables</w:t>
      </w:r>
      <w:r w:rsidR="00635FCF" w:rsidRPr="00342042">
        <w:rPr>
          <w:rFonts w:cs="Times New Roman"/>
        </w:rPr>
        <w:t xml:space="preserve"> renters and homeowners </w:t>
      </w:r>
      <w:r>
        <w:rPr>
          <w:rFonts w:cs="Times New Roman"/>
        </w:rPr>
        <w:t xml:space="preserve">to </w:t>
      </w:r>
      <w:r w:rsidR="00635FCF" w:rsidRPr="00342042">
        <w:rPr>
          <w:rFonts w:cs="Times New Roman"/>
        </w:rPr>
        <w:t xml:space="preserve">remain in their current </w:t>
      </w:r>
      <w:r w:rsidR="0011200F">
        <w:rPr>
          <w:rFonts w:cs="Times New Roman"/>
        </w:rPr>
        <w:t>home</w:t>
      </w:r>
      <w:r w:rsidR="00635FCF" w:rsidRPr="00342042">
        <w:rPr>
          <w:rFonts w:cs="Times New Roman"/>
        </w:rPr>
        <w:t xml:space="preserve">. As such, STRMU </w:t>
      </w:r>
      <w:r w:rsidR="00AA7986">
        <w:rPr>
          <w:rFonts w:cs="Times New Roman"/>
        </w:rPr>
        <w:t>cannot</w:t>
      </w:r>
      <w:r w:rsidR="00635FCF" w:rsidRPr="00342042">
        <w:rPr>
          <w:rFonts w:cs="Times New Roman"/>
        </w:rPr>
        <w:t xml:space="preserve"> assist </w:t>
      </w:r>
      <w:r>
        <w:rPr>
          <w:rFonts w:cs="Times New Roman"/>
        </w:rPr>
        <w:t>homeless households or households</w:t>
      </w:r>
      <w:r w:rsidR="00635FCF" w:rsidRPr="00342042">
        <w:rPr>
          <w:rFonts w:cs="Times New Roman"/>
        </w:rPr>
        <w:t xml:space="preserve"> moving into new housing arrangement</w:t>
      </w:r>
      <w:r w:rsidR="004F63F0">
        <w:rPr>
          <w:rFonts w:cs="Times New Roman"/>
        </w:rPr>
        <w:t>s</w:t>
      </w:r>
      <w:r w:rsidR="00635FCF" w:rsidRPr="00342042">
        <w:rPr>
          <w:rFonts w:cs="Times New Roman"/>
        </w:rPr>
        <w:t>.</w:t>
      </w:r>
    </w:p>
    <w:p w14:paraId="379317B1" w14:textId="77777777" w:rsidR="009A6EE0" w:rsidRPr="00ED208F" w:rsidRDefault="00635FCF">
      <w:pPr>
        <w:pStyle w:val="NoSpacing"/>
        <w:numPr>
          <w:ilvl w:val="2"/>
          <w:numId w:val="14"/>
        </w:numPr>
        <w:rPr>
          <w:rFonts w:cs="Times New Roman"/>
          <w:b/>
        </w:rPr>
      </w:pPr>
      <w:r w:rsidRPr="00ED208F">
        <w:rPr>
          <w:rFonts w:cs="Times New Roman"/>
          <w:b/>
        </w:rPr>
        <w:t>Rent</w:t>
      </w:r>
    </w:p>
    <w:p w14:paraId="2E60F4CC" w14:textId="69B9EADD" w:rsidR="00635FCF" w:rsidRPr="0018605F" w:rsidRDefault="00AD51D6">
      <w:pPr>
        <w:pStyle w:val="NoSpacing"/>
        <w:ind w:left="1440"/>
        <w:rPr>
          <w:rFonts w:cs="Times New Roman"/>
          <w:b/>
        </w:rPr>
      </w:pPr>
      <w:r>
        <w:rPr>
          <w:rFonts w:cs="Times New Roman"/>
        </w:rPr>
        <w:t xml:space="preserve">To receive STRMU </w:t>
      </w:r>
      <w:r w:rsidRPr="00AD51D6">
        <w:rPr>
          <w:rFonts w:cs="Times New Roman"/>
        </w:rPr>
        <w:t xml:space="preserve">rent </w:t>
      </w:r>
      <w:r w:rsidR="00B77E4E">
        <w:rPr>
          <w:rFonts w:cs="Times New Roman"/>
        </w:rPr>
        <w:t>services</w:t>
      </w:r>
      <w:r w:rsidRPr="00AD51D6">
        <w:rPr>
          <w:rFonts w:cs="Times New Roman"/>
        </w:rPr>
        <w:t xml:space="preserve">, </w:t>
      </w:r>
      <w:r w:rsidRPr="00310E77">
        <w:rPr>
          <w:rFonts w:cs="Times New Roman"/>
        </w:rPr>
        <w:t xml:space="preserve">households must have a legal right to reside in the </w:t>
      </w:r>
      <w:r w:rsidR="00571416">
        <w:rPr>
          <w:rFonts w:cs="Times New Roman"/>
        </w:rPr>
        <w:t xml:space="preserve">private unassisted </w:t>
      </w:r>
      <w:r w:rsidRPr="00310E77">
        <w:rPr>
          <w:rFonts w:cs="Times New Roman"/>
        </w:rPr>
        <w:t xml:space="preserve">unit and prove responsibility for paying the rent. Satisfactory evidence of tenancy includes a lease naming the </w:t>
      </w:r>
      <w:r>
        <w:rPr>
          <w:rFonts w:cs="Times New Roman"/>
        </w:rPr>
        <w:t xml:space="preserve">eligible individual </w:t>
      </w:r>
      <w:r w:rsidRPr="00310E77">
        <w:rPr>
          <w:rFonts w:cs="Times New Roman"/>
        </w:rPr>
        <w:t xml:space="preserve">as the leaseholder or occupant. </w:t>
      </w:r>
      <w:r w:rsidR="00F71CD9" w:rsidRPr="00F71CD9">
        <w:rPr>
          <w:rFonts w:cs="Times New Roman"/>
        </w:rPr>
        <w:t xml:space="preserve">Generally, if the lease does not name the eligible individual as a tenant or occupant, then they have no legal right to reside in the unit, disqualifying them from </w:t>
      </w:r>
      <w:r w:rsidR="00F71CD9">
        <w:rPr>
          <w:rFonts w:cs="Times New Roman"/>
        </w:rPr>
        <w:t>STRMU</w:t>
      </w:r>
      <w:r w:rsidR="00F71CD9" w:rsidRPr="00F71CD9">
        <w:rPr>
          <w:rFonts w:cs="Times New Roman"/>
        </w:rPr>
        <w:t xml:space="preserve"> housing assistance services</w:t>
      </w:r>
      <w:r w:rsidR="00F71CD9">
        <w:rPr>
          <w:rFonts w:cs="Times New Roman"/>
        </w:rPr>
        <w:t>.</w:t>
      </w:r>
      <w:r w:rsidR="0018605F">
        <w:rPr>
          <w:rFonts w:cs="Times New Roman"/>
        </w:rPr>
        <w:t xml:space="preserve"> </w:t>
      </w:r>
      <w:r w:rsidR="00790639">
        <w:rPr>
          <w:rFonts w:cs="Times New Roman"/>
        </w:rPr>
        <w:t xml:space="preserve">Project Sponsors may also use the following </w:t>
      </w:r>
      <w:r w:rsidR="0011200F">
        <w:rPr>
          <w:rFonts w:cs="Times New Roman"/>
        </w:rPr>
        <w:t>less</w:t>
      </w:r>
      <w:r w:rsidR="00790639">
        <w:rPr>
          <w:rFonts w:cs="Times New Roman"/>
        </w:rPr>
        <w:t>-prefe</w:t>
      </w:r>
      <w:r w:rsidR="0011200F">
        <w:rPr>
          <w:rFonts w:cs="Times New Roman"/>
        </w:rPr>
        <w:t>rable</w:t>
      </w:r>
      <w:r w:rsidR="00790639">
        <w:rPr>
          <w:rFonts w:cs="Times New Roman"/>
        </w:rPr>
        <w:t xml:space="preserve"> forms of documentation</w:t>
      </w:r>
      <w:r w:rsidR="00A5713F">
        <w:rPr>
          <w:rFonts w:cs="Times New Roman"/>
        </w:rPr>
        <w:t xml:space="preserve"> as evidence of tenancy</w:t>
      </w:r>
      <w:r w:rsidR="0018605F">
        <w:rPr>
          <w:rFonts w:cs="Times New Roman"/>
        </w:rPr>
        <w:t>:</w:t>
      </w:r>
    </w:p>
    <w:p w14:paraId="775A0C9E" w14:textId="58DDAD4E" w:rsidR="0018605F" w:rsidRPr="00C57BD3" w:rsidRDefault="00790639" w:rsidP="003A5712">
      <w:pPr>
        <w:pStyle w:val="ListParagraph"/>
        <w:numPr>
          <w:ilvl w:val="0"/>
          <w:numId w:val="153"/>
        </w:numPr>
        <w:spacing w:after="0" w:line="240" w:lineRule="auto"/>
        <w:ind w:left="1890" w:hanging="450"/>
        <w:rPr>
          <w:rFonts w:cs="Times New Roman"/>
        </w:rPr>
      </w:pPr>
      <w:r>
        <w:rPr>
          <w:rFonts w:cs="Times New Roman"/>
        </w:rPr>
        <w:t>R</w:t>
      </w:r>
      <w:r w:rsidRPr="00C57BD3">
        <w:rPr>
          <w:rFonts w:cs="Times New Roman"/>
        </w:rPr>
        <w:t>ental receipts, cancelled check</w:t>
      </w:r>
      <w:r>
        <w:rPr>
          <w:rFonts w:cs="Times New Roman"/>
        </w:rPr>
        <w:t>s,</w:t>
      </w:r>
      <w:r w:rsidRPr="00C57BD3">
        <w:rPr>
          <w:rFonts w:cs="Times New Roman"/>
        </w:rPr>
        <w:t xml:space="preserve"> </w:t>
      </w:r>
      <w:r>
        <w:rPr>
          <w:rFonts w:cs="Times New Roman"/>
        </w:rPr>
        <w:t xml:space="preserve">copies of </w:t>
      </w:r>
      <w:r w:rsidRPr="00C57BD3">
        <w:rPr>
          <w:rFonts w:cs="Times New Roman"/>
        </w:rPr>
        <w:t xml:space="preserve">money </w:t>
      </w:r>
      <w:r w:rsidR="00A5713F" w:rsidRPr="00C57BD3">
        <w:rPr>
          <w:rFonts w:cs="Times New Roman"/>
        </w:rPr>
        <w:t>order</w:t>
      </w:r>
      <w:r w:rsidR="00A5713F">
        <w:rPr>
          <w:rFonts w:cs="Times New Roman"/>
        </w:rPr>
        <w:t>s</w:t>
      </w:r>
      <w:r w:rsidRPr="00C57BD3">
        <w:rPr>
          <w:rFonts w:cs="Times New Roman"/>
        </w:rPr>
        <w:t xml:space="preserve"> from the </w:t>
      </w:r>
      <w:r w:rsidR="00A5713F">
        <w:rPr>
          <w:rFonts w:cs="Times New Roman"/>
        </w:rPr>
        <w:t>household</w:t>
      </w:r>
      <w:r w:rsidRPr="00C57BD3">
        <w:rPr>
          <w:rFonts w:cs="Times New Roman"/>
        </w:rPr>
        <w:t xml:space="preserve"> to the </w:t>
      </w:r>
      <w:r>
        <w:rPr>
          <w:rFonts w:cs="Times New Roman"/>
        </w:rPr>
        <w:t>owner</w:t>
      </w:r>
      <w:r w:rsidR="00A5713F">
        <w:rPr>
          <w:rFonts w:cs="Times New Roman"/>
        </w:rPr>
        <w:t>, or other</w:t>
      </w:r>
      <w:r w:rsidRPr="00C57BD3">
        <w:rPr>
          <w:rFonts w:cs="Times New Roman"/>
        </w:rPr>
        <w:t xml:space="preserve"> </w:t>
      </w:r>
      <w:r w:rsidR="00A5713F">
        <w:rPr>
          <w:rFonts w:cs="Times New Roman"/>
        </w:rPr>
        <w:t>d</w:t>
      </w:r>
      <w:r w:rsidR="0018605F" w:rsidRPr="00C57BD3">
        <w:rPr>
          <w:rFonts w:cs="Times New Roman"/>
        </w:rPr>
        <w:t xml:space="preserve">ocumentation </w:t>
      </w:r>
      <w:r>
        <w:rPr>
          <w:rFonts w:cs="Times New Roman"/>
        </w:rPr>
        <w:t>of</w:t>
      </w:r>
      <w:r w:rsidRPr="00C57BD3">
        <w:rPr>
          <w:rFonts w:cs="Times New Roman"/>
        </w:rPr>
        <w:t xml:space="preserve"> </w:t>
      </w:r>
      <w:r w:rsidR="0018605F" w:rsidRPr="00C57BD3">
        <w:rPr>
          <w:rFonts w:cs="Times New Roman"/>
        </w:rPr>
        <w:t xml:space="preserve">the </w:t>
      </w:r>
      <w:r w:rsidR="00A5713F">
        <w:rPr>
          <w:rFonts w:cs="Times New Roman"/>
        </w:rPr>
        <w:t>household’s</w:t>
      </w:r>
      <w:r w:rsidR="00A5713F" w:rsidRPr="00C57BD3">
        <w:rPr>
          <w:rFonts w:cs="Times New Roman"/>
        </w:rPr>
        <w:t xml:space="preserve"> </w:t>
      </w:r>
      <w:r w:rsidR="0018605F" w:rsidRPr="00C57BD3">
        <w:rPr>
          <w:rFonts w:cs="Times New Roman"/>
        </w:rPr>
        <w:t>responsi</w:t>
      </w:r>
      <w:r>
        <w:rPr>
          <w:rFonts w:cs="Times New Roman"/>
        </w:rPr>
        <w:t>bility</w:t>
      </w:r>
      <w:r w:rsidR="0018605F" w:rsidRPr="00C57BD3">
        <w:rPr>
          <w:rFonts w:cs="Times New Roman"/>
        </w:rPr>
        <w:t xml:space="preserve"> for </w:t>
      </w:r>
      <w:r>
        <w:rPr>
          <w:rFonts w:cs="Times New Roman"/>
        </w:rPr>
        <w:t xml:space="preserve">making </w:t>
      </w:r>
      <w:r w:rsidR="0018605F" w:rsidRPr="00C57BD3">
        <w:rPr>
          <w:rFonts w:cs="Times New Roman"/>
        </w:rPr>
        <w:t>rental payments.</w:t>
      </w:r>
    </w:p>
    <w:p w14:paraId="54A30F4B" w14:textId="4FD159F8" w:rsidR="0018605F" w:rsidRPr="00C57BD3" w:rsidRDefault="00A5713F" w:rsidP="003A5712">
      <w:pPr>
        <w:pStyle w:val="ListParagraph"/>
        <w:numPr>
          <w:ilvl w:val="0"/>
          <w:numId w:val="153"/>
        </w:numPr>
        <w:spacing w:after="0" w:line="240" w:lineRule="auto"/>
        <w:ind w:left="1890" w:hanging="450"/>
        <w:rPr>
          <w:rFonts w:cs="Times New Roman"/>
        </w:rPr>
      </w:pPr>
      <w:r>
        <w:rPr>
          <w:rFonts w:cs="Times New Roman"/>
        </w:rPr>
        <w:t>L</w:t>
      </w:r>
      <w:r w:rsidR="0018605F" w:rsidRPr="00C57BD3">
        <w:rPr>
          <w:rFonts w:cs="Times New Roman"/>
        </w:rPr>
        <w:t>ate payment notice</w:t>
      </w:r>
      <w:r>
        <w:rPr>
          <w:rFonts w:cs="Times New Roman"/>
        </w:rPr>
        <w:t>s</w:t>
      </w:r>
      <w:r w:rsidR="0018605F" w:rsidRPr="00C57BD3">
        <w:rPr>
          <w:rFonts w:cs="Times New Roman"/>
        </w:rPr>
        <w:t xml:space="preserve"> or any other written communication</w:t>
      </w:r>
      <w:r>
        <w:rPr>
          <w:rFonts w:cs="Times New Roman"/>
        </w:rPr>
        <w:t>s</w:t>
      </w:r>
      <w:r w:rsidR="0018605F" w:rsidRPr="00C57BD3">
        <w:rPr>
          <w:rFonts w:cs="Times New Roman"/>
        </w:rPr>
        <w:t xml:space="preserve"> from the </w:t>
      </w:r>
      <w:r w:rsidR="00793E07">
        <w:rPr>
          <w:rFonts w:cs="Times New Roman"/>
        </w:rPr>
        <w:t>owner</w:t>
      </w:r>
      <w:r w:rsidR="0018605F" w:rsidRPr="00C57BD3">
        <w:rPr>
          <w:rFonts w:cs="Times New Roman"/>
        </w:rPr>
        <w:t xml:space="preserve"> to the </w:t>
      </w:r>
      <w:r>
        <w:rPr>
          <w:rFonts w:cs="Times New Roman"/>
        </w:rPr>
        <w:t>household</w:t>
      </w:r>
      <w:r w:rsidR="0018605F" w:rsidRPr="00C57BD3">
        <w:rPr>
          <w:rFonts w:cs="Times New Roman"/>
        </w:rPr>
        <w:t>.</w:t>
      </w:r>
    </w:p>
    <w:p w14:paraId="5DCF5E1B" w14:textId="7C084C94" w:rsidR="0018605F" w:rsidRPr="00ED208F" w:rsidRDefault="0018605F" w:rsidP="003A5712">
      <w:pPr>
        <w:pStyle w:val="NoSpacing"/>
        <w:numPr>
          <w:ilvl w:val="0"/>
          <w:numId w:val="153"/>
        </w:numPr>
        <w:ind w:left="1890" w:hanging="450"/>
        <w:rPr>
          <w:rFonts w:cs="Times New Roman"/>
          <w:b/>
        </w:rPr>
      </w:pPr>
      <w:r w:rsidRPr="00C57BD3">
        <w:rPr>
          <w:rFonts w:cs="Times New Roman"/>
        </w:rPr>
        <w:t xml:space="preserve">If not named on the lease, written </w:t>
      </w:r>
      <w:r w:rsidR="00A5713F">
        <w:rPr>
          <w:rFonts w:cs="Times New Roman"/>
        </w:rPr>
        <w:t>confirmation</w:t>
      </w:r>
      <w:r w:rsidR="00A5713F" w:rsidRPr="00C57BD3">
        <w:rPr>
          <w:rFonts w:cs="Times New Roman"/>
        </w:rPr>
        <w:t xml:space="preserve"> </w:t>
      </w:r>
      <w:r w:rsidRPr="00C57BD3">
        <w:rPr>
          <w:rFonts w:cs="Times New Roman"/>
        </w:rPr>
        <w:t xml:space="preserve">from the </w:t>
      </w:r>
      <w:r w:rsidR="00793E07">
        <w:rPr>
          <w:rFonts w:cs="Times New Roman"/>
        </w:rPr>
        <w:t>owner</w:t>
      </w:r>
      <w:r w:rsidRPr="00C57BD3">
        <w:rPr>
          <w:rFonts w:cs="Times New Roman"/>
        </w:rPr>
        <w:t xml:space="preserve"> that the </w:t>
      </w:r>
      <w:r w:rsidR="00A5713F">
        <w:rPr>
          <w:rFonts w:cs="Times New Roman"/>
        </w:rPr>
        <w:t>household legally resides in the unit</w:t>
      </w:r>
      <w:r w:rsidRPr="00C57BD3">
        <w:rPr>
          <w:rFonts w:cs="Times New Roman"/>
        </w:rPr>
        <w:t>.</w:t>
      </w:r>
    </w:p>
    <w:p w14:paraId="3D1C3CEA" w14:textId="77777777" w:rsidR="00BE4BAB" w:rsidRPr="00AD51D6" w:rsidRDefault="00BE4BAB">
      <w:pPr>
        <w:pStyle w:val="NoSpacing"/>
        <w:ind w:left="1530"/>
        <w:rPr>
          <w:rFonts w:cs="Times New Roman"/>
          <w:b/>
        </w:rPr>
      </w:pPr>
    </w:p>
    <w:p w14:paraId="085F3D59" w14:textId="77777777" w:rsidR="009A6EE0" w:rsidRDefault="00AD51D6">
      <w:pPr>
        <w:pStyle w:val="NoSpacing"/>
        <w:numPr>
          <w:ilvl w:val="2"/>
          <w:numId w:val="14"/>
        </w:numPr>
        <w:rPr>
          <w:rFonts w:cs="Times New Roman"/>
        </w:rPr>
      </w:pPr>
      <w:r w:rsidRPr="00ED208F">
        <w:rPr>
          <w:rFonts w:cs="Times New Roman"/>
          <w:b/>
        </w:rPr>
        <w:t>Mortgage</w:t>
      </w:r>
    </w:p>
    <w:p w14:paraId="2296D066" w14:textId="4591F4B3" w:rsidR="00AD51D6" w:rsidRPr="00AD51D6" w:rsidRDefault="00AD51D6">
      <w:pPr>
        <w:pStyle w:val="NoSpacing"/>
        <w:ind w:left="1440"/>
        <w:rPr>
          <w:rFonts w:cs="Times New Roman"/>
        </w:rPr>
      </w:pPr>
      <w:r>
        <w:rPr>
          <w:rFonts w:cs="Times New Roman"/>
        </w:rPr>
        <w:t>To receive STRMU mortgage</w:t>
      </w:r>
      <w:r w:rsidRPr="00AD51D6">
        <w:rPr>
          <w:rFonts w:cs="Times New Roman"/>
        </w:rPr>
        <w:t xml:space="preserve"> </w:t>
      </w:r>
      <w:r w:rsidR="00B77E4E">
        <w:rPr>
          <w:rFonts w:cs="Times New Roman"/>
        </w:rPr>
        <w:t>services</w:t>
      </w:r>
      <w:r w:rsidRPr="00AD51D6">
        <w:rPr>
          <w:rFonts w:cs="Times New Roman"/>
        </w:rPr>
        <w:t xml:space="preserve">, </w:t>
      </w:r>
      <w:r>
        <w:rPr>
          <w:rFonts w:cs="Times New Roman"/>
        </w:rPr>
        <w:t xml:space="preserve">households must demonstrate that they </w:t>
      </w:r>
      <w:r w:rsidR="00A6013D">
        <w:rPr>
          <w:rFonts w:cs="Times New Roman"/>
        </w:rPr>
        <w:t>own and reside in</w:t>
      </w:r>
      <w:r w:rsidRPr="00AD51D6">
        <w:rPr>
          <w:rFonts w:cs="Times New Roman"/>
        </w:rPr>
        <w:t xml:space="preserve"> mortgaged real property. Satisfactory evidence of ownership of</w:t>
      </w:r>
      <w:r w:rsidR="00B73ACD">
        <w:rPr>
          <w:rFonts w:cs="Times New Roman"/>
        </w:rPr>
        <w:t xml:space="preserve"> encumbered property includes</w:t>
      </w:r>
      <w:r w:rsidR="00BA7D9D" w:rsidRPr="00BA7D9D">
        <w:rPr>
          <w:rFonts w:cs="Times New Roman"/>
        </w:rPr>
        <w:t xml:space="preserve"> </w:t>
      </w:r>
      <w:r w:rsidR="00F30084">
        <w:rPr>
          <w:rFonts w:cs="Times New Roman"/>
        </w:rPr>
        <w:t>a</w:t>
      </w:r>
      <w:r w:rsidRPr="00AD51D6">
        <w:rPr>
          <w:rFonts w:cs="Times New Roman"/>
        </w:rPr>
        <w:t xml:space="preserve"> deed accompanied by a mortgage or a deed of trust; a mortgage or deed of trust default</w:t>
      </w:r>
      <w:r w:rsidR="00270163">
        <w:rPr>
          <w:rFonts w:cs="Times New Roman"/>
        </w:rPr>
        <w:t xml:space="preserve"> or </w:t>
      </w:r>
      <w:r w:rsidRPr="00AD51D6">
        <w:rPr>
          <w:rFonts w:cs="Times New Roman"/>
        </w:rPr>
        <w:t xml:space="preserve">late payment notice which identifies the eligible </w:t>
      </w:r>
      <w:r>
        <w:rPr>
          <w:rFonts w:cs="Times New Roman"/>
        </w:rPr>
        <w:t>individual</w:t>
      </w:r>
      <w:r w:rsidRPr="00AD51D6">
        <w:rPr>
          <w:rFonts w:cs="Times New Roman"/>
        </w:rPr>
        <w:t xml:space="preserve"> or </w:t>
      </w:r>
      <w:r>
        <w:rPr>
          <w:rFonts w:cs="Times New Roman"/>
        </w:rPr>
        <w:t>other household member</w:t>
      </w:r>
      <w:r w:rsidRPr="00AD51D6">
        <w:rPr>
          <w:rFonts w:cs="Times New Roman"/>
        </w:rPr>
        <w:t xml:space="preserve"> as the property owner/debtor; </w:t>
      </w:r>
      <w:r w:rsidR="009C621C" w:rsidRPr="00AD51D6">
        <w:rPr>
          <w:rFonts w:cs="Times New Roman"/>
        </w:rPr>
        <w:t>or</w:t>
      </w:r>
      <w:r w:rsidRPr="00AD51D6">
        <w:rPr>
          <w:rFonts w:cs="Times New Roman"/>
        </w:rPr>
        <w:t xml:space="preserve"> a valid, </w:t>
      </w:r>
      <w:proofErr w:type="gramStart"/>
      <w:r w:rsidRPr="00AD51D6">
        <w:rPr>
          <w:rFonts w:cs="Times New Roman"/>
        </w:rPr>
        <w:t>currently-dated</w:t>
      </w:r>
      <w:proofErr w:type="gramEnd"/>
      <w:r w:rsidRPr="00AD51D6">
        <w:rPr>
          <w:rFonts w:cs="Times New Roman"/>
        </w:rPr>
        <w:t xml:space="preserve"> title insurance policy identifying the eligible </w:t>
      </w:r>
      <w:r>
        <w:rPr>
          <w:rFonts w:cs="Times New Roman"/>
        </w:rPr>
        <w:t>individual</w:t>
      </w:r>
      <w:r w:rsidRPr="00AD51D6">
        <w:rPr>
          <w:rFonts w:cs="Times New Roman"/>
        </w:rPr>
        <w:t xml:space="preserve"> or </w:t>
      </w:r>
      <w:r>
        <w:rPr>
          <w:rFonts w:cs="Times New Roman"/>
        </w:rPr>
        <w:t>other household</w:t>
      </w:r>
      <w:r w:rsidRPr="00AD51D6">
        <w:rPr>
          <w:rFonts w:cs="Times New Roman"/>
        </w:rPr>
        <w:t xml:space="preserve"> member as the property owner/debtor. </w:t>
      </w:r>
      <w:r>
        <w:rPr>
          <w:rFonts w:cs="Times New Roman"/>
        </w:rPr>
        <w:t>Project Sponsors</w:t>
      </w:r>
      <w:r w:rsidRPr="00AD51D6">
        <w:rPr>
          <w:rFonts w:cs="Times New Roman"/>
        </w:rPr>
        <w:t xml:space="preserve"> should complete a careful assessment and an individual housing and services plan to determine </w:t>
      </w:r>
      <w:r w:rsidR="00BD4EE5">
        <w:rPr>
          <w:rFonts w:cs="Times New Roman"/>
        </w:rPr>
        <w:t>whether</w:t>
      </w:r>
      <w:r w:rsidR="00A40999" w:rsidRPr="00AD51D6">
        <w:rPr>
          <w:rFonts w:cs="Times New Roman"/>
        </w:rPr>
        <w:t xml:space="preserve"> </w:t>
      </w:r>
      <w:r w:rsidRPr="00AD51D6">
        <w:rPr>
          <w:rFonts w:cs="Times New Roman"/>
        </w:rPr>
        <w:t xml:space="preserve">a household </w:t>
      </w:r>
      <w:r w:rsidR="00A40999">
        <w:rPr>
          <w:rFonts w:cs="Times New Roman"/>
        </w:rPr>
        <w:t>can</w:t>
      </w:r>
      <w:r w:rsidRPr="00AD51D6">
        <w:rPr>
          <w:rFonts w:cs="Times New Roman"/>
        </w:rPr>
        <w:t xml:space="preserve"> maintain </w:t>
      </w:r>
      <w:r w:rsidR="00BD4EE5">
        <w:rPr>
          <w:rFonts w:cs="Times New Roman"/>
        </w:rPr>
        <w:t>mortgage payments</w:t>
      </w:r>
      <w:r w:rsidRPr="00AD51D6">
        <w:rPr>
          <w:rFonts w:cs="Times New Roman"/>
        </w:rPr>
        <w:t xml:space="preserve"> after the </w:t>
      </w:r>
      <w:r>
        <w:rPr>
          <w:rFonts w:cs="Times New Roman"/>
        </w:rPr>
        <w:t>period of assistance ends</w:t>
      </w:r>
      <w:r w:rsidRPr="00AD51D6">
        <w:rPr>
          <w:rFonts w:cs="Times New Roman"/>
        </w:rPr>
        <w:t>.</w:t>
      </w:r>
    </w:p>
    <w:p w14:paraId="5AB78720" w14:textId="77777777" w:rsidR="00AD51D6" w:rsidRDefault="00AD51D6">
      <w:pPr>
        <w:pStyle w:val="NoSpacing"/>
        <w:ind w:left="1440"/>
        <w:rPr>
          <w:rFonts w:cs="Times New Roman"/>
        </w:rPr>
      </w:pPr>
    </w:p>
    <w:p w14:paraId="508C96F3" w14:textId="30146790" w:rsidR="00AD51D6" w:rsidRDefault="00F30084" w:rsidP="00654541">
      <w:pPr>
        <w:pStyle w:val="NoSpacing"/>
        <w:ind w:left="1440"/>
        <w:rPr>
          <w:rFonts w:cs="Times New Roman"/>
        </w:rPr>
      </w:pPr>
      <w:r w:rsidRPr="00AD51D6">
        <w:rPr>
          <w:rFonts w:cs="Times New Roman"/>
        </w:rPr>
        <w:t>STRMU mortgage assistance include</w:t>
      </w:r>
      <w:r w:rsidR="00654541">
        <w:rPr>
          <w:rFonts w:cs="Times New Roman"/>
        </w:rPr>
        <w:t>s</w:t>
      </w:r>
      <w:r w:rsidRPr="00F30084">
        <w:rPr>
          <w:rFonts w:cs="Times New Roman"/>
        </w:rPr>
        <w:t xml:space="preserve"> </w:t>
      </w:r>
      <w:r w:rsidRPr="00AD51D6">
        <w:rPr>
          <w:rFonts w:cs="Times New Roman"/>
        </w:rPr>
        <w:t>costs for</w:t>
      </w:r>
      <w:r w:rsidRPr="00F30084">
        <w:rPr>
          <w:rFonts w:cs="Times New Roman"/>
        </w:rPr>
        <w:t xml:space="preserve"> </w:t>
      </w:r>
      <w:r w:rsidRPr="00AD51D6">
        <w:rPr>
          <w:rFonts w:cs="Times New Roman"/>
        </w:rPr>
        <w:t>principal</w:t>
      </w:r>
      <w:r w:rsidR="00654541">
        <w:rPr>
          <w:rFonts w:cs="Times New Roman"/>
        </w:rPr>
        <w:t xml:space="preserve"> and </w:t>
      </w:r>
      <w:r w:rsidRPr="00AD51D6">
        <w:rPr>
          <w:rFonts w:cs="Times New Roman"/>
        </w:rPr>
        <w:t>interest</w:t>
      </w:r>
      <w:r w:rsidR="00841418">
        <w:rPr>
          <w:rFonts w:cs="Times New Roman"/>
        </w:rPr>
        <w:t>. STRMU mortgage assistance may also include the following additional costs</w:t>
      </w:r>
      <w:r w:rsidR="00654541">
        <w:rPr>
          <w:rFonts w:cs="Times New Roman"/>
        </w:rPr>
        <w:t xml:space="preserve"> if included in the monthly mortgage </w:t>
      </w:r>
      <w:r w:rsidR="00841418">
        <w:rPr>
          <w:rFonts w:cs="Times New Roman"/>
        </w:rPr>
        <w:t>statement</w:t>
      </w:r>
      <w:r w:rsidR="005C722C">
        <w:rPr>
          <w:rFonts w:cs="Times New Roman"/>
        </w:rPr>
        <w:t xml:space="preserve"> and held in escrow</w:t>
      </w:r>
      <w:r w:rsidR="00654541">
        <w:rPr>
          <w:rFonts w:cs="Times New Roman"/>
        </w:rPr>
        <w:t xml:space="preserve">: </w:t>
      </w:r>
      <w:r w:rsidR="00841418">
        <w:rPr>
          <w:rFonts w:cs="Times New Roman"/>
        </w:rPr>
        <w:t>P</w:t>
      </w:r>
      <w:r w:rsidRPr="00AD51D6">
        <w:rPr>
          <w:rFonts w:cs="Times New Roman"/>
        </w:rPr>
        <w:t>roperty taxes</w:t>
      </w:r>
      <w:r>
        <w:rPr>
          <w:rFonts w:cs="Times New Roman"/>
        </w:rPr>
        <w:t>;</w:t>
      </w:r>
      <w:r w:rsidRPr="00F30084">
        <w:rPr>
          <w:rFonts w:cs="Times New Roman"/>
        </w:rPr>
        <w:t xml:space="preserve"> </w:t>
      </w:r>
      <w:r w:rsidRPr="00AD51D6">
        <w:rPr>
          <w:rFonts w:cs="Times New Roman"/>
        </w:rPr>
        <w:t>special assessments (if applicable)</w:t>
      </w:r>
      <w:r>
        <w:rPr>
          <w:rFonts w:cs="Times New Roman"/>
        </w:rPr>
        <w:t>;</w:t>
      </w:r>
      <w:r w:rsidRPr="00F30084">
        <w:rPr>
          <w:rFonts w:cs="Times New Roman"/>
        </w:rPr>
        <w:t xml:space="preserve"> </w:t>
      </w:r>
      <w:r w:rsidRPr="00AD51D6">
        <w:rPr>
          <w:rFonts w:cs="Times New Roman"/>
        </w:rPr>
        <w:t>condo fees</w:t>
      </w:r>
      <w:r>
        <w:rPr>
          <w:rFonts w:cs="Times New Roman"/>
        </w:rPr>
        <w:t xml:space="preserve">; </w:t>
      </w:r>
      <w:r w:rsidR="00654541">
        <w:rPr>
          <w:rFonts w:cs="Times New Roman"/>
        </w:rPr>
        <w:t xml:space="preserve">and flood, fire, or other hazard insurance premiums. </w:t>
      </w:r>
      <w:r w:rsidR="00AD51D6" w:rsidRPr="00AD51D6">
        <w:rPr>
          <w:rFonts w:cs="Times New Roman"/>
        </w:rPr>
        <w:t xml:space="preserve">STRMU </w:t>
      </w:r>
      <w:r w:rsidR="00654541">
        <w:rPr>
          <w:rFonts w:cs="Times New Roman"/>
        </w:rPr>
        <w:t xml:space="preserve">cannot assist with </w:t>
      </w:r>
      <w:r w:rsidR="00841418">
        <w:rPr>
          <w:rFonts w:cs="Times New Roman"/>
        </w:rPr>
        <w:t>these additional costs</w:t>
      </w:r>
      <w:r w:rsidR="00654541">
        <w:rPr>
          <w:rFonts w:cs="Times New Roman"/>
        </w:rPr>
        <w:t xml:space="preserve"> if excluded from the monthly mortgage </w:t>
      </w:r>
      <w:r w:rsidR="00841418">
        <w:rPr>
          <w:rFonts w:cs="Times New Roman"/>
        </w:rPr>
        <w:t>statement</w:t>
      </w:r>
      <w:r w:rsidR="00654541">
        <w:rPr>
          <w:rFonts w:cs="Times New Roman"/>
        </w:rPr>
        <w:t>.</w:t>
      </w:r>
      <w:r w:rsidR="00D2060D">
        <w:rPr>
          <w:rFonts w:cs="Times New Roman"/>
        </w:rPr>
        <w:t xml:space="preserve"> </w:t>
      </w:r>
      <w:r w:rsidR="00AD51D6" w:rsidRPr="00AD51D6">
        <w:rPr>
          <w:rFonts w:cs="Times New Roman"/>
        </w:rPr>
        <w:t xml:space="preserve">Other forms of assistance, such as homeownership programs, may provide alternative forms of support for costs not included </w:t>
      </w:r>
      <w:r w:rsidR="00841418">
        <w:rPr>
          <w:rFonts w:cs="Times New Roman"/>
        </w:rPr>
        <w:t>in</w:t>
      </w:r>
      <w:r w:rsidR="00841418" w:rsidRPr="00AD51D6">
        <w:rPr>
          <w:rFonts w:cs="Times New Roman"/>
        </w:rPr>
        <w:t xml:space="preserve"> </w:t>
      </w:r>
      <w:r w:rsidR="00AD51D6" w:rsidRPr="00AD51D6">
        <w:rPr>
          <w:rFonts w:cs="Times New Roman"/>
        </w:rPr>
        <w:t xml:space="preserve">the </w:t>
      </w:r>
      <w:r w:rsidR="00841418">
        <w:rPr>
          <w:rFonts w:cs="Times New Roman"/>
        </w:rPr>
        <w:t xml:space="preserve">monthly </w:t>
      </w:r>
      <w:r w:rsidR="00AD51D6" w:rsidRPr="00AD51D6">
        <w:rPr>
          <w:rFonts w:cs="Times New Roman"/>
        </w:rPr>
        <w:t xml:space="preserve">mortgage </w:t>
      </w:r>
      <w:r w:rsidR="00841418">
        <w:rPr>
          <w:rFonts w:cs="Times New Roman"/>
        </w:rPr>
        <w:t>statement</w:t>
      </w:r>
      <w:r w:rsidR="00D2060D">
        <w:rPr>
          <w:rFonts w:cs="Times New Roman"/>
        </w:rPr>
        <w:t>.</w:t>
      </w:r>
    </w:p>
    <w:p w14:paraId="4B8558C6" w14:textId="77777777" w:rsidR="00D2060D" w:rsidRPr="00AD51D6" w:rsidRDefault="00D2060D">
      <w:pPr>
        <w:pStyle w:val="NoSpacing"/>
        <w:ind w:left="1440"/>
        <w:rPr>
          <w:rFonts w:cs="Times New Roman"/>
        </w:rPr>
      </w:pPr>
    </w:p>
    <w:p w14:paraId="598109FC" w14:textId="1AE06C79" w:rsidR="00AD51D6" w:rsidRDefault="00AD51D6">
      <w:pPr>
        <w:pStyle w:val="NoSpacing"/>
        <w:ind w:left="1440"/>
        <w:rPr>
          <w:rFonts w:cs="Times New Roman"/>
        </w:rPr>
      </w:pPr>
      <w:r w:rsidRPr="00AD51D6">
        <w:rPr>
          <w:rFonts w:cs="Times New Roman"/>
        </w:rPr>
        <w:t xml:space="preserve">STRMU mortgage assistance may include costs related to second mortgages. </w:t>
      </w:r>
      <w:r w:rsidR="00C9681D">
        <w:rPr>
          <w:rFonts w:cs="Times New Roman"/>
        </w:rPr>
        <w:t>Generally</w:t>
      </w:r>
      <w:r w:rsidRPr="00AD51D6">
        <w:rPr>
          <w:rFonts w:cs="Times New Roman"/>
        </w:rPr>
        <w:t xml:space="preserve">, a second mortgage represents a lien on real property. Defaults on mortgages (e.g., nonpayment of loan(s), lapsed insurance, unpaid property taxes, among others) may lead </w:t>
      </w:r>
      <w:r w:rsidR="00D2060D">
        <w:rPr>
          <w:rFonts w:cs="Times New Roman"/>
        </w:rPr>
        <w:t>homeowners</w:t>
      </w:r>
      <w:r w:rsidRPr="00AD51D6">
        <w:rPr>
          <w:rFonts w:cs="Times New Roman"/>
        </w:rPr>
        <w:t xml:space="preserve"> to foreclosure and eviction. </w:t>
      </w:r>
      <w:r w:rsidRPr="00AD51D6">
        <w:rPr>
          <w:rFonts w:cs="Times New Roman"/>
        </w:rPr>
        <w:lastRenderedPageBreak/>
        <w:t>STRMU provides short-term mortgage</w:t>
      </w:r>
      <w:r w:rsidR="00D2060D">
        <w:rPr>
          <w:rFonts w:cs="Times New Roman"/>
        </w:rPr>
        <w:t xml:space="preserve"> </w:t>
      </w:r>
      <w:r w:rsidR="00D2060D" w:rsidRPr="00D2060D">
        <w:rPr>
          <w:rFonts w:cs="Times New Roman"/>
        </w:rPr>
        <w:t>payments regardless of priority (</w:t>
      </w:r>
      <w:r w:rsidR="009C621C" w:rsidRPr="00D2060D">
        <w:rPr>
          <w:rFonts w:cs="Times New Roman"/>
        </w:rPr>
        <w:t>i.e.,</w:t>
      </w:r>
      <w:r w:rsidR="00D2060D" w:rsidRPr="00D2060D">
        <w:rPr>
          <w:rFonts w:cs="Times New Roman"/>
        </w:rPr>
        <w:t xml:space="preserve"> the first or second mortgages) to </w:t>
      </w:r>
      <w:r w:rsidR="00FC296C">
        <w:rPr>
          <w:rFonts w:cs="Times New Roman"/>
        </w:rPr>
        <w:t>minimize</w:t>
      </w:r>
      <w:r w:rsidR="00FC296C" w:rsidRPr="00D2060D">
        <w:rPr>
          <w:rFonts w:cs="Times New Roman"/>
        </w:rPr>
        <w:t xml:space="preserve"> </w:t>
      </w:r>
      <w:r w:rsidR="00D2060D" w:rsidRPr="00D2060D">
        <w:rPr>
          <w:rFonts w:cs="Times New Roman"/>
        </w:rPr>
        <w:t xml:space="preserve">the threat of homelessness for an adequately housed </w:t>
      </w:r>
      <w:r w:rsidR="00C9681D">
        <w:rPr>
          <w:rFonts w:cs="Times New Roman"/>
        </w:rPr>
        <w:t>household</w:t>
      </w:r>
      <w:r w:rsidR="00D2060D" w:rsidRPr="00D2060D">
        <w:rPr>
          <w:rFonts w:cs="Times New Roman"/>
        </w:rPr>
        <w:t>.</w:t>
      </w:r>
    </w:p>
    <w:p w14:paraId="31D1BFC2" w14:textId="77777777" w:rsidR="00A06610" w:rsidRPr="00AD51D6" w:rsidRDefault="00A06610">
      <w:pPr>
        <w:pStyle w:val="NoSpacing"/>
        <w:ind w:left="1440"/>
        <w:rPr>
          <w:rFonts w:cs="Times New Roman"/>
          <w:b/>
        </w:rPr>
      </w:pPr>
    </w:p>
    <w:p w14:paraId="7A4EEB18" w14:textId="6B59B082" w:rsidR="009A6EE0" w:rsidRPr="00ED208F" w:rsidRDefault="00D2060D">
      <w:pPr>
        <w:pStyle w:val="NoSpacing"/>
        <w:numPr>
          <w:ilvl w:val="2"/>
          <w:numId w:val="14"/>
        </w:numPr>
        <w:rPr>
          <w:rFonts w:cs="Times New Roman"/>
          <w:b/>
        </w:rPr>
      </w:pPr>
      <w:r w:rsidRPr="00ED208F">
        <w:rPr>
          <w:rFonts w:cs="Times New Roman"/>
          <w:b/>
        </w:rPr>
        <w:t>Utilities</w:t>
      </w:r>
    </w:p>
    <w:p w14:paraId="5BEAE0DF" w14:textId="0FC66779" w:rsidR="000E1DA7" w:rsidRPr="00A314A0" w:rsidRDefault="00D2060D">
      <w:pPr>
        <w:pStyle w:val="NoSpacing"/>
        <w:ind w:left="1440"/>
        <w:rPr>
          <w:rFonts w:cs="Times New Roman"/>
          <w:b/>
        </w:rPr>
      </w:pPr>
      <w:r>
        <w:rPr>
          <w:rFonts w:cs="Times New Roman"/>
        </w:rPr>
        <w:t xml:space="preserve">To receive STRMU utility </w:t>
      </w:r>
      <w:r w:rsidR="00B77E4E">
        <w:rPr>
          <w:rFonts w:cs="Times New Roman"/>
        </w:rPr>
        <w:t>services</w:t>
      </w:r>
      <w:r w:rsidRPr="00D2060D">
        <w:rPr>
          <w:rFonts w:cs="Times New Roman"/>
        </w:rPr>
        <w:t xml:space="preserve">, </w:t>
      </w:r>
      <w:r>
        <w:rPr>
          <w:rFonts w:cs="Times New Roman"/>
        </w:rPr>
        <w:t>a household</w:t>
      </w:r>
      <w:r w:rsidRPr="00D2060D">
        <w:rPr>
          <w:rFonts w:cs="Times New Roman"/>
        </w:rPr>
        <w:t xml:space="preserve"> must </w:t>
      </w:r>
      <w:r w:rsidR="00BB7C43">
        <w:rPr>
          <w:rFonts w:cs="Times New Roman"/>
        </w:rPr>
        <w:t xml:space="preserve">present evidence of </w:t>
      </w:r>
      <w:r w:rsidR="00F043C1">
        <w:rPr>
          <w:rFonts w:cs="Times New Roman"/>
        </w:rPr>
        <w:t xml:space="preserve">legally </w:t>
      </w:r>
      <w:r w:rsidR="00BB7C43">
        <w:rPr>
          <w:rFonts w:cs="Times New Roman"/>
        </w:rPr>
        <w:t>residing</w:t>
      </w:r>
      <w:r w:rsidRPr="00D2060D">
        <w:rPr>
          <w:rFonts w:cs="Times New Roman"/>
        </w:rPr>
        <w:t xml:space="preserve"> in the </w:t>
      </w:r>
      <w:r w:rsidR="00571416">
        <w:rPr>
          <w:rFonts w:cs="Times New Roman"/>
        </w:rPr>
        <w:t xml:space="preserve">private unassisted </w:t>
      </w:r>
      <w:r w:rsidRPr="00D2060D">
        <w:rPr>
          <w:rFonts w:cs="Times New Roman"/>
        </w:rPr>
        <w:t xml:space="preserve">unit </w:t>
      </w:r>
      <w:r>
        <w:rPr>
          <w:rFonts w:cs="Times New Roman"/>
        </w:rPr>
        <w:t xml:space="preserve">and </w:t>
      </w:r>
      <w:r w:rsidR="006A2AA3" w:rsidRPr="006A2AA3">
        <w:rPr>
          <w:rFonts w:cs="Times New Roman"/>
        </w:rPr>
        <w:t>a household member must have a utility account in their name</w:t>
      </w:r>
      <w:r>
        <w:rPr>
          <w:rFonts w:cs="Times New Roman"/>
        </w:rPr>
        <w:t xml:space="preserve">. </w:t>
      </w:r>
      <w:r w:rsidR="006A2AA3" w:rsidRPr="006A2AA3">
        <w:rPr>
          <w:rFonts w:cs="Times New Roman"/>
        </w:rPr>
        <w:t xml:space="preserve">Individuals with prior utility debt or poor credit history may encounter barriers to establishing utility accounts in their name, sometimes relying on utility accounts established in someone else’s name and bearing responsibility for paying the utility expenses. Project Sponsors cannot exclude such households from receiving </w:t>
      </w:r>
      <w:r w:rsidR="005673CA">
        <w:rPr>
          <w:rFonts w:cs="Times New Roman"/>
        </w:rPr>
        <w:t>STRMU utility assistance</w:t>
      </w:r>
      <w:r w:rsidR="006A2AA3" w:rsidRPr="006A2AA3">
        <w:rPr>
          <w:rFonts w:cs="Times New Roman"/>
        </w:rPr>
        <w:t>. Instead, Project Sponsors obtain proof of the household’s responsibility for paying the utility expenses. For example, if a household uses a utility account in someone else’s name, a Project Sponsor could request a copy of the account holder’s photo identification and a signed statement from the account holder confirming that the household bears responsibility for paying the utility expenses</w:t>
      </w:r>
      <w:r w:rsidR="002E608F">
        <w:rPr>
          <w:rFonts w:cs="Times New Roman"/>
        </w:rPr>
        <w:t>.</w:t>
      </w:r>
    </w:p>
    <w:p w14:paraId="015C79B3" w14:textId="0F72350E" w:rsidR="00F50BB2" w:rsidRPr="00342042" w:rsidRDefault="00F50BB2">
      <w:pPr>
        <w:pStyle w:val="NoSpacing"/>
        <w:ind w:left="1440"/>
        <w:rPr>
          <w:rFonts w:cs="Times New Roman"/>
        </w:rPr>
      </w:pPr>
    </w:p>
    <w:p w14:paraId="5F6B842D" w14:textId="229DD3BB" w:rsidR="00342042" w:rsidRPr="001B2577" w:rsidRDefault="00342042">
      <w:pPr>
        <w:pStyle w:val="NoSpacing"/>
        <w:numPr>
          <w:ilvl w:val="1"/>
          <w:numId w:val="14"/>
        </w:numPr>
        <w:rPr>
          <w:rFonts w:cs="Times New Roman"/>
          <w:b/>
          <w:u w:val="single"/>
        </w:rPr>
      </w:pPr>
      <w:r w:rsidRPr="001B2577">
        <w:rPr>
          <w:rFonts w:cs="Times New Roman"/>
          <w:b/>
          <w:u w:val="single"/>
        </w:rPr>
        <w:t>Evidence of Need</w:t>
      </w:r>
    </w:p>
    <w:p w14:paraId="0A5BF046" w14:textId="578DC54E" w:rsidR="001B58EA" w:rsidRDefault="00A81E86">
      <w:pPr>
        <w:pStyle w:val="NoSpacing"/>
        <w:ind w:left="720"/>
        <w:rPr>
          <w:rFonts w:cs="Times New Roman"/>
        </w:rPr>
      </w:pPr>
      <w:r w:rsidRPr="00A81E86">
        <w:rPr>
          <w:rFonts w:cs="Times New Roman"/>
        </w:rPr>
        <w:t xml:space="preserve">STRMU </w:t>
      </w:r>
      <w:r w:rsidR="00B77E4E">
        <w:rPr>
          <w:rFonts w:cs="Times New Roman"/>
        </w:rPr>
        <w:t>serves</w:t>
      </w:r>
      <w:r w:rsidRPr="00A81E86">
        <w:rPr>
          <w:rFonts w:cs="Times New Roman"/>
        </w:rPr>
        <w:t xml:space="preserve"> households experiencing a financial crisis related to their HIV health condition or a change in their economic circumstances</w:t>
      </w:r>
      <w:r>
        <w:rPr>
          <w:rFonts w:cs="Times New Roman"/>
        </w:rPr>
        <w:t>. T</w:t>
      </w:r>
      <w:r w:rsidRPr="00A81E86">
        <w:rPr>
          <w:rFonts w:cs="Times New Roman"/>
        </w:rPr>
        <w:t xml:space="preserve">he amount of STRMU </w:t>
      </w:r>
      <w:r w:rsidR="00FE5101">
        <w:rPr>
          <w:rFonts w:cs="Times New Roman"/>
        </w:rPr>
        <w:t>assistance</w:t>
      </w:r>
      <w:r w:rsidRPr="00A81E86">
        <w:rPr>
          <w:rFonts w:cs="Times New Roman"/>
        </w:rPr>
        <w:t xml:space="preserve"> a household receives depends on the household’s assessed needs</w:t>
      </w:r>
      <w:r>
        <w:rPr>
          <w:rFonts w:cs="Times New Roman"/>
        </w:rPr>
        <w:t>.</w:t>
      </w:r>
      <w:r w:rsidRPr="00A81E86">
        <w:rPr>
          <w:rFonts w:cs="Times New Roman"/>
        </w:rPr>
        <w:t xml:space="preserve"> </w:t>
      </w:r>
      <w:r w:rsidR="00D80AD8" w:rsidRPr="00C95E03">
        <w:rPr>
          <w:rFonts w:cs="Times New Roman"/>
        </w:rPr>
        <w:t xml:space="preserve">STRMU </w:t>
      </w:r>
      <w:r w:rsidR="00D80AD8">
        <w:rPr>
          <w:rFonts w:cs="Times New Roman"/>
        </w:rPr>
        <w:t>can only pay</w:t>
      </w:r>
      <w:r w:rsidR="00D80AD8" w:rsidRPr="00C95E03">
        <w:rPr>
          <w:rFonts w:cs="Times New Roman"/>
        </w:rPr>
        <w:t xml:space="preserve"> for costs that </w:t>
      </w:r>
      <w:r w:rsidR="00D80AD8">
        <w:rPr>
          <w:rFonts w:cs="Times New Roman"/>
        </w:rPr>
        <w:t>cannot be paid or</w:t>
      </w:r>
      <w:r w:rsidR="00D80AD8" w:rsidRPr="00C95E03">
        <w:rPr>
          <w:rFonts w:cs="Times New Roman"/>
        </w:rPr>
        <w:t xml:space="preserve"> reimbursed by other available resources.</w:t>
      </w:r>
      <w:r w:rsidR="00343D34" w:rsidRPr="00384EB5">
        <w:rPr>
          <w:rFonts w:cs="Times New Roman"/>
        </w:rPr>
        <w:t xml:space="preserve"> </w:t>
      </w:r>
      <w:r w:rsidR="00C95E03" w:rsidRPr="00C95E03">
        <w:rPr>
          <w:rFonts w:cs="Times New Roman"/>
        </w:rPr>
        <w:t xml:space="preserve">To </w:t>
      </w:r>
      <w:r w:rsidR="00C95E03">
        <w:rPr>
          <w:rFonts w:cs="Times New Roman"/>
        </w:rPr>
        <w:t>qualify</w:t>
      </w:r>
      <w:r w:rsidR="00C95E03" w:rsidRPr="00C95E03">
        <w:rPr>
          <w:rFonts w:cs="Times New Roman"/>
        </w:rPr>
        <w:t xml:space="preserve"> for STRMU, households must demonstrate that they </w:t>
      </w:r>
      <w:r w:rsidR="00CE2545">
        <w:rPr>
          <w:rFonts w:cs="Times New Roman"/>
        </w:rPr>
        <w:t>lack</w:t>
      </w:r>
      <w:r w:rsidR="00C95E03" w:rsidRPr="00C95E03">
        <w:rPr>
          <w:rFonts w:cs="Times New Roman"/>
        </w:rPr>
        <w:t xml:space="preserve"> the resources to </w:t>
      </w:r>
      <w:r w:rsidR="00DB4129">
        <w:rPr>
          <w:rFonts w:cs="Times New Roman"/>
        </w:rPr>
        <w:t>pay</w:t>
      </w:r>
      <w:r w:rsidR="00DB4129" w:rsidRPr="00C95E03">
        <w:rPr>
          <w:rFonts w:cs="Times New Roman"/>
        </w:rPr>
        <w:t xml:space="preserve"> </w:t>
      </w:r>
      <w:r w:rsidR="00C95E03" w:rsidRPr="00C95E03">
        <w:rPr>
          <w:rFonts w:cs="Times New Roman"/>
        </w:rPr>
        <w:t>their rent, mortgage, or utility costs and that they would risk</w:t>
      </w:r>
      <w:r w:rsidR="00DB4129">
        <w:rPr>
          <w:rFonts w:cs="Times New Roman"/>
        </w:rPr>
        <w:t xml:space="preserve"> </w:t>
      </w:r>
      <w:r w:rsidR="00C95E03" w:rsidRPr="00C95E03">
        <w:rPr>
          <w:rFonts w:cs="Times New Roman"/>
        </w:rPr>
        <w:t xml:space="preserve">homelessness </w:t>
      </w:r>
      <w:r w:rsidR="00DB4129">
        <w:rPr>
          <w:rFonts w:cs="Times New Roman"/>
        </w:rPr>
        <w:t>without</w:t>
      </w:r>
      <w:r w:rsidR="00C95E03" w:rsidRPr="00C95E03">
        <w:rPr>
          <w:rFonts w:cs="Times New Roman"/>
        </w:rPr>
        <w:t xml:space="preserve"> STRMU.</w:t>
      </w:r>
      <w:r w:rsidR="00C95E03">
        <w:rPr>
          <w:rFonts w:cs="Times New Roman"/>
        </w:rPr>
        <w:t xml:space="preserve"> </w:t>
      </w:r>
      <w:r w:rsidR="001B58EA">
        <w:rPr>
          <w:rFonts w:cs="Times New Roman"/>
        </w:rPr>
        <w:t xml:space="preserve">To assess household needs, </w:t>
      </w:r>
      <w:r w:rsidR="00D26BB7">
        <w:rPr>
          <w:rFonts w:cs="Times New Roman"/>
        </w:rPr>
        <w:t>P</w:t>
      </w:r>
      <w:r w:rsidR="001B58EA">
        <w:rPr>
          <w:rFonts w:cs="Times New Roman"/>
        </w:rPr>
        <w:t>roject Sponsor</w:t>
      </w:r>
      <w:r w:rsidR="00D26BB7">
        <w:rPr>
          <w:rFonts w:cs="Times New Roman"/>
        </w:rPr>
        <w:t>s</w:t>
      </w:r>
      <w:r w:rsidR="001B58EA">
        <w:rPr>
          <w:rFonts w:cs="Times New Roman"/>
        </w:rPr>
        <w:t xml:space="preserve"> need to:</w:t>
      </w:r>
    </w:p>
    <w:p w14:paraId="1DAFC0A2" w14:textId="4027FFFE" w:rsidR="00CE2545" w:rsidRDefault="00CE2545" w:rsidP="003E6D4B">
      <w:pPr>
        <w:pStyle w:val="NoSpacing"/>
        <w:numPr>
          <w:ilvl w:val="0"/>
          <w:numId w:val="164"/>
        </w:numPr>
        <w:ind w:left="1260"/>
        <w:rPr>
          <w:rFonts w:cs="Times New Roman"/>
        </w:rPr>
      </w:pPr>
      <w:r>
        <w:rPr>
          <w:rFonts w:cs="Times New Roman"/>
        </w:rPr>
        <w:t xml:space="preserve">Verify </w:t>
      </w:r>
      <w:r w:rsidRPr="00CE2545">
        <w:rPr>
          <w:rFonts w:cs="Times New Roman"/>
        </w:rPr>
        <w:t xml:space="preserve">how the financial crisis prevents or will prevent </w:t>
      </w:r>
      <w:r>
        <w:rPr>
          <w:rFonts w:cs="Times New Roman"/>
        </w:rPr>
        <w:t>households</w:t>
      </w:r>
      <w:r w:rsidRPr="00CE2545">
        <w:rPr>
          <w:rFonts w:cs="Times New Roman"/>
        </w:rPr>
        <w:t xml:space="preserve"> from paying </w:t>
      </w:r>
      <w:r>
        <w:rPr>
          <w:rFonts w:cs="Times New Roman"/>
        </w:rPr>
        <w:t xml:space="preserve">their </w:t>
      </w:r>
      <w:r w:rsidRPr="00CE2545">
        <w:rPr>
          <w:rFonts w:cs="Times New Roman"/>
        </w:rPr>
        <w:t>housing costs</w:t>
      </w:r>
      <w:r>
        <w:rPr>
          <w:rFonts w:cs="Times New Roman"/>
        </w:rPr>
        <w:t>;</w:t>
      </w:r>
    </w:p>
    <w:p w14:paraId="7BEF528E" w14:textId="0D0897AF" w:rsidR="001B58EA" w:rsidRPr="001B58EA" w:rsidRDefault="001B58EA" w:rsidP="00DE48B8">
      <w:pPr>
        <w:pStyle w:val="NoSpacing"/>
        <w:numPr>
          <w:ilvl w:val="0"/>
          <w:numId w:val="164"/>
        </w:numPr>
        <w:ind w:left="1260"/>
        <w:rPr>
          <w:rFonts w:cs="Times New Roman"/>
        </w:rPr>
      </w:pPr>
      <w:r w:rsidRPr="001B58EA">
        <w:rPr>
          <w:rFonts w:cs="Times New Roman"/>
        </w:rPr>
        <w:t xml:space="preserve">Verify actual </w:t>
      </w:r>
      <w:r w:rsidR="005C268F">
        <w:rPr>
          <w:rFonts w:cs="Times New Roman"/>
        </w:rPr>
        <w:t xml:space="preserve">housing </w:t>
      </w:r>
      <w:r w:rsidRPr="001B58EA">
        <w:rPr>
          <w:rFonts w:cs="Times New Roman"/>
        </w:rPr>
        <w:t xml:space="preserve">costs </w:t>
      </w:r>
      <w:r w:rsidR="00D26BB7">
        <w:rPr>
          <w:rFonts w:cs="Times New Roman"/>
        </w:rPr>
        <w:t xml:space="preserve">using </w:t>
      </w:r>
      <w:r w:rsidRPr="001B58EA">
        <w:rPr>
          <w:rFonts w:cs="Times New Roman"/>
        </w:rPr>
        <w:t>lease</w:t>
      </w:r>
      <w:r w:rsidR="005C268F">
        <w:rPr>
          <w:rFonts w:cs="Times New Roman"/>
        </w:rPr>
        <w:t>s</w:t>
      </w:r>
      <w:r w:rsidRPr="001B58EA">
        <w:rPr>
          <w:rFonts w:cs="Times New Roman"/>
        </w:rPr>
        <w:t>, default or late payment notices</w:t>
      </w:r>
      <w:r w:rsidR="00D26BB7">
        <w:rPr>
          <w:rFonts w:cs="Times New Roman"/>
        </w:rPr>
        <w:t>, utility bill</w:t>
      </w:r>
      <w:r w:rsidR="005C268F">
        <w:rPr>
          <w:rFonts w:cs="Times New Roman"/>
        </w:rPr>
        <w:t>s</w:t>
      </w:r>
      <w:r w:rsidR="00D26BB7">
        <w:rPr>
          <w:rFonts w:cs="Times New Roman"/>
        </w:rPr>
        <w:t>, account ledger</w:t>
      </w:r>
      <w:r w:rsidR="005C268F">
        <w:rPr>
          <w:rFonts w:cs="Times New Roman"/>
        </w:rPr>
        <w:t>s, etc.</w:t>
      </w:r>
      <w:r w:rsidRPr="001B58EA">
        <w:rPr>
          <w:rFonts w:cs="Times New Roman"/>
        </w:rPr>
        <w:t>;</w:t>
      </w:r>
    </w:p>
    <w:p w14:paraId="3A551BA6" w14:textId="5222DBFF" w:rsidR="001B58EA" w:rsidRPr="001B58EA" w:rsidRDefault="001B58EA" w:rsidP="00DE48B8">
      <w:pPr>
        <w:pStyle w:val="NoSpacing"/>
        <w:numPr>
          <w:ilvl w:val="0"/>
          <w:numId w:val="164"/>
        </w:numPr>
        <w:ind w:left="1260"/>
        <w:rPr>
          <w:rFonts w:cs="Times New Roman"/>
        </w:rPr>
      </w:pPr>
      <w:r w:rsidRPr="001B58EA">
        <w:rPr>
          <w:rFonts w:cs="Times New Roman"/>
        </w:rPr>
        <w:t xml:space="preserve">Verify </w:t>
      </w:r>
      <w:r w:rsidR="005C268F">
        <w:rPr>
          <w:rFonts w:cs="Times New Roman"/>
        </w:rPr>
        <w:t>that household</w:t>
      </w:r>
      <w:r w:rsidR="0046310B">
        <w:rPr>
          <w:rFonts w:cs="Times New Roman"/>
        </w:rPr>
        <w:t>s</w:t>
      </w:r>
      <w:r w:rsidRPr="001B58EA">
        <w:rPr>
          <w:rFonts w:cs="Times New Roman"/>
        </w:rPr>
        <w:t xml:space="preserve"> </w:t>
      </w:r>
      <w:r w:rsidR="005C268F">
        <w:rPr>
          <w:rFonts w:cs="Times New Roman"/>
        </w:rPr>
        <w:t>lack other resources, such as income or savings, to</w:t>
      </w:r>
      <w:r w:rsidRPr="001B58EA">
        <w:rPr>
          <w:rFonts w:cs="Times New Roman"/>
        </w:rPr>
        <w:t xml:space="preserve"> address the unmet need;</w:t>
      </w:r>
      <w:r w:rsidR="00CE2545">
        <w:rPr>
          <w:rFonts w:cs="Times New Roman"/>
        </w:rPr>
        <w:t xml:space="preserve"> and</w:t>
      </w:r>
    </w:p>
    <w:p w14:paraId="2EB766A9" w14:textId="0D0AC74E" w:rsidR="00C95E03" w:rsidRPr="00CE2545" w:rsidRDefault="001B58EA" w:rsidP="00DE48B8">
      <w:pPr>
        <w:pStyle w:val="NoSpacing"/>
        <w:numPr>
          <w:ilvl w:val="6"/>
          <w:numId w:val="164"/>
        </w:numPr>
        <w:ind w:left="1260"/>
        <w:rPr>
          <w:rFonts w:cs="Times New Roman"/>
        </w:rPr>
      </w:pPr>
      <w:r w:rsidRPr="001B58EA">
        <w:rPr>
          <w:rFonts w:cs="Times New Roman"/>
        </w:rPr>
        <w:t xml:space="preserve">Verify </w:t>
      </w:r>
      <w:r w:rsidR="005C268F">
        <w:rPr>
          <w:rFonts w:cs="Times New Roman"/>
        </w:rPr>
        <w:t xml:space="preserve">that </w:t>
      </w:r>
      <w:r w:rsidR="0046310B">
        <w:rPr>
          <w:rFonts w:cs="Times New Roman"/>
        </w:rPr>
        <w:t xml:space="preserve">STRMU </w:t>
      </w:r>
      <w:r w:rsidR="00406151">
        <w:rPr>
          <w:rFonts w:cs="Times New Roman"/>
        </w:rPr>
        <w:t>services</w:t>
      </w:r>
      <w:r w:rsidRPr="001B58EA">
        <w:rPr>
          <w:rFonts w:cs="Times New Roman"/>
        </w:rPr>
        <w:t xml:space="preserve"> will </w:t>
      </w:r>
      <w:r>
        <w:rPr>
          <w:rFonts w:cs="Times New Roman"/>
        </w:rPr>
        <w:t>prevent</w:t>
      </w:r>
      <w:r w:rsidRPr="001B58EA">
        <w:rPr>
          <w:rFonts w:cs="Times New Roman"/>
        </w:rPr>
        <w:t xml:space="preserve"> evictio</w:t>
      </w:r>
      <w:r>
        <w:rPr>
          <w:rFonts w:cs="Times New Roman"/>
        </w:rPr>
        <w:t xml:space="preserve">n, foreclosure, </w:t>
      </w:r>
      <w:r w:rsidR="005C268F">
        <w:rPr>
          <w:rFonts w:cs="Times New Roman"/>
        </w:rPr>
        <w:t xml:space="preserve">or </w:t>
      </w:r>
      <w:r>
        <w:rPr>
          <w:rFonts w:cs="Times New Roman"/>
        </w:rPr>
        <w:t>shutoff</w:t>
      </w:r>
      <w:r w:rsidR="00CE2545">
        <w:rPr>
          <w:rFonts w:cs="Times New Roman"/>
        </w:rPr>
        <w:t>.</w:t>
      </w:r>
    </w:p>
    <w:p w14:paraId="6C926A2E" w14:textId="77777777" w:rsidR="00C95E03" w:rsidRPr="00C95E03" w:rsidRDefault="00C95E03">
      <w:pPr>
        <w:pStyle w:val="NoSpacing"/>
        <w:ind w:left="720"/>
        <w:rPr>
          <w:rFonts w:cs="Times New Roman"/>
        </w:rPr>
      </w:pPr>
    </w:p>
    <w:p w14:paraId="4CEA285A" w14:textId="3C2A3DED" w:rsidR="00C95E03" w:rsidRPr="00C95E03" w:rsidRDefault="00B73ACD">
      <w:pPr>
        <w:pStyle w:val="NoSpacing"/>
        <w:ind w:left="720"/>
        <w:rPr>
          <w:rFonts w:cs="Times New Roman"/>
        </w:rPr>
      </w:pPr>
      <w:r>
        <w:rPr>
          <w:rFonts w:cs="Times New Roman"/>
        </w:rPr>
        <w:t>Project Sponsors</w:t>
      </w:r>
      <w:r w:rsidR="00C95E03" w:rsidRPr="00C95E03">
        <w:rPr>
          <w:rFonts w:cs="Times New Roman"/>
        </w:rPr>
        <w:t xml:space="preserve"> should establish a reasonable basis to verify</w:t>
      </w:r>
      <w:r w:rsidR="00215966">
        <w:rPr>
          <w:rFonts w:cs="Times New Roman"/>
        </w:rPr>
        <w:t xml:space="preserve"> and quantify</w:t>
      </w:r>
      <w:r w:rsidR="00C95E03" w:rsidRPr="00C95E03">
        <w:rPr>
          <w:rFonts w:cs="Times New Roman"/>
        </w:rPr>
        <w:t xml:space="preserve"> the need for STRMU</w:t>
      </w:r>
      <w:r>
        <w:rPr>
          <w:rFonts w:cs="Times New Roman"/>
        </w:rPr>
        <w:t xml:space="preserve"> </w:t>
      </w:r>
      <w:r w:rsidR="00406151">
        <w:rPr>
          <w:rFonts w:cs="Times New Roman"/>
        </w:rPr>
        <w:t>services</w:t>
      </w:r>
      <w:r w:rsidR="00023A91">
        <w:rPr>
          <w:rFonts w:cs="Times New Roman"/>
        </w:rPr>
        <w:t>.</w:t>
      </w:r>
      <w:r w:rsidR="00EF02C6">
        <w:t xml:space="preserve"> </w:t>
      </w:r>
      <w:r w:rsidR="00C95E03" w:rsidRPr="00C95E03">
        <w:rPr>
          <w:rFonts w:cs="Times New Roman"/>
        </w:rPr>
        <w:t>Examples include:</w:t>
      </w:r>
    </w:p>
    <w:p w14:paraId="4E1ADF0F" w14:textId="17846538" w:rsidR="00C95E03" w:rsidRPr="00C95E03" w:rsidRDefault="00C95E03">
      <w:pPr>
        <w:pStyle w:val="NoSpacing"/>
        <w:numPr>
          <w:ilvl w:val="2"/>
          <w:numId w:val="14"/>
        </w:numPr>
        <w:rPr>
          <w:rFonts w:cs="Times New Roman"/>
        </w:rPr>
      </w:pPr>
      <w:r w:rsidRPr="00C95E03">
        <w:rPr>
          <w:rFonts w:cs="Times New Roman"/>
        </w:rPr>
        <w:t>A record of actual monthly bills for recurring costs, and evidence of the limited nature of household income along with limited available financial resources (i.e.</w:t>
      </w:r>
      <w:r w:rsidR="00B24C91">
        <w:rPr>
          <w:rFonts w:cs="Times New Roman"/>
        </w:rPr>
        <w:t>,</w:t>
      </w:r>
      <w:r w:rsidRPr="00C95E03">
        <w:rPr>
          <w:rFonts w:cs="Times New Roman"/>
        </w:rPr>
        <w:t xml:space="preserve"> bank account</w:t>
      </w:r>
      <w:r w:rsidR="00215966">
        <w:rPr>
          <w:rFonts w:cs="Times New Roman"/>
        </w:rPr>
        <w:t xml:space="preserve"> balances</w:t>
      </w:r>
      <w:r w:rsidRPr="00C95E03">
        <w:rPr>
          <w:rFonts w:cs="Times New Roman"/>
        </w:rPr>
        <w:t>).</w:t>
      </w:r>
    </w:p>
    <w:p w14:paraId="4E2607F5" w14:textId="0D2154A2" w:rsidR="00FF1903" w:rsidRPr="002A61C8" w:rsidRDefault="00C95E03" w:rsidP="00DE48B8">
      <w:pPr>
        <w:pStyle w:val="NoSpacing"/>
        <w:numPr>
          <w:ilvl w:val="2"/>
          <w:numId w:val="14"/>
        </w:numPr>
      </w:pPr>
      <w:r w:rsidRPr="00BC01B7">
        <w:rPr>
          <w:rFonts w:cs="Times New Roman"/>
        </w:rPr>
        <w:t xml:space="preserve">A </w:t>
      </w:r>
      <w:r w:rsidR="00EA4DED" w:rsidRPr="007D6467">
        <w:rPr>
          <w:rFonts w:cs="Times New Roman"/>
        </w:rPr>
        <w:t>h</w:t>
      </w:r>
      <w:r w:rsidR="00B24C91" w:rsidRPr="007D6467">
        <w:rPr>
          <w:rFonts w:cs="Times New Roman"/>
        </w:rPr>
        <w:t xml:space="preserve">ousing </w:t>
      </w:r>
      <w:r w:rsidR="00EA4DED" w:rsidRPr="007D6467">
        <w:rPr>
          <w:rFonts w:cs="Times New Roman"/>
        </w:rPr>
        <w:t>c</w:t>
      </w:r>
      <w:r w:rsidR="00B24C91" w:rsidRPr="007D6467">
        <w:rPr>
          <w:rFonts w:cs="Times New Roman"/>
        </w:rPr>
        <w:t xml:space="preserve">ase </w:t>
      </w:r>
      <w:r w:rsidR="00EA4DED" w:rsidRPr="007D6467">
        <w:rPr>
          <w:rFonts w:cs="Times New Roman"/>
        </w:rPr>
        <w:t>m</w:t>
      </w:r>
      <w:r w:rsidRPr="007D6467">
        <w:rPr>
          <w:rFonts w:cs="Times New Roman"/>
        </w:rPr>
        <w:t>anager</w:t>
      </w:r>
      <w:r w:rsidR="005A2088">
        <w:rPr>
          <w:rFonts w:cs="Times New Roman"/>
        </w:rPr>
        <w:t>’</w:t>
      </w:r>
      <w:r w:rsidRPr="007D6467">
        <w:rPr>
          <w:rFonts w:cs="Times New Roman"/>
        </w:rPr>
        <w:t xml:space="preserve">s assessment of </w:t>
      </w:r>
      <w:r w:rsidR="005A2088">
        <w:rPr>
          <w:rFonts w:cs="Times New Roman"/>
        </w:rPr>
        <w:t>“</w:t>
      </w:r>
      <w:r w:rsidRPr="007D6467">
        <w:rPr>
          <w:rFonts w:cs="Times New Roman"/>
        </w:rPr>
        <w:t>need</w:t>
      </w:r>
      <w:r w:rsidR="005A2088">
        <w:rPr>
          <w:rFonts w:cs="Times New Roman"/>
        </w:rPr>
        <w:t>”</w:t>
      </w:r>
      <w:r w:rsidRPr="007D6467">
        <w:rPr>
          <w:rFonts w:cs="Times New Roman"/>
        </w:rPr>
        <w:t xml:space="preserve"> which includes a variety of elements such as current, previous, and future month</w:t>
      </w:r>
      <w:r w:rsidR="005A2088">
        <w:rPr>
          <w:rFonts w:cs="Times New Roman"/>
        </w:rPr>
        <w:t>’</w:t>
      </w:r>
      <w:r w:rsidRPr="007D6467">
        <w:rPr>
          <w:rFonts w:cs="Times New Roman"/>
        </w:rPr>
        <w:t>s financial situation, employment a</w:t>
      </w:r>
      <w:r w:rsidR="00B24C91" w:rsidRPr="007D6467">
        <w:rPr>
          <w:rFonts w:cs="Times New Roman"/>
        </w:rPr>
        <w:t>nd benefits status, and HIV</w:t>
      </w:r>
      <w:r w:rsidRPr="007D6467">
        <w:rPr>
          <w:rFonts w:cs="Times New Roman"/>
        </w:rPr>
        <w:t xml:space="preserve"> health-related conditions.</w:t>
      </w:r>
    </w:p>
    <w:tbl>
      <w:tblPr>
        <w:tblW w:w="10229"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5069"/>
        <w:gridCol w:w="5160"/>
      </w:tblGrid>
      <w:tr w:rsidR="00472950" w:rsidRPr="00BD321E" w14:paraId="588ED27F" w14:textId="77777777" w:rsidTr="00066B7E">
        <w:trPr>
          <w:trHeight w:val="20"/>
        </w:trPr>
        <w:tc>
          <w:tcPr>
            <w:tcW w:w="500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tcPr>
          <w:p w14:paraId="104595C1" w14:textId="57127DB7" w:rsidR="00472950" w:rsidRPr="00BD321E" w:rsidRDefault="00472950">
            <w:pPr>
              <w:tabs>
                <w:tab w:val="center" w:pos="3795"/>
              </w:tabs>
              <w:spacing w:after="0" w:line="240" w:lineRule="auto"/>
              <w:jc w:val="center"/>
              <w:rPr>
                <w:rFonts w:cs="Times New Roman"/>
              </w:rPr>
            </w:pPr>
            <w:r w:rsidRPr="00BD321E">
              <w:rPr>
                <w:rFonts w:cs="Times New Roman"/>
                <w:b/>
              </w:rPr>
              <w:t>STRMU: Examples of Need</w:t>
            </w:r>
          </w:p>
        </w:tc>
      </w:tr>
      <w:tr w:rsidR="00472950" w:rsidRPr="00BD321E" w14:paraId="33697179" w14:textId="77777777" w:rsidTr="00066B7E">
        <w:trPr>
          <w:trHeight w:val="20"/>
        </w:trPr>
        <w:tc>
          <w:tcPr>
            <w:tcW w:w="2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6E33FA37" w14:textId="5BD1D183" w:rsidR="00472950" w:rsidRPr="00BD321E" w:rsidRDefault="00472950" w:rsidP="000E4A24">
            <w:pPr>
              <w:tabs>
                <w:tab w:val="center" w:pos="3795"/>
              </w:tabs>
              <w:spacing w:after="0" w:line="240" w:lineRule="auto"/>
              <w:rPr>
                <w:rFonts w:cs="Times New Roman"/>
                <w:b/>
              </w:rPr>
            </w:pPr>
            <w:r w:rsidRPr="00BD321E">
              <w:rPr>
                <w:rFonts w:cs="Times New Roman"/>
                <w:b/>
              </w:rPr>
              <w:t>Acceptable:</w:t>
            </w:r>
          </w:p>
        </w:tc>
        <w:tc>
          <w:tcPr>
            <w:tcW w:w="25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392DF6FF" w14:textId="3AD94039" w:rsidR="00472950" w:rsidRPr="00BD321E" w:rsidRDefault="00472950">
            <w:pPr>
              <w:tabs>
                <w:tab w:val="center" w:pos="3795"/>
              </w:tabs>
              <w:spacing w:after="0" w:line="240" w:lineRule="auto"/>
              <w:rPr>
                <w:rFonts w:cs="Times New Roman"/>
                <w:b/>
              </w:rPr>
            </w:pPr>
            <w:r w:rsidRPr="00BD321E">
              <w:rPr>
                <w:rFonts w:cs="Times New Roman"/>
                <w:b/>
              </w:rPr>
              <w:t>Unacceptable:</w:t>
            </w:r>
          </w:p>
        </w:tc>
      </w:tr>
      <w:tr w:rsidR="00472950" w:rsidRPr="00BD321E" w14:paraId="3B73D635" w14:textId="77777777" w:rsidTr="00066B7E">
        <w:trPr>
          <w:trHeight w:val="20"/>
        </w:trPr>
        <w:tc>
          <w:tcPr>
            <w:tcW w:w="2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tcPr>
          <w:p w14:paraId="0A517557" w14:textId="1D6905E3" w:rsidR="00472950" w:rsidRPr="00BD321E" w:rsidRDefault="00472950" w:rsidP="000E4A24">
            <w:pPr>
              <w:pStyle w:val="ListParagraph"/>
              <w:numPr>
                <w:ilvl w:val="0"/>
                <w:numId w:val="6"/>
              </w:numPr>
              <w:autoSpaceDE w:val="0"/>
              <w:autoSpaceDN w:val="0"/>
              <w:adjustRightInd w:val="0"/>
              <w:spacing w:after="0" w:line="240" w:lineRule="auto"/>
              <w:ind w:left="330"/>
              <w:rPr>
                <w:rFonts w:cs="TimesNewRomanPSMT"/>
                <w:color w:val="000000"/>
              </w:rPr>
            </w:pPr>
            <w:r w:rsidRPr="00BD321E">
              <w:rPr>
                <w:rFonts w:cs="TimesNewRomanPSMT"/>
                <w:color w:val="000000"/>
              </w:rPr>
              <w:t>Household experiences a sudden loss of income due to changes in health</w:t>
            </w:r>
          </w:p>
          <w:p w14:paraId="720F3AB5" w14:textId="6924F51D" w:rsidR="00472950" w:rsidRPr="00BD321E" w:rsidRDefault="00472950">
            <w:pPr>
              <w:pStyle w:val="ListParagraph"/>
              <w:numPr>
                <w:ilvl w:val="0"/>
                <w:numId w:val="6"/>
              </w:numPr>
              <w:autoSpaceDE w:val="0"/>
              <w:autoSpaceDN w:val="0"/>
              <w:adjustRightInd w:val="0"/>
              <w:spacing w:after="0" w:line="240" w:lineRule="auto"/>
              <w:ind w:left="330"/>
              <w:rPr>
                <w:rFonts w:cs="TimesNewRomanPSMT"/>
                <w:color w:val="000000"/>
              </w:rPr>
            </w:pPr>
            <w:r w:rsidRPr="00BD321E">
              <w:rPr>
                <w:rFonts w:cs="TimesNewRomanPSMT"/>
                <w:color w:val="000000"/>
              </w:rPr>
              <w:t>Household has lost employment</w:t>
            </w:r>
          </w:p>
          <w:p w14:paraId="4D4C231F" w14:textId="69F17F58" w:rsidR="00472950" w:rsidRPr="00BD321E" w:rsidRDefault="00472950">
            <w:pPr>
              <w:pStyle w:val="ListParagraph"/>
              <w:numPr>
                <w:ilvl w:val="0"/>
                <w:numId w:val="6"/>
              </w:numPr>
              <w:autoSpaceDE w:val="0"/>
              <w:autoSpaceDN w:val="0"/>
              <w:adjustRightInd w:val="0"/>
              <w:spacing w:after="0" w:line="240" w:lineRule="auto"/>
              <w:ind w:left="330"/>
              <w:rPr>
                <w:rFonts w:cs="TimesNewRomanPSMT"/>
                <w:color w:val="000000"/>
              </w:rPr>
            </w:pPr>
            <w:r w:rsidRPr="00BD321E">
              <w:rPr>
                <w:rFonts w:cs="TimesNewRomanPSMT"/>
                <w:color w:val="000000"/>
              </w:rPr>
              <w:t>Household loses a source of income when household composition changes</w:t>
            </w:r>
          </w:p>
          <w:p w14:paraId="4D77AD1C" w14:textId="21F6212B" w:rsidR="00472950" w:rsidRPr="00BD321E" w:rsidRDefault="00472950">
            <w:pPr>
              <w:pStyle w:val="ListParagraph"/>
              <w:numPr>
                <w:ilvl w:val="0"/>
                <w:numId w:val="6"/>
              </w:numPr>
              <w:spacing w:after="0" w:line="240" w:lineRule="auto"/>
              <w:ind w:left="330"/>
              <w:rPr>
                <w:rFonts w:cs="Times New Roman"/>
              </w:rPr>
            </w:pPr>
            <w:r w:rsidRPr="00BD321E">
              <w:rPr>
                <w:rFonts w:cs="TimesNewRomanPSMT"/>
                <w:color w:val="000000"/>
              </w:rPr>
              <w:t>Household faces extraordinary and unexpected out of pocket health care costs</w:t>
            </w:r>
          </w:p>
        </w:tc>
        <w:tc>
          <w:tcPr>
            <w:tcW w:w="25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tcPr>
          <w:p w14:paraId="0DEFBAAC" w14:textId="7A6B76C7" w:rsidR="00472950" w:rsidRPr="00BD321E" w:rsidRDefault="0082659C">
            <w:pPr>
              <w:pStyle w:val="ListParagraph"/>
              <w:numPr>
                <w:ilvl w:val="0"/>
                <w:numId w:val="7"/>
              </w:numPr>
              <w:autoSpaceDE w:val="0"/>
              <w:autoSpaceDN w:val="0"/>
              <w:adjustRightInd w:val="0"/>
              <w:spacing w:after="0" w:line="240" w:lineRule="auto"/>
              <w:ind w:left="330"/>
              <w:rPr>
                <w:rFonts w:cs="TimesNewRomanPSMT"/>
                <w:color w:val="000000"/>
              </w:rPr>
            </w:pPr>
            <w:r w:rsidRPr="00BD321E">
              <w:rPr>
                <w:rFonts w:cs="TimesNewRomanPSMT"/>
                <w:color w:val="000000"/>
              </w:rPr>
              <w:t xml:space="preserve">Credit card debt for expenditures of a personal nature such as </w:t>
            </w:r>
            <w:r>
              <w:rPr>
                <w:rFonts w:cs="TimesNewRomanPSMT"/>
                <w:color w:val="000000"/>
              </w:rPr>
              <w:t xml:space="preserve">vacations, holiday gifts, home </w:t>
            </w:r>
            <w:r w:rsidRPr="00BD321E">
              <w:rPr>
                <w:rFonts w:cs="TimesNewRomanPSMT"/>
                <w:color w:val="000000"/>
              </w:rPr>
              <w:t>furnishings, personal grooming, pets etc.</w:t>
            </w:r>
          </w:p>
          <w:p w14:paraId="40D90451" w14:textId="51D106BF" w:rsidR="00472950" w:rsidRPr="00BD321E" w:rsidRDefault="00472950">
            <w:pPr>
              <w:pStyle w:val="ListParagraph"/>
              <w:numPr>
                <w:ilvl w:val="0"/>
                <w:numId w:val="7"/>
              </w:numPr>
              <w:autoSpaceDE w:val="0"/>
              <w:autoSpaceDN w:val="0"/>
              <w:adjustRightInd w:val="0"/>
              <w:spacing w:after="0" w:line="240" w:lineRule="auto"/>
              <w:ind w:left="330"/>
              <w:rPr>
                <w:rFonts w:cs="TimesNewRomanPSMT"/>
                <w:color w:val="000000"/>
              </w:rPr>
            </w:pPr>
            <w:r w:rsidRPr="00BD321E">
              <w:rPr>
                <w:rFonts w:cs="TimesNewRomanPSMT"/>
                <w:color w:val="000000"/>
              </w:rPr>
              <w:t>Automobile repairs or payments (unless essential for regular employment or full-time education, and where public transportation is inadequate)</w:t>
            </w:r>
          </w:p>
          <w:p w14:paraId="60877B3B" w14:textId="21C67D61" w:rsidR="00472950" w:rsidRPr="00BD321E" w:rsidRDefault="00472950">
            <w:pPr>
              <w:pStyle w:val="ListParagraph"/>
              <w:numPr>
                <w:ilvl w:val="0"/>
                <w:numId w:val="7"/>
              </w:numPr>
              <w:autoSpaceDE w:val="0"/>
              <w:autoSpaceDN w:val="0"/>
              <w:adjustRightInd w:val="0"/>
              <w:spacing w:after="0" w:line="240" w:lineRule="auto"/>
              <w:ind w:left="330"/>
              <w:rPr>
                <w:rFonts w:cs="TimesNewRomanPSMT"/>
                <w:color w:val="000000"/>
              </w:rPr>
            </w:pPr>
            <w:r w:rsidRPr="00BD321E">
              <w:rPr>
                <w:rFonts w:cs="TimesNewRomanPSMT"/>
                <w:color w:val="000000"/>
              </w:rPr>
              <w:t>Payment of child support or alimony</w:t>
            </w:r>
          </w:p>
          <w:p w14:paraId="488F5E2D" w14:textId="519E3E1C" w:rsidR="00472950" w:rsidRPr="00BD321E" w:rsidRDefault="00472950">
            <w:pPr>
              <w:pStyle w:val="ListParagraph"/>
              <w:numPr>
                <w:ilvl w:val="0"/>
                <w:numId w:val="7"/>
              </w:numPr>
              <w:autoSpaceDE w:val="0"/>
              <w:autoSpaceDN w:val="0"/>
              <w:adjustRightInd w:val="0"/>
              <w:spacing w:after="0" w:line="240" w:lineRule="auto"/>
              <w:ind w:left="330"/>
              <w:rPr>
                <w:rFonts w:cs="TimesNewRomanPSMT"/>
                <w:color w:val="000000"/>
              </w:rPr>
            </w:pPr>
            <w:r w:rsidRPr="00BD321E">
              <w:rPr>
                <w:rFonts w:cs="TimesNewRomanPSMT"/>
                <w:color w:val="000000"/>
              </w:rPr>
              <w:t>Payment of telephone, cell phone, or internet bill</w:t>
            </w:r>
          </w:p>
          <w:p w14:paraId="3F1CB2B9" w14:textId="16254AC2" w:rsidR="00472950" w:rsidRPr="00BD321E" w:rsidRDefault="00472950">
            <w:pPr>
              <w:pStyle w:val="ListParagraph"/>
              <w:numPr>
                <w:ilvl w:val="0"/>
                <w:numId w:val="7"/>
              </w:numPr>
              <w:autoSpaceDE w:val="0"/>
              <w:autoSpaceDN w:val="0"/>
              <w:adjustRightInd w:val="0"/>
              <w:spacing w:after="0" w:line="240" w:lineRule="auto"/>
              <w:ind w:left="330"/>
              <w:rPr>
                <w:rFonts w:cs="TimesNewRomanPSMT"/>
                <w:color w:val="000000"/>
              </w:rPr>
            </w:pPr>
            <w:r w:rsidRPr="00BD321E">
              <w:rPr>
                <w:rFonts w:cs="TimesNewRomanPSMT"/>
                <w:color w:val="000000"/>
              </w:rPr>
              <w:t>Payment of tickets, fines, or restitution</w:t>
            </w:r>
          </w:p>
          <w:p w14:paraId="0338F74C" w14:textId="0F468385" w:rsidR="00472950" w:rsidRPr="00BD321E" w:rsidRDefault="00472950">
            <w:pPr>
              <w:pStyle w:val="ListParagraph"/>
              <w:numPr>
                <w:ilvl w:val="0"/>
                <w:numId w:val="7"/>
              </w:numPr>
              <w:spacing w:after="0" w:line="240" w:lineRule="auto"/>
              <w:ind w:left="330"/>
              <w:rPr>
                <w:rFonts w:cs="Times New Roman"/>
              </w:rPr>
            </w:pPr>
            <w:r w:rsidRPr="00BD321E">
              <w:rPr>
                <w:rFonts w:cs="TimesNewRomanPSMT"/>
                <w:color w:val="000000"/>
              </w:rPr>
              <w:t>Payment of personal loans or other financial obligations, other than rent, mortgage, or utilities</w:t>
            </w:r>
          </w:p>
        </w:tc>
      </w:tr>
      <w:tr w:rsidR="00BD321E" w:rsidRPr="00BD321E" w14:paraId="4AE8CB89" w14:textId="77777777" w:rsidTr="00066B7E">
        <w:trPr>
          <w:trHeight w:val="20"/>
        </w:trPr>
        <w:tc>
          <w:tcPr>
            <w:tcW w:w="500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tcPr>
          <w:p w14:paraId="302307A3" w14:textId="302B4543" w:rsidR="00BD321E" w:rsidRPr="00BD321E" w:rsidRDefault="00BD321E" w:rsidP="000E4A24">
            <w:pPr>
              <w:autoSpaceDE w:val="0"/>
              <w:autoSpaceDN w:val="0"/>
              <w:adjustRightInd w:val="0"/>
              <w:spacing w:after="0" w:line="240" w:lineRule="auto"/>
              <w:rPr>
                <w:rFonts w:cs="TimesNewRomanPSMT"/>
                <w:color w:val="000000"/>
              </w:rPr>
            </w:pPr>
            <w:r w:rsidRPr="00BD321E">
              <w:rPr>
                <w:rFonts w:cs="TimesNewRomanPSMT"/>
                <w:b/>
                <w:color w:val="C00000"/>
              </w:rPr>
              <w:t>NOTE:</w:t>
            </w:r>
            <w:r w:rsidRPr="00BD321E">
              <w:rPr>
                <w:rFonts w:cs="TimesNewRomanPSMT"/>
                <w:color w:val="C00000"/>
              </w:rPr>
              <w:t xml:space="preserve"> This is a non-exhaustive list.</w:t>
            </w:r>
          </w:p>
        </w:tc>
      </w:tr>
    </w:tbl>
    <w:p w14:paraId="1C1B0D98" w14:textId="77777777" w:rsidR="001717BA" w:rsidRDefault="001717BA" w:rsidP="000E4A24">
      <w:pPr>
        <w:pStyle w:val="NoSpacing"/>
        <w:ind w:left="720"/>
        <w:rPr>
          <w:rFonts w:cs="Times New Roman"/>
        </w:rPr>
      </w:pPr>
    </w:p>
    <w:p w14:paraId="3ABA92C8" w14:textId="56B2D72F" w:rsidR="00342042" w:rsidRDefault="00D823A6">
      <w:pPr>
        <w:pStyle w:val="NoSpacing"/>
        <w:ind w:left="720"/>
        <w:rPr>
          <w:rFonts w:cs="Times New Roman"/>
        </w:rPr>
      </w:pPr>
      <w:r>
        <w:rPr>
          <w:rFonts w:cs="Times New Roman"/>
        </w:rPr>
        <w:t>While Project Sponsors may use</w:t>
      </w:r>
      <w:r w:rsidRPr="00D823A6">
        <w:rPr>
          <w:rFonts w:cs="Times New Roman"/>
        </w:rPr>
        <w:t xml:space="preserve"> default or late payment</w:t>
      </w:r>
      <w:r>
        <w:rPr>
          <w:rFonts w:cs="Times New Roman"/>
        </w:rPr>
        <w:t xml:space="preserve"> notice</w:t>
      </w:r>
      <w:r w:rsidR="00E0578F">
        <w:rPr>
          <w:rFonts w:cs="Times New Roman"/>
        </w:rPr>
        <w:t>s</w:t>
      </w:r>
      <w:r>
        <w:rPr>
          <w:rFonts w:cs="Times New Roman"/>
        </w:rPr>
        <w:t xml:space="preserve"> to demonstrate housing need, STRMU </w:t>
      </w:r>
      <w:r w:rsidR="00406151">
        <w:rPr>
          <w:rFonts w:cs="Times New Roman"/>
        </w:rPr>
        <w:t>services</w:t>
      </w:r>
      <w:r>
        <w:rPr>
          <w:rFonts w:cs="Times New Roman"/>
        </w:rPr>
        <w:t xml:space="preserve"> do not require such documentation</w:t>
      </w:r>
      <w:r w:rsidR="00C95E03" w:rsidRPr="00C95E03">
        <w:rPr>
          <w:rFonts w:cs="Times New Roman"/>
        </w:rPr>
        <w:t xml:space="preserve">. Other ways to verify need and amounts owed include </w:t>
      </w:r>
      <w:r w:rsidR="00BF709D">
        <w:rPr>
          <w:rFonts w:cs="Times New Roman"/>
        </w:rPr>
        <w:t>documenting</w:t>
      </w:r>
      <w:r w:rsidR="00BF709D" w:rsidRPr="00C95E03">
        <w:rPr>
          <w:rFonts w:cs="Times New Roman"/>
        </w:rPr>
        <w:t xml:space="preserve"> </w:t>
      </w:r>
      <w:r w:rsidR="00BF709D">
        <w:rPr>
          <w:rFonts w:cs="Times New Roman"/>
        </w:rPr>
        <w:t xml:space="preserve">rent, </w:t>
      </w:r>
      <w:r w:rsidR="00BF709D">
        <w:rPr>
          <w:rFonts w:cs="Times New Roman"/>
        </w:rPr>
        <w:lastRenderedPageBreak/>
        <w:t>mortgage, or utility</w:t>
      </w:r>
      <w:r w:rsidR="00C95E03" w:rsidRPr="00C95E03">
        <w:rPr>
          <w:rFonts w:cs="Times New Roman"/>
        </w:rPr>
        <w:t xml:space="preserve"> payments due</w:t>
      </w:r>
      <w:r w:rsidR="00BF709D">
        <w:rPr>
          <w:rFonts w:cs="Times New Roman"/>
        </w:rPr>
        <w:t xml:space="preserve"> and </w:t>
      </w:r>
      <w:r w:rsidR="00C95E03" w:rsidRPr="00C95E03">
        <w:rPr>
          <w:rFonts w:cs="Times New Roman"/>
        </w:rPr>
        <w:t>call</w:t>
      </w:r>
      <w:r w:rsidR="00BF709D">
        <w:rPr>
          <w:rFonts w:cs="Times New Roman"/>
        </w:rPr>
        <w:t>ing</w:t>
      </w:r>
      <w:r w:rsidR="00C95E03" w:rsidRPr="00C95E03">
        <w:rPr>
          <w:rFonts w:cs="Times New Roman"/>
        </w:rPr>
        <w:t xml:space="preserve"> the </w:t>
      </w:r>
      <w:r w:rsidR="00BF709D">
        <w:rPr>
          <w:rFonts w:cs="Times New Roman"/>
        </w:rPr>
        <w:t>owner, lender, or utility company</w:t>
      </w:r>
      <w:r w:rsidR="00C95E03" w:rsidRPr="00C95E03">
        <w:rPr>
          <w:rFonts w:cs="Times New Roman"/>
        </w:rPr>
        <w:t xml:space="preserve"> </w:t>
      </w:r>
      <w:r w:rsidR="00BF709D">
        <w:rPr>
          <w:rFonts w:cs="Times New Roman"/>
        </w:rPr>
        <w:t xml:space="preserve">before they issue </w:t>
      </w:r>
      <w:r w:rsidR="00E0578F">
        <w:rPr>
          <w:rFonts w:cs="Times New Roman"/>
        </w:rPr>
        <w:t>default or</w:t>
      </w:r>
      <w:r w:rsidR="00BF709D">
        <w:rPr>
          <w:rFonts w:cs="Times New Roman"/>
        </w:rPr>
        <w:t xml:space="preserve"> late payment notice</w:t>
      </w:r>
      <w:r w:rsidR="00E0578F">
        <w:rPr>
          <w:rFonts w:cs="Times New Roman"/>
        </w:rPr>
        <w:t>s</w:t>
      </w:r>
      <w:r w:rsidR="00C95E03" w:rsidRPr="00C95E03">
        <w:rPr>
          <w:rFonts w:cs="Times New Roman"/>
        </w:rPr>
        <w:t xml:space="preserve">, which could potentially help avoid </w:t>
      </w:r>
      <w:r w:rsidR="00E0578F">
        <w:rPr>
          <w:rFonts w:cs="Times New Roman"/>
        </w:rPr>
        <w:t>or reduce</w:t>
      </w:r>
      <w:r w:rsidR="00E0578F" w:rsidRPr="00C95E03">
        <w:rPr>
          <w:rFonts w:cs="Times New Roman"/>
        </w:rPr>
        <w:t xml:space="preserve"> </w:t>
      </w:r>
      <w:r w:rsidR="00C95E03" w:rsidRPr="00C95E03">
        <w:rPr>
          <w:rFonts w:cs="Times New Roman"/>
        </w:rPr>
        <w:t>late fees.</w:t>
      </w:r>
    </w:p>
    <w:p w14:paraId="0081F52A" w14:textId="6B6FCE45" w:rsidR="00EF02C6" w:rsidRDefault="00EF02C6">
      <w:pPr>
        <w:pStyle w:val="NoSpacing"/>
        <w:ind w:left="720"/>
        <w:rPr>
          <w:rFonts w:cs="Times New Roman"/>
          <w:color w:val="C00000"/>
        </w:rPr>
      </w:pPr>
      <w:r w:rsidRPr="00EF02C6">
        <w:rPr>
          <w:rFonts w:cs="Times New Roman"/>
          <w:b/>
          <w:color w:val="C00000"/>
        </w:rPr>
        <w:t>NOTE:</w:t>
      </w:r>
      <w:r w:rsidRPr="00EF02C6">
        <w:rPr>
          <w:rFonts w:cs="Times New Roman"/>
          <w:color w:val="C00000"/>
        </w:rPr>
        <w:t xml:space="preserve"> Each request for STRMU </w:t>
      </w:r>
      <w:r w:rsidR="00406151">
        <w:rPr>
          <w:rFonts w:cs="Times New Roman"/>
          <w:color w:val="C00000"/>
        </w:rPr>
        <w:t>services</w:t>
      </w:r>
      <w:r w:rsidR="00406151" w:rsidRPr="00EF02C6">
        <w:rPr>
          <w:rFonts w:cs="Times New Roman"/>
          <w:color w:val="C00000"/>
        </w:rPr>
        <w:t xml:space="preserve"> </w:t>
      </w:r>
      <w:r w:rsidR="00CE2545">
        <w:rPr>
          <w:rFonts w:cs="Times New Roman"/>
          <w:color w:val="C00000"/>
        </w:rPr>
        <w:t>requires adequate justification</w:t>
      </w:r>
      <w:r w:rsidRPr="00EF02C6">
        <w:rPr>
          <w:rFonts w:cs="Times New Roman"/>
          <w:color w:val="C00000"/>
        </w:rPr>
        <w:t>.</w:t>
      </w:r>
    </w:p>
    <w:p w14:paraId="1F7BE044" w14:textId="77777777" w:rsidR="004C546D" w:rsidRPr="002A61C8" w:rsidRDefault="004C546D">
      <w:pPr>
        <w:pStyle w:val="NoSpacing"/>
        <w:ind w:left="720"/>
        <w:rPr>
          <w:rFonts w:cs="Times New Roman"/>
        </w:rPr>
      </w:pPr>
    </w:p>
    <w:p w14:paraId="3D6248EF" w14:textId="44A9C501" w:rsidR="006879FE" w:rsidRPr="001B2577" w:rsidRDefault="00380FE8">
      <w:pPr>
        <w:pStyle w:val="NoSpacing"/>
        <w:numPr>
          <w:ilvl w:val="1"/>
          <w:numId w:val="14"/>
        </w:numPr>
        <w:rPr>
          <w:rFonts w:cs="Times New Roman"/>
          <w:b/>
          <w:u w:val="single"/>
        </w:rPr>
      </w:pPr>
      <w:r w:rsidRPr="001B2577">
        <w:rPr>
          <w:rFonts w:cs="Times New Roman"/>
          <w:b/>
          <w:u w:val="single"/>
        </w:rPr>
        <w:t>STRMU Caps</w:t>
      </w:r>
    </w:p>
    <w:p w14:paraId="118A1949" w14:textId="12466E40" w:rsidR="00380FE8" w:rsidRDefault="00380FE8">
      <w:pPr>
        <w:pStyle w:val="NoSpacing"/>
        <w:ind w:left="720"/>
        <w:rPr>
          <w:rFonts w:cs="Times New Roman"/>
        </w:rPr>
      </w:pPr>
      <w:r w:rsidRPr="00380FE8">
        <w:rPr>
          <w:rFonts w:cs="Times New Roman"/>
        </w:rPr>
        <w:t xml:space="preserve">Project Sponsors may choose to implement </w:t>
      </w:r>
      <w:r w:rsidR="00C31010">
        <w:rPr>
          <w:rFonts w:cs="Times New Roman"/>
        </w:rPr>
        <w:t>a</w:t>
      </w:r>
      <w:r w:rsidR="00B21851" w:rsidRPr="00B21851">
        <w:rPr>
          <w:rFonts w:cs="Times New Roman"/>
        </w:rPr>
        <w:t xml:space="preserve">nnual STRMU </w:t>
      </w:r>
      <w:r w:rsidR="00C31010">
        <w:rPr>
          <w:rFonts w:cs="Times New Roman"/>
        </w:rPr>
        <w:t>p</w:t>
      </w:r>
      <w:r w:rsidR="00C4028F">
        <w:rPr>
          <w:rFonts w:cs="Times New Roman"/>
        </w:rPr>
        <w:t>ayment and/</w:t>
      </w:r>
      <w:r w:rsidR="00B21851" w:rsidRPr="00B21851">
        <w:rPr>
          <w:rFonts w:cs="Times New Roman"/>
        </w:rPr>
        <w:t xml:space="preserve">or </w:t>
      </w:r>
      <w:r w:rsidR="00C31010">
        <w:rPr>
          <w:rFonts w:cs="Times New Roman"/>
        </w:rPr>
        <w:t>t</w:t>
      </w:r>
      <w:r w:rsidR="00B21851" w:rsidRPr="00B21851">
        <w:rPr>
          <w:rFonts w:cs="Times New Roman"/>
        </w:rPr>
        <w:t xml:space="preserve">ime </w:t>
      </w:r>
      <w:r w:rsidR="00C31010">
        <w:rPr>
          <w:rFonts w:cs="Times New Roman"/>
        </w:rPr>
        <w:t>c</w:t>
      </w:r>
      <w:r w:rsidR="00B21851" w:rsidRPr="00B21851">
        <w:rPr>
          <w:rFonts w:cs="Times New Roman"/>
        </w:rPr>
        <w:t>ap</w:t>
      </w:r>
      <w:r w:rsidRPr="00380FE8">
        <w:rPr>
          <w:rFonts w:cs="Times New Roman"/>
        </w:rPr>
        <w:t>s as needed based on availability of HOPWA funds, clients’ needs, and waitlists.</w:t>
      </w:r>
      <w:r w:rsidR="00AA523A">
        <w:rPr>
          <w:rFonts w:cs="Times New Roman"/>
        </w:rPr>
        <w:t xml:space="preserve"> The </w:t>
      </w:r>
      <w:r w:rsidR="00C31010">
        <w:rPr>
          <w:rFonts w:cs="Times New Roman"/>
        </w:rPr>
        <w:t>p</w:t>
      </w:r>
      <w:r w:rsidR="00C4028F">
        <w:rPr>
          <w:rFonts w:cs="Times New Roman"/>
        </w:rPr>
        <w:t xml:space="preserve">ayment </w:t>
      </w:r>
      <w:r w:rsidR="00C31010">
        <w:rPr>
          <w:rFonts w:cs="Times New Roman"/>
        </w:rPr>
        <w:t>c</w:t>
      </w:r>
      <w:r w:rsidR="00C4028F">
        <w:rPr>
          <w:rFonts w:cs="Times New Roman"/>
        </w:rPr>
        <w:t>ap</w:t>
      </w:r>
      <w:r w:rsidR="00AA523A">
        <w:rPr>
          <w:rFonts w:cs="Times New Roman"/>
        </w:rPr>
        <w:t xml:space="preserve"> </w:t>
      </w:r>
      <w:r w:rsidR="002C4AB5">
        <w:rPr>
          <w:rFonts w:cs="Times New Roman"/>
        </w:rPr>
        <w:t>means</w:t>
      </w:r>
      <w:r w:rsidR="00AA523A">
        <w:rPr>
          <w:rFonts w:cs="Times New Roman"/>
        </w:rPr>
        <w:t xml:space="preserve"> a specific dollar limit and the </w:t>
      </w:r>
      <w:r w:rsidR="00C31010">
        <w:rPr>
          <w:rFonts w:cs="Times New Roman"/>
        </w:rPr>
        <w:t>t</w:t>
      </w:r>
      <w:r w:rsidR="00AA523A">
        <w:rPr>
          <w:rFonts w:cs="Times New Roman"/>
        </w:rPr>
        <w:t xml:space="preserve">ime </w:t>
      </w:r>
      <w:r w:rsidR="00C31010">
        <w:rPr>
          <w:rFonts w:cs="Times New Roman"/>
        </w:rPr>
        <w:t>c</w:t>
      </w:r>
      <w:r w:rsidR="00AA523A">
        <w:rPr>
          <w:rFonts w:cs="Times New Roman"/>
        </w:rPr>
        <w:t xml:space="preserve">ap </w:t>
      </w:r>
      <w:r w:rsidR="002C4AB5">
        <w:rPr>
          <w:rFonts w:cs="Times New Roman"/>
        </w:rPr>
        <w:t>means</w:t>
      </w:r>
      <w:r w:rsidR="00AA523A">
        <w:rPr>
          <w:rFonts w:cs="Times New Roman"/>
        </w:rPr>
        <w:t xml:space="preserve"> a specific </w:t>
      </w:r>
      <w:r w:rsidR="00C4028F">
        <w:rPr>
          <w:rFonts w:cs="Times New Roman"/>
        </w:rPr>
        <w:t xml:space="preserve">alternate </w:t>
      </w:r>
      <w:r w:rsidR="00AA523A">
        <w:rPr>
          <w:rFonts w:cs="Times New Roman"/>
        </w:rPr>
        <w:t>number of days.</w:t>
      </w:r>
      <w:r w:rsidRPr="00380FE8">
        <w:rPr>
          <w:rFonts w:cs="Times New Roman"/>
        </w:rPr>
        <w:t xml:space="preserve"> </w:t>
      </w:r>
      <w:r w:rsidR="00B21851" w:rsidRPr="00B21851">
        <w:rPr>
          <w:rFonts w:cs="Times New Roman"/>
        </w:rPr>
        <w:t xml:space="preserve">Project Sponsors must collaborate with </w:t>
      </w:r>
      <w:r w:rsidR="00570DA0">
        <w:rPr>
          <w:rFonts w:cs="Times New Roman"/>
        </w:rPr>
        <w:t>their AA</w:t>
      </w:r>
      <w:r w:rsidR="00B21851" w:rsidRPr="00B21851">
        <w:rPr>
          <w:rFonts w:cs="Times New Roman"/>
        </w:rPr>
        <w:t xml:space="preserve"> to develop </w:t>
      </w:r>
      <w:r w:rsidR="00D17031">
        <w:rPr>
          <w:rFonts w:cs="Times New Roman"/>
        </w:rPr>
        <w:t xml:space="preserve">a </w:t>
      </w:r>
      <w:r w:rsidR="0087515C">
        <w:rPr>
          <w:rFonts w:cs="Times New Roman"/>
        </w:rPr>
        <w:t xml:space="preserve">STRMU </w:t>
      </w:r>
      <w:r w:rsidR="00C31010">
        <w:rPr>
          <w:rFonts w:cs="Times New Roman"/>
        </w:rPr>
        <w:t>c</w:t>
      </w:r>
      <w:r w:rsidR="00B21851">
        <w:rPr>
          <w:rFonts w:cs="Times New Roman"/>
        </w:rPr>
        <w:t>ap</w:t>
      </w:r>
      <w:r w:rsidR="00B21851" w:rsidRPr="00B21851">
        <w:rPr>
          <w:rFonts w:cs="Times New Roman"/>
        </w:rPr>
        <w:t xml:space="preserve"> </w:t>
      </w:r>
      <w:r w:rsidR="00D17031">
        <w:rPr>
          <w:rFonts w:cs="Times New Roman"/>
        </w:rPr>
        <w:t>policy</w:t>
      </w:r>
      <w:r w:rsidR="00B21851">
        <w:rPr>
          <w:rFonts w:cs="Times New Roman"/>
        </w:rPr>
        <w:t>.</w:t>
      </w:r>
      <w:r w:rsidR="00B21851" w:rsidRPr="00B21851">
        <w:rPr>
          <w:rFonts w:cs="Times New Roman"/>
        </w:rPr>
        <w:t xml:space="preserve"> </w:t>
      </w:r>
      <w:r w:rsidRPr="00380FE8">
        <w:rPr>
          <w:rFonts w:cs="Times New Roman"/>
        </w:rPr>
        <w:t xml:space="preserve">Project Sponsors </w:t>
      </w:r>
      <w:r w:rsidR="00B21851">
        <w:rPr>
          <w:rFonts w:cs="Times New Roman"/>
        </w:rPr>
        <w:t xml:space="preserve">must </w:t>
      </w:r>
      <w:r w:rsidRPr="00380FE8">
        <w:rPr>
          <w:rFonts w:cs="Times New Roman"/>
        </w:rPr>
        <w:t xml:space="preserve">apply the </w:t>
      </w:r>
      <w:r w:rsidR="00C31010">
        <w:rPr>
          <w:rFonts w:cs="Times New Roman"/>
        </w:rPr>
        <w:t>c</w:t>
      </w:r>
      <w:r w:rsidRPr="00380FE8">
        <w:rPr>
          <w:rFonts w:cs="Times New Roman"/>
        </w:rPr>
        <w:t xml:space="preserve">ap in a uniform, consistent, and non-discriminatory manner. If </w:t>
      </w:r>
      <w:r w:rsidR="00B300DF">
        <w:rPr>
          <w:rFonts w:cs="Times New Roman"/>
        </w:rPr>
        <w:t>a Project Sponsor establishes a cap</w:t>
      </w:r>
      <w:r w:rsidRPr="00380FE8">
        <w:rPr>
          <w:rFonts w:cs="Times New Roman"/>
        </w:rPr>
        <w:t xml:space="preserve">, </w:t>
      </w:r>
      <w:r w:rsidR="00570DA0">
        <w:rPr>
          <w:rFonts w:cs="Times New Roman"/>
        </w:rPr>
        <w:t>their AA</w:t>
      </w:r>
      <w:r w:rsidR="00A95162">
        <w:rPr>
          <w:rFonts w:cs="Times New Roman"/>
        </w:rPr>
        <w:t xml:space="preserve"> must approve it</w:t>
      </w:r>
      <w:r w:rsidRPr="00380FE8">
        <w:rPr>
          <w:rFonts w:cs="Times New Roman"/>
        </w:rPr>
        <w:t xml:space="preserve"> and </w:t>
      </w:r>
      <w:r w:rsidR="00A95162">
        <w:rPr>
          <w:rFonts w:cs="Times New Roman"/>
        </w:rPr>
        <w:t xml:space="preserve">it must </w:t>
      </w:r>
      <w:r w:rsidRPr="00380FE8">
        <w:rPr>
          <w:rFonts w:cs="Times New Roman"/>
        </w:rPr>
        <w:t xml:space="preserve">comply with the DSHS </w:t>
      </w:r>
      <w:r w:rsidR="00C31010">
        <w:rPr>
          <w:rFonts w:cs="Times New Roman"/>
        </w:rPr>
        <w:t>a</w:t>
      </w:r>
      <w:r w:rsidRPr="00380FE8">
        <w:rPr>
          <w:rFonts w:cs="Times New Roman"/>
        </w:rPr>
        <w:t xml:space="preserve">nnual STRMU </w:t>
      </w:r>
      <w:r w:rsidR="00C31010">
        <w:rPr>
          <w:rFonts w:cs="Times New Roman"/>
        </w:rPr>
        <w:t>c</w:t>
      </w:r>
      <w:r w:rsidRPr="00380FE8">
        <w:rPr>
          <w:rFonts w:cs="Times New Roman"/>
        </w:rPr>
        <w:t>ap</w:t>
      </w:r>
      <w:r w:rsidR="005A2088" w:rsidRPr="00380FE8">
        <w:rPr>
          <w:rFonts w:cs="Times New Roman"/>
        </w:rPr>
        <w:t xml:space="preserve"> </w:t>
      </w:r>
      <w:r w:rsidRPr="00380FE8">
        <w:rPr>
          <w:rFonts w:cs="Times New Roman"/>
        </w:rPr>
        <w:t xml:space="preserve">formula (no less than one month of </w:t>
      </w:r>
      <w:r w:rsidR="00E909E1">
        <w:rPr>
          <w:rFonts w:cs="Times New Roman"/>
        </w:rPr>
        <w:t>the rent standard</w:t>
      </w:r>
      <w:r w:rsidR="00E909E1" w:rsidRPr="00380FE8">
        <w:rPr>
          <w:rFonts w:cs="Times New Roman"/>
        </w:rPr>
        <w:t xml:space="preserve"> </w:t>
      </w:r>
      <w:r w:rsidRPr="00380FE8">
        <w:rPr>
          <w:rFonts w:cs="Times New Roman"/>
        </w:rPr>
        <w:t>for the unit size per the household</w:t>
      </w:r>
      <w:r w:rsidR="00DF653C">
        <w:rPr>
          <w:rFonts w:cs="Times New Roman"/>
        </w:rPr>
        <w:t>’s</w:t>
      </w:r>
      <w:r w:rsidRPr="00380FE8">
        <w:rPr>
          <w:rFonts w:cs="Times New Roman"/>
        </w:rPr>
        <w:t xml:space="preserve"> county of residence and no more than the Project Sponsor’s budgeted STRMU funds per household per year).</w:t>
      </w:r>
      <w:r w:rsidR="00B21851">
        <w:rPr>
          <w:rFonts w:cs="Times New Roman"/>
        </w:rPr>
        <w:t xml:space="preserve"> </w:t>
      </w:r>
      <w:r w:rsidR="00B21851" w:rsidRPr="00B21851">
        <w:rPr>
          <w:rFonts w:cs="Times New Roman"/>
        </w:rPr>
        <w:t xml:space="preserve">If </w:t>
      </w:r>
      <w:r w:rsidR="00B300DF">
        <w:rPr>
          <w:rFonts w:cs="Times New Roman"/>
        </w:rPr>
        <w:t xml:space="preserve">a Project Sponsor establishes </w:t>
      </w:r>
      <w:r w:rsidR="00406151">
        <w:rPr>
          <w:rFonts w:cs="Times New Roman"/>
        </w:rPr>
        <w:t xml:space="preserve">a </w:t>
      </w:r>
      <w:r w:rsidR="008647B6">
        <w:rPr>
          <w:rFonts w:cs="Times New Roman"/>
        </w:rPr>
        <w:t>c</w:t>
      </w:r>
      <w:r w:rsidR="00B21851" w:rsidRPr="00B21851">
        <w:rPr>
          <w:rFonts w:cs="Times New Roman"/>
        </w:rPr>
        <w:t xml:space="preserve">ap, the total STRMU </w:t>
      </w:r>
      <w:r w:rsidR="00FE5101">
        <w:rPr>
          <w:rFonts w:cs="Times New Roman"/>
        </w:rPr>
        <w:t>assistance</w:t>
      </w:r>
      <w:r w:rsidR="00406151">
        <w:rPr>
          <w:rFonts w:cs="Times New Roman"/>
        </w:rPr>
        <w:t xml:space="preserve"> </w:t>
      </w:r>
      <w:r w:rsidR="00B21851">
        <w:rPr>
          <w:rFonts w:cs="Times New Roman"/>
        </w:rPr>
        <w:t>provided to a household</w:t>
      </w:r>
      <w:r w:rsidR="00B21851" w:rsidRPr="00B21851">
        <w:rPr>
          <w:rFonts w:cs="Times New Roman"/>
        </w:rPr>
        <w:t xml:space="preserve"> cannot exceed the </w:t>
      </w:r>
      <w:r w:rsidR="008647B6">
        <w:rPr>
          <w:rFonts w:cs="Times New Roman"/>
        </w:rPr>
        <w:t>c</w:t>
      </w:r>
      <w:r w:rsidR="00B21851" w:rsidRPr="00B21851">
        <w:rPr>
          <w:rFonts w:cs="Times New Roman"/>
        </w:rPr>
        <w:t xml:space="preserve">ap. If </w:t>
      </w:r>
      <w:r w:rsidR="0009459B">
        <w:rPr>
          <w:rFonts w:cs="Times New Roman"/>
        </w:rPr>
        <w:t xml:space="preserve">a household reaches a </w:t>
      </w:r>
      <w:r w:rsidR="008647B6">
        <w:rPr>
          <w:rFonts w:cs="Times New Roman"/>
        </w:rPr>
        <w:t>c</w:t>
      </w:r>
      <w:r w:rsidR="0009459B">
        <w:rPr>
          <w:rFonts w:cs="Times New Roman"/>
        </w:rPr>
        <w:t>ap</w:t>
      </w:r>
      <w:r w:rsidR="00B300DF">
        <w:rPr>
          <w:rFonts w:cs="Times New Roman"/>
        </w:rPr>
        <w:t>,</w:t>
      </w:r>
      <w:r w:rsidR="00B21851" w:rsidRPr="00B21851">
        <w:rPr>
          <w:rFonts w:cs="Times New Roman"/>
        </w:rPr>
        <w:t xml:space="preserve"> the assistance </w:t>
      </w:r>
      <w:r w:rsidR="00BB57D1">
        <w:rPr>
          <w:rFonts w:cs="Times New Roman"/>
        </w:rPr>
        <w:t>attributes</w:t>
      </w:r>
      <w:r w:rsidR="00B21851" w:rsidRPr="00B21851">
        <w:rPr>
          <w:rFonts w:cs="Times New Roman"/>
        </w:rPr>
        <w:t xml:space="preserve"> to the entire </w:t>
      </w:r>
      <w:r w:rsidR="000854AE">
        <w:rPr>
          <w:rFonts w:cs="Times New Roman"/>
        </w:rPr>
        <w:t>21-week</w:t>
      </w:r>
      <w:r w:rsidR="00B21851" w:rsidRPr="00B21851">
        <w:rPr>
          <w:rFonts w:cs="Times New Roman"/>
        </w:rPr>
        <w:t xml:space="preserve"> </w:t>
      </w:r>
      <w:r w:rsidR="000854AE">
        <w:rPr>
          <w:rFonts w:cs="Times New Roman"/>
        </w:rPr>
        <w:t>limit</w:t>
      </w:r>
      <w:r w:rsidR="00B21851" w:rsidRPr="00B21851">
        <w:rPr>
          <w:rFonts w:cs="Times New Roman"/>
        </w:rPr>
        <w:t xml:space="preserve">. The </w:t>
      </w:r>
      <w:r w:rsidR="000854AE">
        <w:rPr>
          <w:rFonts w:cs="Times New Roman"/>
        </w:rPr>
        <w:t>21-week</w:t>
      </w:r>
      <w:r w:rsidR="00B21851" w:rsidRPr="00B21851">
        <w:rPr>
          <w:rFonts w:cs="Times New Roman"/>
        </w:rPr>
        <w:t xml:space="preserve"> limit </w:t>
      </w:r>
      <w:r w:rsidR="00B21851" w:rsidRPr="00DE48B8">
        <w:rPr>
          <w:rFonts w:cs="Times New Roman"/>
          <w:iCs/>
        </w:rPr>
        <w:t>always</w:t>
      </w:r>
      <w:r w:rsidR="00B21851" w:rsidRPr="00B21851">
        <w:rPr>
          <w:rFonts w:cs="Times New Roman"/>
        </w:rPr>
        <w:t xml:space="preserve"> supersedes an established </w:t>
      </w:r>
      <w:r w:rsidR="008647B6">
        <w:rPr>
          <w:rFonts w:cs="Times New Roman"/>
        </w:rPr>
        <w:t>c</w:t>
      </w:r>
      <w:r w:rsidR="00B21851" w:rsidRPr="00B21851">
        <w:rPr>
          <w:rFonts w:cs="Times New Roman"/>
        </w:rPr>
        <w:t>ap.</w:t>
      </w:r>
    </w:p>
    <w:p w14:paraId="0DF798B0" w14:textId="77777777" w:rsidR="000E1DA7" w:rsidRPr="00380FE8" w:rsidRDefault="000E1DA7">
      <w:pPr>
        <w:pStyle w:val="NoSpacing"/>
        <w:ind w:left="720"/>
        <w:rPr>
          <w:rFonts w:cs="Times New Roman"/>
        </w:rPr>
      </w:pPr>
    </w:p>
    <w:p w14:paraId="1B96CB9D" w14:textId="20F7BF09" w:rsidR="00C254C1" w:rsidRPr="001B2577" w:rsidRDefault="00C254C1">
      <w:pPr>
        <w:pStyle w:val="NoSpacing"/>
        <w:numPr>
          <w:ilvl w:val="1"/>
          <w:numId w:val="14"/>
        </w:numPr>
        <w:rPr>
          <w:rFonts w:cs="Times New Roman"/>
          <w:b/>
          <w:u w:val="single"/>
        </w:rPr>
      </w:pPr>
      <w:r w:rsidRPr="001B2577">
        <w:rPr>
          <w:rFonts w:cs="Times New Roman"/>
          <w:b/>
          <w:u w:val="single"/>
        </w:rPr>
        <w:t xml:space="preserve">STRMU </w:t>
      </w:r>
      <w:r w:rsidR="007A5442" w:rsidRPr="001B2577">
        <w:rPr>
          <w:rFonts w:cs="Times New Roman"/>
          <w:b/>
          <w:u w:val="single"/>
        </w:rPr>
        <w:t xml:space="preserve">52-Week </w:t>
      </w:r>
      <w:r w:rsidRPr="001B2577">
        <w:rPr>
          <w:rFonts w:cs="Times New Roman"/>
          <w:b/>
          <w:u w:val="single"/>
        </w:rPr>
        <w:t>Period</w:t>
      </w:r>
    </w:p>
    <w:p w14:paraId="65BF3837" w14:textId="0BFCD874" w:rsidR="007A5442" w:rsidRDefault="00E72C80" w:rsidP="002A171B">
      <w:pPr>
        <w:pStyle w:val="NoSpacing"/>
        <w:ind w:left="720"/>
        <w:rPr>
          <w:rFonts w:cs="Times New Roman"/>
        </w:rPr>
      </w:pPr>
      <w:r>
        <w:rPr>
          <w:rFonts w:cs="Times New Roman"/>
        </w:rPr>
        <w:t xml:space="preserve">Per 24 CFR </w:t>
      </w:r>
      <w:r w:rsidRPr="00E72C80">
        <w:rPr>
          <w:rFonts w:cs="Times New Roman"/>
        </w:rPr>
        <w:t>§574.330</w:t>
      </w:r>
      <w:r w:rsidR="000418F7">
        <w:rPr>
          <w:rFonts w:cs="Times New Roman"/>
        </w:rPr>
        <w:t>(a)(1)</w:t>
      </w:r>
      <w:r>
        <w:rPr>
          <w:rFonts w:cs="Times New Roman"/>
        </w:rPr>
        <w:t xml:space="preserve">, </w:t>
      </w:r>
      <w:r w:rsidR="004A6A3D">
        <w:rPr>
          <w:rFonts w:cs="Times New Roman"/>
        </w:rPr>
        <w:t xml:space="preserve">STRMU may </w:t>
      </w:r>
      <w:r w:rsidR="004A6A3D" w:rsidRPr="004A6A3D">
        <w:rPr>
          <w:rFonts w:cs="Times New Roman"/>
        </w:rPr>
        <w:t xml:space="preserve">assist with up to 21 weeks of accrued costs </w:t>
      </w:r>
      <w:r w:rsidR="004A6A3D">
        <w:rPr>
          <w:rFonts w:cs="Times New Roman"/>
        </w:rPr>
        <w:t>in a 52-week period</w:t>
      </w:r>
      <w:r w:rsidR="007A5442" w:rsidRPr="007A5442">
        <w:rPr>
          <w:rFonts w:cs="Times New Roman"/>
        </w:rPr>
        <w:t>.</w:t>
      </w:r>
      <w:r w:rsidR="007A5442">
        <w:rPr>
          <w:rFonts w:cs="Times New Roman"/>
        </w:rPr>
        <w:t xml:space="preserve"> </w:t>
      </w:r>
      <w:r w:rsidR="00BB57D1">
        <w:rPr>
          <w:rFonts w:cs="Times New Roman"/>
        </w:rPr>
        <w:t>Therefore, Project Sponsors must</w:t>
      </w:r>
      <w:r w:rsidR="007A5442" w:rsidRPr="007A5442">
        <w:rPr>
          <w:rFonts w:cs="Times New Roman"/>
        </w:rPr>
        <w:t xml:space="preserve"> examine the </w:t>
      </w:r>
      <w:r w:rsidR="00784ED7">
        <w:rPr>
          <w:rFonts w:cs="Times New Roman"/>
        </w:rPr>
        <w:t>time periods</w:t>
      </w:r>
      <w:r w:rsidR="007A5442" w:rsidRPr="007A5442">
        <w:rPr>
          <w:rFonts w:cs="Times New Roman"/>
        </w:rPr>
        <w:t xml:space="preserve"> </w:t>
      </w:r>
      <w:r w:rsidR="00677944">
        <w:rPr>
          <w:rFonts w:cs="Times New Roman"/>
        </w:rPr>
        <w:t>associated with</w:t>
      </w:r>
      <w:r w:rsidR="007A5442" w:rsidRPr="007A5442">
        <w:rPr>
          <w:rFonts w:cs="Times New Roman"/>
        </w:rPr>
        <w:t xml:space="preserve"> rent, mortgage, and utility costs to assure that </w:t>
      </w:r>
      <w:r w:rsidR="00677944">
        <w:rPr>
          <w:rFonts w:cs="Times New Roman"/>
        </w:rPr>
        <w:t xml:space="preserve">STRMU </w:t>
      </w:r>
      <w:r w:rsidR="00FE5101">
        <w:rPr>
          <w:rFonts w:cs="Times New Roman"/>
        </w:rPr>
        <w:t>assistance</w:t>
      </w:r>
      <w:r w:rsidR="00677944">
        <w:rPr>
          <w:rFonts w:cs="Times New Roman"/>
        </w:rPr>
        <w:t xml:space="preserve"> do</w:t>
      </w:r>
      <w:r w:rsidR="00FE5101">
        <w:rPr>
          <w:rFonts w:cs="Times New Roman"/>
        </w:rPr>
        <w:t>es</w:t>
      </w:r>
      <w:r w:rsidR="00677944">
        <w:rPr>
          <w:rFonts w:cs="Times New Roman"/>
        </w:rPr>
        <w:t xml:space="preserve"> not exceed this limit</w:t>
      </w:r>
      <w:r w:rsidR="007A5442" w:rsidRPr="007A5442">
        <w:rPr>
          <w:rFonts w:cs="Times New Roman"/>
        </w:rPr>
        <w:t>.</w:t>
      </w:r>
      <w:r w:rsidR="002A171B" w:rsidRPr="002A171B">
        <w:rPr>
          <w:rFonts w:cs="Times New Roman"/>
        </w:rPr>
        <w:t xml:space="preserve"> </w:t>
      </w:r>
      <w:r w:rsidR="002A171B">
        <w:rPr>
          <w:rFonts w:cs="Times New Roman"/>
        </w:rPr>
        <w:t xml:space="preserve">Project Sponsors use </w:t>
      </w:r>
      <w:r w:rsidR="002A171B" w:rsidRPr="008E4C4C">
        <w:rPr>
          <w:rFonts w:cs="Times New Roman"/>
          <w:b/>
          <w:color w:val="5B9BD5" w:themeColor="accent1"/>
        </w:rPr>
        <w:t xml:space="preserve">Form </w:t>
      </w:r>
      <w:proofErr w:type="spellStart"/>
      <w:r w:rsidR="002A171B" w:rsidRPr="008E4C4C">
        <w:rPr>
          <w:rFonts w:cs="Times New Roman"/>
          <w:b/>
          <w:color w:val="5B9BD5" w:themeColor="accent1"/>
        </w:rPr>
        <w:t>K</w:t>
      </w:r>
      <w:r w:rsidR="002A171B">
        <w:rPr>
          <w:rFonts w:cs="Times New Roman"/>
          <w:b/>
          <w:color w:val="5B9BD5" w:themeColor="accent1"/>
        </w:rPr>
        <w:t>1</w:t>
      </w:r>
      <w:proofErr w:type="spellEnd"/>
      <w:r w:rsidR="002A171B" w:rsidRPr="008E4C4C">
        <w:rPr>
          <w:rFonts w:cs="Times New Roman"/>
          <w:b/>
          <w:color w:val="5B9BD5" w:themeColor="accent1"/>
        </w:rPr>
        <w:t>: STRMU Tracking Worksheet</w:t>
      </w:r>
      <w:r w:rsidR="002A171B">
        <w:rPr>
          <w:rFonts w:cs="Times New Roman"/>
        </w:rPr>
        <w:t xml:space="preserve"> to assign a unique 52-week period to each STRMU-assisted household</w:t>
      </w:r>
      <w:r w:rsidR="002A171B" w:rsidRPr="002A171B">
        <w:rPr>
          <w:rFonts w:cs="Times New Roman"/>
        </w:rPr>
        <w:t xml:space="preserve"> </w:t>
      </w:r>
      <w:r w:rsidR="002A171B" w:rsidRPr="007A5442">
        <w:rPr>
          <w:rFonts w:cs="Times New Roman"/>
        </w:rPr>
        <w:t>based on the time period</w:t>
      </w:r>
      <w:r w:rsidR="00784ED7">
        <w:rPr>
          <w:rFonts w:cs="Times New Roman"/>
        </w:rPr>
        <w:t>s</w:t>
      </w:r>
      <w:r w:rsidR="002A171B" w:rsidRPr="007A5442">
        <w:rPr>
          <w:rFonts w:cs="Times New Roman"/>
        </w:rPr>
        <w:t xml:space="preserve"> </w:t>
      </w:r>
      <w:r w:rsidR="00AC4C62">
        <w:rPr>
          <w:rFonts w:cs="Times New Roman"/>
        </w:rPr>
        <w:t>paid by STRMU</w:t>
      </w:r>
      <w:r w:rsidR="002A171B" w:rsidRPr="007A5442">
        <w:rPr>
          <w:rFonts w:cs="Times New Roman"/>
        </w:rPr>
        <w:t>.</w:t>
      </w:r>
      <w:r w:rsidR="002A171B">
        <w:rPr>
          <w:rFonts w:cs="Times New Roman"/>
        </w:rPr>
        <w:t xml:space="preserve"> </w:t>
      </w:r>
      <w:r w:rsidR="007A5442" w:rsidRPr="007A5442">
        <w:rPr>
          <w:rFonts w:cs="Times New Roman"/>
        </w:rPr>
        <w:t xml:space="preserve">Using this method, the </w:t>
      </w:r>
      <w:r w:rsidR="00784ED7">
        <w:rPr>
          <w:rFonts w:cs="Times New Roman"/>
        </w:rPr>
        <w:t>52-week</w:t>
      </w:r>
      <w:r w:rsidR="007A5442" w:rsidRPr="007A5442">
        <w:rPr>
          <w:rFonts w:cs="Times New Roman"/>
        </w:rPr>
        <w:t xml:space="preserve"> period begins on the </w:t>
      </w:r>
      <w:r w:rsidR="002A171B" w:rsidRPr="004806D4">
        <w:rPr>
          <w:rFonts w:cs="Times New Roman"/>
        </w:rPr>
        <w:t xml:space="preserve">first day </w:t>
      </w:r>
      <w:r w:rsidR="00784ED7" w:rsidRPr="004806D4">
        <w:rPr>
          <w:rFonts w:cs="Times New Roman"/>
        </w:rPr>
        <w:t>of accrued costs paid by STRMU</w:t>
      </w:r>
      <w:r w:rsidR="007A5442" w:rsidRPr="004806D4">
        <w:rPr>
          <w:rFonts w:cs="Times New Roman"/>
        </w:rPr>
        <w:t xml:space="preserve">. At the end of this 52-week period, the next </w:t>
      </w:r>
      <w:r w:rsidR="00784ED7" w:rsidRPr="004806D4">
        <w:rPr>
          <w:rFonts w:cs="Times New Roman"/>
        </w:rPr>
        <w:t>52-week</w:t>
      </w:r>
      <w:r w:rsidR="007A5442" w:rsidRPr="004806D4">
        <w:rPr>
          <w:rFonts w:cs="Times New Roman"/>
        </w:rPr>
        <w:t xml:space="preserve"> period </w:t>
      </w:r>
      <w:r w:rsidR="004A5EEC" w:rsidRPr="004806D4">
        <w:rPr>
          <w:rFonts w:cs="Times New Roman"/>
        </w:rPr>
        <w:t xml:space="preserve">may </w:t>
      </w:r>
      <w:r w:rsidR="007A5442" w:rsidRPr="004806D4">
        <w:rPr>
          <w:rFonts w:cs="Times New Roman"/>
        </w:rPr>
        <w:t xml:space="preserve">begin for that household. For example, the </w:t>
      </w:r>
      <w:r w:rsidR="00784ED7" w:rsidRPr="004806D4">
        <w:rPr>
          <w:rFonts w:cs="Times New Roman"/>
        </w:rPr>
        <w:t>52-week</w:t>
      </w:r>
      <w:r w:rsidR="007A5442" w:rsidRPr="004806D4">
        <w:rPr>
          <w:rFonts w:cs="Times New Roman"/>
        </w:rPr>
        <w:t xml:space="preserve"> period for a household that receives STRMU rent assistance </w:t>
      </w:r>
      <w:r w:rsidR="00B72B6A" w:rsidRPr="004806D4">
        <w:rPr>
          <w:rFonts w:cs="Times New Roman"/>
        </w:rPr>
        <w:t>for the full amount of April rent</w:t>
      </w:r>
      <w:r w:rsidR="007A5442" w:rsidRPr="004806D4">
        <w:rPr>
          <w:rFonts w:cs="Times New Roman"/>
        </w:rPr>
        <w:t xml:space="preserve"> would begin on April 1 and end on March 31 of the following year. If </w:t>
      </w:r>
      <w:r w:rsidR="004A5EEC" w:rsidRPr="004806D4">
        <w:rPr>
          <w:rFonts w:cs="Times New Roman"/>
        </w:rPr>
        <w:t xml:space="preserve">the </w:t>
      </w:r>
      <w:r w:rsidR="007A5442" w:rsidRPr="004806D4">
        <w:rPr>
          <w:rFonts w:cs="Times New Roman"/>
        </w:rPr>
        <w:t xml:space="preserve">same household </w:t>
      </w:r>
      <w:r w:rsidR="004A5EEC" w:rsidRPr="004806D4">
        <w:rPr>
          <w:rFonts w:cs="Times New Roman"/>
        </w:rPr>
        <w:t>receives STRMU utility assistance for</w:t>
      </w:r>
      <w:r w:rsidR="007A5442" w:rsidRPr="004806D4">
        <w:rPr>
          <w:rFonts w:cs="Times New Roman"/>
        </w:rPr>
        <w:t xml:space="preserve"> utility arrears </w:t>
      </w:r>
      <w:r w:rsidR="004A5EEC" w:rsidRPr="004806D4">
        <w:rPr>
          <w:rFonts w:cs="Times New Roman"/>
        </w:rPr>
        <w:t>accrued</w:t>
      </w:r>
      <w:r w:rsidR="007A5442" w:rsidRPr="004806D4">
        <w:rPr>
          <w:rFonts w:cs="Times New Roman"/>
        </w:rPr>
        <w:t xml:space="preserve"> prior to April 1, the eligible STRMU period</w:t>
      </w:r>
      <w:r w:rsidR="00B72B6A" w:rsidRPr="004806D4">
        <w:rPr>
          <w:rFonts w:cs="Times New Roman"/>
        </w:rPr>
        <w:t xml:space="preserve"> would</w:t>
      </w:r>
      <w:r w:rsidR="007A5442" w:rsidRPr="004806D4">
        <w:rPr>
          <w:rFonts w:cs="Times New Roman"/>
        </w:rPr>
        <w:t xml:space="preserve"> begin on the earliest </w:t>
      </w:r>
      <w:r w:rsidR="004A5EEC" w:rsidRPr="004806D4">
        <w:rPr>
          <w:rFonts w:cs="Times New Roman"/>
        </w:rPr>
        <w:t xml:space="preserve">utility metering period </w:t>
      </w:r>
      <w:r w:rsidR="007A5442" w:rsidRPr="004806D4">
        <w:rPr>
          <w:rFonts w:cs="Times New Roman"/>
        </w:rPr>
        <w:t>date that the assistance covers.</w:t>
      </w:r>
    </w:p>
    <w:p w14:paraId="29EF909C" w14:textId="77777777" w:rsidR="00FF1903" w:rsidRPr="00DE48B8" w:rsidRDefault="00FF1903" w:rsidP="00DE48B8">
      <w:pPr>
        <w:pStyle w:val="NoSpacing"/>
        <w:ind w:left="720"/>
        <w:rPr>
          <w:rFonts w:cs="Times New Roman"/>
          <w:b/>
          <w:u w:val="single"/>
        </w:rPr>
      </w:pPr>
    </w:p>
    <w:p w14:paraId="41999FFC" w14:textId="1F2357E4" w:rsidR="00BE0163" w:rsidRPr="001B2577" w:rsidRDefault="007A5442">
      <w:pPr>
        <w:pStyle w:val="NoSpacing"/>
        <w:numPr>
          <w:ilvl w:val="1"/>
          <w:numId w:val="14"/>
        </w:numPr>
        <w:rPr>
          <w:rFonts w:cs="Times New Roman"/>
          <w:b/>
          <w:u w:val="single"/>
        </w:rPr>
      </w:pPr>
      <w:r w:rsidRPr="001B2577">
        <w:rPr>
          <w:rFonts w:cs="Times New Roman"/>
          <w:b/>
          <w:u w:val="single"/>
        </w:rPr>
        <w:t>STRMU 147-Day Tracking</w:t>
      </w:r>
    </w:p>
    <w:p w14:paraId="76F72413" w14:textId="781878EF" w:rsidR="007A5442" w:rsidRDefault="008E4C4C">
      <w:pPr>
        <w:pStyle w:val="NoSpacing"/>
        <w:ind w:left="720"/>
        <w:rPr>
          <w:rFonts w:cs="Times New Roman"/>
        </w:rPr>
      </w:pPr>
      <w:r>
        <w:rPr>
          <w:rFonts w:cs="Times New Roman"/>
        </w:rPr>
        <w:t xml:space="preserve">The DSHS HOPWA Program uses </w:t>
      </w:r>
      <w:r w:rsidR="004806D4">
        <w:rPr>
          <w:rFonts w:cs="Times New Roman"/>
        </w:rPr>
        <w:t xml:space="preserve">a </w:t>
      </w:r>
      <w:r>
        <w:rPr>
          <w:rFonts w:cs="Times New Roman"/>
        </w:rPr>
        <w:t>147-</w:t>
      </w:r>
      <w:r w:rsidR="000854AE">
        <w:rPr>
          <w:rFonts w:cs="Times New Roman"/>
        </w:rPr>
        <w:t>d</w:t>
      </w:r>
      <w:r>
        <w:rPr>
          <w:rFonts w:cs="Times New Roman"/>
        </w:rPr>
        <w:t xml:space="preserve">ay </w:t>
      </w:r>
      <w:r w:rsidR="000854AE">
        <w:rPr>
          <w:rFonts w:cs="Times New Roman"/>
        </w:rPr>
        <w:t>tracking m</w:t>
      </w:r>
      <w:r>
        <w:rPr>
          <w:rFonts w:cs="Times New Roman"/>
        </w:rPr>
        <w:t>ethodology</w:t>
      </w:r>
      <w:r w:rsidR="0063265A">
        <w:rPr>
          <w:rFonts w:cs="Times New Roman"/>
        </w:rPr>
        <w:t>, which</w:t>
      </w:r>
      <w:r w:rsidR="00643B86">
        <w:rPr>
          <w:rFonts w:cs="Times New Roman"/>
        </w:rPr>
        <w:t xml:space="preserve"> </w:t>
      </w:r>
      <w:r w:rsidR="0063265A">
        <w:rPr>
          <w:rFonts w:cs="Times New Roman"/>
        </w:rPr>
        <w:t>converts the 21-week limit to 147 calendar days</w:t>
      </w:r>
      <w:r w:rsidR="004764AF">
        <w:rPr>
          <w:rFonts w:cs="Times New Roman"/>
        </w:rPr>
        <w:t xml:space="preserve"> and</w:t>
      </w:r>
      <w:r w:rsidR="004764AF" w:rsidRPr="004764AF">
        <w:rPr>
          <w:rFonts w:cs="Times New Roman"/>
        </w:rPr>
        <w:t xml:space="preserve"> </w:t>
      </w:r>
      <w:r w:rsidR="004764AF">
        <w:rPr>
          <w:rFonts w:cs="Times New Roman"/>
        </w:rPr>
        <w:t xml:space="preserve">counts the unduplicated days of accrued costs </w:t>
      </w:r>
      <w:r w:rsidR="009003D0">
        <w:rPr>
          <w:rFonts w:cs="Times New Roman"/>
        </w:rPr>
        <w:t>paid by STRMU</w:t>
      </w:r>
      <w:r w:rsidR="004764AF">
        <w:rPr>
          <w:rFonts w:cs="Times New Roman"/>
        </w:rPr>
        <w:t xml:space="preserve">. </w:t>
      </w:r>
      <w:r>
        <w:rPr>
          <w:rFonts w:cs="Times New Roman"/>
        </w:rPr>
        <w:t xml:space="preserve">Project Sponsors use </w:t>
      </w:r>
      <w:r w:rsidRPr="008E4C4C">
        <w:rPr>
          <w:rFonts w:cs="Times New Roman"/>
          <w:b/>
          <w:color w:val="5B9BD5" w:themeColor="accent1"/>
        </w:rPr>
        <w:t xml:space="preserve">Form </w:t>
      </w:r>
      <w:proofErr w:type="spellStart"/>
      <w:r w:rsidRPr="008E4C4C">
        <w:rPr>
          <w:rFonts w:cs="Times New Roman"/>
          <w:b/>
          <w:color w:val="5B9BD5" w:themeColor="accent1"/>
        </w:rPr>
        <w:t>K</w:t>
      </w:r>
      <w:r w:rsidR="00914AAE">
        <w:rPr>
          <w:rFonts w:cs="Times New Roman"/>
          <w:b/>
          <w:color w:val="5B9BD5" w:themeColor="accent1"/>
        </w:rPr>
        <w:t>1</w:t>
      </w:r>
      <w:proofErr w:type="spellEnd"/>
      <w:r w:rsidRPr="008E4C4C">
        <w:rPr>
          <w:rFonts w:cs="Times New Roman"/>
          <w:b/>
          <w:color w:val="5B9BD5" w:themeColor="accent1"/>
        </w:rPr>
        <w:t>: STRMU Tracking Worksheet</w:t>
      </w:r>
      <w:r>
        <w:rPr>
          <w:rFonts w:cs="Times New Roman"/>
        </w:rPr>
        <w:t xml:space="preserve"> to comply with this methodology. </w:t>
      </w:r>
      <w:r w:rsidR="007D3AE0">
        <w:rPr>
          <w:rFonts w:cs="Times New Roman"/>
        </w:rPr>
        <w:t xml:space="preserve">STRMU </w:t>
      </w:r>
      <w:r w:rsidR="004A6A3D">
        <w:rPr>
          <w:rFonts w:cs="Times New Roman"/>
        </w:rPr>
        <w:t>may assist with up to</w:t>
      </w:r>
      <w:r w:rsidR="004764AF" w:rsidRPr="004764AF">
        <w:rPr>
          <w:rFonts w:cs="Times New Roman"/>
        </w:rPr>
        <w:t xml:space="preserve"> </w:t>
      </w:r>
      <w:r w:rsidR="004764AF">
        <w:rPr>
          <w:rFonts w:cs="Times New Roman"/>
        </w:rPr>
        <w:t>147 days</w:t>
      </w:r>
      <w:r w:rsidR="004764AF" w:rsidRPr="004764AF">
        <w:rPr>
          <w:rFonts w:cs="Times New Roman"/>
        </w:rPr>
        <w:t xml:space="preserve"> of accrued costs in a 52-week period</w:t>
      </w:r>
      <w:r w:rsidR="007D3AE0">
        <w:rPr>
          <w:rFonts w:cs="Times New Roman"/>
        </w:rPr>
        <w:t xml:space="preserve">. </w:t>
      </w:r>
      <w:r w:rsidR="00FC0AAF" w:rsidRPr="00FC0AAF">
        <w:rPr>
          <w:rFonts w:cs="Times New Roman"/>
        </w:rPr>
        <w:t xml:space="preserve">If a Project Sponsor establishes an </w:t>
      </w:r>
      <w:r w:rsidR="00310DF2">
        <w:rPr>
          <w:rFonts w:cs="Times New Roman"/>
        </w:rPr>
        <w:t>a</w:t>
      </w:r>
      <w:r w:rsidR="00FC0AAF" w:rsidRPr="00FC0AAF">
        <w:rPr>
          <w:rFonts w:cs="Times New Roman"/>
        </w:rPr>
        <w:t xml:space="preserve">nnual STRMU </w:t>
      </w:r>
      <w:r w:rsidR="00310DF2">
        <w:rPr>
          <w:rFonts w:cs="Times New Roman"/>
        </w:rPr>
        <w:t>p</w:t>
      </w:r>
      <w:r w:rsidR="008647B6">
        <w:rPr>
          <w:rFonts w:cs="Times New Roman"/>
        </w:rPr>
        <w:t xml:space="preserve">ayment and/or </w:t>
      </w:r>
      <w:r w:rsidR="00310DF2">
        <w:rPr>
          <w:rFonts w:cs="Times New Roman"/>
        </w:rPr>
        <w:t>t</w:t>
      </w:r>
      <w:r w:rsidR="00FC0AAF" w:rsidRPr="00FC0AAF">
        <w:rPr>
          <w:rFonts w:cs="Times New Roman"/>
        </w:rPr>
        <w:t xml:space="preserve">ime </w:t>
      </w:r>
      <w:r w:rsidR="00310DF2">
        <w:rPr>
          <w:rFonts w:cs="Times New Roman"/>
        </w:rPr>
        <w:t>c</w:t>
      </w:r>
      <w:r w:rsidR="00FC0AAF" w:rsidRPr="00FC0AAF">
        <w:rPr>
          <w:rFonts w:cs="Times New Roman"/>
        </w:rPr>
        <w:t xml:space="preserve">ap, </w:t>
      </w:r>
      <w:r w:rsidR="004764AF" w:rsidRPr="004764AF">
        <w:rPr>
          <w:rFonts w:cs="Times New Roman"/>
        </w:rPr>
        <w:t xml:space="preserve">the total STRMU </w:t>
      </w:r>
      <w:r w:rsidR="00FE5101">
        <w:rPr>
          <w:rFonts w:cs="Times New Roman"/>
        </w:rPr>
        <w:t>assistance</w:t>
      </w:r>
      <w:r w:rsidR="004764AF" w:rsidRPr="004764AF">
        <w:rPr>
          <w:rFonts w:cs="Times New Roman"/>
        </w:rPr>
        <w:t xml:space="preserve"> provided to a household cannot exceed the cap</w:t>
      </w:r>
      <w:r w:rsidR="00FC0AAF" w:rsidRPr="00FC0AAF">
        <w:rPr>
          <w:rFonts w:cs="Times New Roman"/>
        </w:rPr>
        <w:t xml:space="preserve">. If a household reaches a </w:t>
      </w:r>
      <w:r w:rsidR="008647B6">
        <w:rPr>
          <w:rFonts w:cs="Times New Roman"/>
        </w:rPr>
        <w:t>c</w:t>
      </w:r>
      <w:r w:rsidR="00FC0AAF" w:rsidRPr="00FC0AAF">
        <w:rPr>
          <w:rFonts w:cs="Times New Roman"/>
        </w:rPr>
        <w:t xml:space="preserve">ap, the assistance </w:t>
      </w:r>
      <w:r w:rsidR="004A6A3D">
        <w:rPr>
          <w:rFonts w:cs="Times New Roman"/>
        </w:rPr>
        <w:t>attributes</w:t>
      </w:r>
      <w:r w:rsidR="00FC0AAF" w:rsidRPr="00FC0AAF">
        <w:rPr>
          <w:rFonts w:cs="Times New Roman"/>
        </w:rPr>
        <w:t xml:space="preserve"> to the entire 147-day </w:t>
      </w:r>
      <w:r w:rsidR="004A6A3D">
        <w:rPr>
          <w:rFonts w:cs="Times New Roman"/>
        </w:rPr>
        <w:t>limit</w:t>
      </w:r>
      <w:r w:rsidR="00FC0AAF" w:rsidRPr="00FC0AAF">
        <w:rPr>
          <w:rFonts w:cs="Times New Roman"/>
        </w:rPr>
        <w:t xml:space="preserve">. The 147-day limit </w:t>
      </w:r>
      <w:r w:rsidR="00FC0AAF" w:rsidRPr="00DE48B8">
        <w:rPr>
          <w:rFonts w:cs="Times New Roman"/>
          <w:iCs/>
        </w:rPr>
        <w:t>always</w:t>
      </w:r>
      <w:r w:rsidR="00FC0AAF" w:rsidRPr="00FC0AAF">
        <w:rPr>
          <w:rFonts w:cs="Times New Roman"/>
        </w:rPr>
        <w:t xml:space="preserve"> supersedes an established </w:t>
      </w:r>
      <w:r w:rsidR="008647B6">
        <w:rPr>
          <w:rFonts w:cs="Times New Roman"/>
        </w:rPr>
        <w:t>c</w:t>
      </w:r>
      <w:r w:rsidR="00FC0AAF" w:rsidRPr="00FC0AAF">
        <w:rPr>
          <w:rFonts w:cs="Times New Roman"/>
        </w:rPr>
        <w:t>ap.</w:t>
      </w:r>
    </w:p>
    <w:p w14:paraId="621A53FF" w14:textId="510A8B2D" w:rsidR="009A6EE0" w:rsidRPr="00ED208F" w:rsidRDefault="007A5442">
      <w:pPr>
        <w:pStyle w:val="NoSpacing"/>
        <w:numPr>
          <w:ilvl w:val="2"/>
          <w:numId w:val="14"/>
        </w:numPr>
        <w:rPr>
          <w:rFonts w:cs="Times New Roman"/>
          <w:b/>
        </w:rPr>
      </w:pPr>
      <w:r w:rsidRPr="00ED208F">
        <w:rPr>
          <w:rFonts w:cs="Times New Roman"/>
          <w:b/>
        </w:rPr>
        <w:t>Example</w:t>
      </w:r>
      <w:r w:rsidR="009A6EE0">
        <w:rPr>
          <w:rFonts w:cs="Times New Roman"/>
          <w:b/>
        </w:rPr>
        <w:t xml:space="preserve"> 1</w:t>
      </w:r>
    </w:p>
    <w:p w14:paraId="545A7898" w14:textId="4B11A077" w:rsidR="007A5442" w:rsidRDefault="009003D0">
      <w:pPr>
        <w:pStyle w:val="NoSpacing"/>
        <w:ind w:left="1440"/>
        <w:rPr>
          <w:rFonts w:cs="Times New Roman"/>
        </w:rPr>
      </w:pPr>
      <w:r>
        <w:rPr>
          <w:rFonts w:cs="Times New Roman"/>
        </w:rPr>
        <w:t xml:space="preserve">A household’s utility bill metering period started on April </w:t>
      </w:r>
      <w:r w:rsidR="008221B7">
        <w:rPr>
          <w:rFonts w:cs="Times New Roman"/>
        </w:rPr>
        <w:t>5</w:t>
      </w:r>
      <w:r>
        <w:rPr>
          <w:rFonts w:cs="Times New Roman"/>
        </w:rPr>
        <w:t xml:space="preserve"> and ended on May </w:t>
      </w:r>
      <w:r w:rsidR="008221B7">
        <w:rPr>
          <w:rFonts w:cs="Times New Roman"/>
        </w:rPr>
        <w:t>4</w:t>
      </w:r>
      <w:r>
        <w:rPr>
          <w:rFonts w:cs="Times New Roman"/>
        </w:rPr>
        <w:t xml:space="preserve"> (30 days). </w:t>
      </w:r>
      <w:r w:rsidR="007A5442" w:rsidRPr="007A5442">
        <w:rPr>
          <w:rFonts w:cs="Times New Roman"/>
        </w:rPr>
        <w:t xml:space="preserve">If a </w:t>
      </w:r>
      <w:r w:rsidR="0016424A">
        <w:rPr>
          <w:rFonts w:cs="Times New Roman"/>
        </w:rPr>
        <w:t xml:space="preserve">Project Sponsor </w:t>
      </w:r>
      <w:r w:rsidR="003B005C">
        <w:rPr>
          <w:rFonts w:cs="Times New Roman"/>
        </w:rPr>
        <w:t xml:space="preserve">pays </w:t>
      </w:r>
      <w:r w:rsidR="00DD0ECA">
        <w:rPr>
          <w:rFonts w:cs="Times New Roman"/>
        </w:rPr>
        <w:t>the whole utility bill</w:t>
      </w:r>
      <w:r w:rsidR="007A5442" w:rsidRPr="007A5442">
        <w:rPr>
          <w:rFonts w:cs="Times New Roman"/>
        </w:rPr>
        <w:t xml:space="preserve">, </w:t>
      </w:r>
      <w:r w:rsidR="008E4C4C">
        <w:rPr>
          <w:rFonts w:cs="Times New Roman"/>
        </w:rPr>
        <w:t>the Project Sponsor count</w:t>
      </w:r>
      <w:r w:rsidR="003B005C">
        <w:rPr>
          <w:rFonts w:cs="Times New Roman"/>
        </w:rPr>
        <w:t>s</w:t>
      </w:r>
      <w:r w:rsidR="008E4C4C">
        <w:rPr>
          <w:rFonts w:cs="Times New Roman"/>
        </w:rPr>
        <w:t xml:space="preserve"> this as</w:t>
      </w:r>
      <w:r w:rsidR="007A5442" w:rsidRPr="007A5442">
        <w:rPr>
          <w:rFonts w:cs="Times New Roman"/>
        </w:rPr>
        <w:t xml:space="preserve"> 30 days of assistance.</w:t>
      </w:r>
    </w:p>
    <w:p w14:paraId="6EA94797" w14:textId="77777777" w:rsidR="000E1DA7" w:rsidRPr="007A5442" w:rsidRDefault="000E1DA7">
      <w:pPr>
        <w:pStyle w:val="NoSpacing"/>
        <w:ind w:left="1440"/>
        <w:rPr>
          <w:rFonts w:cs="Times New Roman"/>
        </w:rPr>
      </w:pPr>
    </w:p>
    <w:p w14:paraId="77370FDF" w14:textId="02999191" w:rsidR="009A6EE0" w:rsidRPr="00ED208F" w:rsidRDefault="007A5442">
      <w:pPr>
        <w:pStyle w:val="NoSpacing"/>
        <w:numPr>
          <w:ilvl w:val="2"/>
          <w:numId w:val="14"/>
        </w:numPr>
        <w:rPr>
          <w:rFonts w:cs="Times New Roman"/>
          <w:b/>
        </w:rPr>
      </w:pPr>
      <w:r w:rsidRPr="00ED208F">
        <w:rPr>
          <w:rFonts w:cs="Times New Roman"/>
          <w:b/>
        </w:rPr>
        <w:t>Example</w:t>
      </w:r>
      <w:r w:rsidR="009A6EE0">
        <w:rPr>
          <w:rFonts w:cs="Times New Roman"/>
          <w:b/>
        </w:rPr>
        <w:t xml:space="preserve"> 2</w:t>
      </w:r>
    </w:p>
    <w:p w14:paraId="0708FDA6" w14:textId="4329D26A" w:rsidR="00BE0163" w:rsidRDefault="000B36D3">
      <w:pPr>
        <w:pStyle w:val="NoSpacing"/>
        <w:ind w:left="1440"/>
        <w:rPr>
          <w:rFonts w:cs="Times New Roman"/>
        </w:rPr>
      </w:pPr>
      <w:r>
        <w:rPr>
          <w:rFonts w:cs="Times New Roman"/>
        </w:rPr>
        <w:t>Using the example above,</w:t>
      </w:r>
      <w:r w:rsidR="009003D0">
        <w:rPr>
          <w:rFonts w:cs="Times New Roman"/>
        </w:rPr>
        <w:t xml:space="preserve"> </w:t>
      </w:r>
      <w:r>
        <w:rPr>
          <w:rFonts w:cs="Times New Roman"/>
        </w:rPr>
        <w:t>i</w:t>
      </w:r>
      <w:r w:rsidR="007A5442" w:rsidRPr="007A5442">
        <w:rPr>
          <w:rFonts w:cs="Times New Roman"/>
        </w:rPr>
        <w:t xml:space="preserve">f a </w:t>
      </w:r>
      <w:r w:rsidR="0016424A">
        <w:rPr>
          <w:rFonts w:cs="Times New Roman"/>
        </w:rPr>
        <w:t xml:space="preserve">Project Sponsor </w:t>
      </w:r>
      <w:r w:rsidR="003B005C">
        <w:rPr>
          <w:rFonts w:cs="Times New Roman"/>
        </w:rPr>
        <w:t xml:space="preserve">pays </w:t>
      </w:r>
      <w:r w:rsidR="0016424A">
        <w:rPr>
          <w:rFonts w:cs="Times New Roman"/>
        </w:rPr>
        <w:t xml:space="preserve">a </w:t>
      </w:r>
      <w:r w:rsidR="007A5442" w:rsidRPr="007A5442">
        <w:rPr>
          <w:rFonts w:cs="Times New Roman"/>
        </w:rPr>
        <w:t>portion of the utility bill, the</w:t>
      </w:r>
      <w:r w:rsidR="009003D0">
        <w:rPr>
          <w:rFonts w:cs="Times New Roman"/>
        </w:rPr>
        <w:t xml:space="preserve"> Project Sponsor</w:t>
      </w:r>
      <w:r w:rsidR="007A5442" w:rsidRPr="007A5442">
        <w:rPr>
          <w:rFonts w:cs="Times New Roman"/>
        </w:rPr>
        <w:t xml:space="preserve"> </w:t>
      </w:r>
      <w:r w:rsidR="009003D0">
        <w:rPr>
          <w:rFonts w:cs="Times New Roman"/>
        </w:rPr>
        <w:t>only count</w:t>
      </w:r>
      <w:r w:rsidR="003B005C">
        <w:rPr>
          <w:rFonts w:cs="Times New Roman"/>
        </w:rPr>
        <w:t>s</w:t>
      </w:r>
      <w:r w:rsidR="009003D0">
        <w:rPr>
          <w:rFonts w:cs="Times New Roman"/>
        </w:rPr>
        <w:t xml:space="preserve"> the days</w:t>
      </w:r>
      <w:r w:rsidR="007A5442" w:rsidRPr="007A5442">
        <w:rPr>
          <w:rFonts w:cs="Times New Roman"/>
        </w:rPr>
        <w:t xml:space="preserve"> paid by STRMU. For example, </w:t>
      </w:r>
      <w:r w:rsidR="009003D0">
        <w:rPr>
          <w:rFonts w:cs="Times New Roman"/>
        </w:rPr>
        <w:t>say the bill equals</w:t>
      </w:r>
      <w:r w:rsidR="007A5442" w:rsidRPr="007A5442">
        <w:rPr>
          <w:rFonts w:cs="Times New Roman"/>
        </w:rPr>
        <w:t xml:space="preserve"> $148.00</w:t>
      </w:r>
      <w:r w:rsidR="00C1379C">
        <w:rPr>
          <w:rFonts w:cs="Times New Roman"/>
        </w:rPr>
        <w:t>, and</w:t>
      </w:r>
      <w:r w:rsidR="009003D0">
        <w:rPr>
          <w:rFonts w:cs="Times New Roman"/>
        </w:rPr>
        <w:t xml:space="preserve"> </w:t>
      </w:r>
      <w:r w:rsidR="00C1379C">
        <w:rPr>
          <w:rFonts w:cs="Times New Roman"/>
        </w:rPr>
        <w:t>t</w:t>
      </w:r>
      <w:r w:rsidR="009003D0">
        <w:rPr>
          <w:rFonts w:cs="Times New Roman"/>
        </w:rPr>
        <w:t xml:space="preserve">he household </w:t>
      </w:r>
      <w:r w:rsidR="00C1379C">
        <w:rPr>
          <w:rFonts w:cs="Times New Roman"/>
        </w:rPr>
        <w:t xml:space="preserve">and Project Sponsor will pay </w:t>
      </w:r>
      <w:r w:rsidR="009003D0">
        <w:rPr>
          <w:rFonts w:cs="Times New Roman"/>
        </w:rPr>
        <w:t>$48.00</w:t>
      </w:r>
      <w:r w:rsidR="007A5442" w:rsidRPr="007A5442">
        <w:rPr>
          <w:rFonts w:cs="Times New Roman"/>
        </w:rPr>
        <w:t xml:space="preserve"> and $100</w:t>
      </w:r>
      <w:r w:rsidR="009003D0">
        <w:rPr>
          <w:rFonts w:cs="Times New Roman"/>
        </w:rPr>
        <w:t>.00</w:t>
      </w:r>
      <w:r w:rsidR="00C1379C">
        <w:rPr>
          <w:rFonts w:cs="Times New Roman"/>
        </w:rPr>
        <w:t xml:space="preserve"> respectively</w:t>
      </w:r>
      <w:r w:rsidR="007A5442" w:rsidRPr="007A5442">
        <w:rPr>
          <w:rFonts w:cs="Times New Roman"/>
        </w:rPr>
        <w:t>. To calculate the days of assistance, divide $148</w:t>
      </w:r>
      <w:r w:rsidR="008E4C4C">
        <w:rPr>
          <w:rFonts w:cs="Times New Roman"/>
        </w:rPr>
        <w:t>.00</w:t>
      </w:r>
      <w:r w:rsidR="007A5442" w:rsidRPr="007A5442">
        <w:rPr>
          <w:rFonts w:cs="Times New Roman"/>
        </w:rPr>
        <w:t xml:space="preserve"> by 30 days, which equals $4.93 per day. Then, divide the $100 payment by $4.93 per day, which equals 20.3 days. With rounding, this </w:t>
      </w:r>
      <w:r w:rsidR="00C1379C">
        <w:rPr>
          <w:rFonts w:cs="Times New Roman"/>
        </w:rPr>
        <w:t>payment</w:t>
      </w:r>
      <w:r w:rsidR="007A5442" w:rsidRPr="007A5442">
        <w:rPr>
          <w:rFonts w:cs="Times New Roman"/>
        </w:rPr>
        <w:t xml:space="preserve"> counts as 2</w:t>
      </w:r>
      <w:r w:rsidR="00F15A50">
        <w:rPr>
          <w:rFonts w:cs="Times New Roman"/>
        </w:rPr>
        <w:t>1</w:t>
      </w:r>
      <w:r w:rsidR="007A5442" w:rsidRPr="007A5442">
        <w:rPr>
          <w:rFonts w:cs="Times New Roman"/>
        </w:rPr>
        <w:t xml:space="preserve"> days</w:t>
      </w:r>
      <w:r w:rsidR="00B633BD">
        <w:rPr>
          <w:rFonts w:cs="Times New Roman"/>
        </w:rPr>
        <w:t xml:space="preserve"> of assistance</w:t>
      </w:r>
      <w:r w:rsidR="007A5442" w:rsidRPr="007A5442">
        <w:rPr>
          <w:rFonts w:cs="Times New Roman"/>
        </w:rPr>
        <w:t>.</w:t>
      </w:r>
    </w:p>
    <w:p w14:paraId="69F05686" w14:textId="6C1A7CE2" w:rsidR="009A5BB8" w:rsidRDefault="00935B4A">
      <w:pPr>
        <w:pStyle w:val="NoSpacing"/>
        <w:ind w:left="1440"/>
        <w:rPr>
          <w:rFonts w:cs="Times New Roman"/>
          <w:color w:val="C00000"/>
        </w:rPr>
      </w:pPr>
      <w:r w:rsidRPr="007D3AE0">
        <w:rPr>
          <w:rFonts w:cs="Times New Roman"/>
          <w:b/>
          <w:color w:val="C00000"/>
        </w:rPr>
        <w:t>NOTE</w:t>
      </w:r>
      <w:r w:rsidR="008E4C4C" w:rsidRPr="007D3AE0">
        <w:rPr>
          <w:rFonts w:cs="Times New Roman"/>
          <w:b/>
          <w:color w:val="C00000"/>
        </w:rPr>
        <w:t>:</w:t>
      </w:r>
      <w:r w:rsidR="008E4C4C" w:rsidRPr="007D3AE0">
        <w:rPr>
          <w:rFonts w:cs="Times New Roman"/>
          <w:color w:val="C00000"/>
        </w:rPr>
        <w:t xml:space="preserve"> </w:t>
      </w:r>
      <w:r w:rsidR="0026600E">
        <w:rPr>
          <w:rFonts w:cs="Times New Roman"/>
          <w:color w:val="C00000"/>
        </w:rPr>
        <w:t xml:space="preserve">Utility </w:t>
      </w:r>
      <w:r w:rsidR="00551E76">
        <w:rPr>
          <w:rFonts w:cs="Times New Roman"/>
          <w:color w:val="C00000"/>
        </w:rPr>
        <w:t xml:space="preserve">metering </w:t>
      </w:r>
      <w:r w:rsidR="0026600E">
        <w:rPr>
          <w:rFonts w:cs="Times New Roman"/>
          <w:color w:val="C00000"/>
        </w:rPr>
        <w:t>periods (</w:t>
      </w:r>
      <w:r w:rsidR="00551E76">
        <w:rPr>
          <w:rFonts w:cs="Times New Roman"/>
          <w:color w:val="C00000"/>
        </w:rPr>
        <w:t xml:space="preserve">i.e., utility billing/metering/service period </w:t>
      </w:r>
      <w:r w:rsidR="0026600E">
        <w:rPr>
          <w:rFonts w:cs="Times New Roman"/>
          <w:color w:val="C00000"/>
        </w:rPr>
        <w:t>start and end dates</w:t>
      </w:r>
      <w:r w:rsidR="00551E76">
        <w:rPr>
          <w:rFonts w:cs="Times New Roman"/>
          <w:color w:val="C00000"/>
        </w:rPr>
        <w:t xml:space="preserve"> as recorded on a utility bill</w:t>
      </w:r>
      <w:r w:rsidR="0026600E">
        <w:rPr>
          <w:rFonts w:cs="Times New Roman"/>
          <w:color w:val="C00000"/>
        </w:rPr>
        <w:t>) usually span two different months.</w:t>
      </w:r>
      <w:r w:rsidR="008E4C4C" w:rsidRPr="007D3AE0">
        <w:rPr>
          <w:rFonts w:cs="Times New Roman"/>
          <w:color w:val="C00000"/>
        </w:rPr>
        <w:t xml:space="preserve"> </w:t>
      </w:r>
      <w:r w:rsidR="0026600E">
        <w:rPr>
          <w:rFonts w:cs="Times New Roman"/>
          <w:color w:val="C00000"/>
        </w:rPr>
        <w:t xml:space="preserve">On Form </w:t>
      </w:r>
      <w:proofErr w:type="spellStart"/>
      <w:r w:rsidR="0026600E">
        <w:rPr>
          <w:rFonts w:cs="Times New Roman"/>
          <w:color w:val="C00000"/>
        </w:rPr>
        <w:t>K</w:t>
      </w:r>
      <w:r w:rsidR="00914AAE">
        <w:rPr>
          <w:rFonts w:cs="Times New Roman"/>
          <w:color w:val="C00000"/>
        </w:rPr>
        <w:t>1</w:t>
      </w:r>
      <w:proofErr w:type="spellEnd"/>
      <w:r w:rsidR="0026600E">
        <w:rPr>
          <w:rFonts w:cs="Times New Roman"/>
          <w:color w:val="C00000"/>
        </w:rPr>
        <w:t xml:space="preserve">, </w:t>
      </w:r>
      <w:r w:rsidR="009A5BB8" w:rsidRPr="007D3AE0">
        <w:rPr>
          <w:rFonts w:cs="Times New Roman"/>
          <w:color w:val="C00000"/>
        </w:rPr>
        <w:t xml:space="preserve">Project Sponsors </w:t>
      </w:r>
      <w:r w:rsidR="009A5BB8">
        <w:rPr>
          <w:rFonts w:cs="Times New Roman"/>
          <w:color w:val="C00000"/>
        </w:rPr>
        <w:t>do</w:t>
      </w:r>
      <w:r w:rsidR="009A5BB8" w:rsidRPr="007D3AE0">
        <w:rPr>
          <w:rFonts w:cs="Times New Roman"/>
          <w:color w:val="C00000"/>
        </w:rPr>
        <w:t xml:space="preserve"> not </w:t>
      </w:r>
      <w:r w:rsidR="009A5BB8">
        <w:rPr>
          <w:rFonts w:cs="Times New Roman"/>
          <w:color w:val="C00000"/>
        </w:rPr>
        <w:t>manually split</w:t>
      </w:r>
      <w:r w:rsidR="009A5BB8" w:rsidRPr="007D3AE0">
        <w:rPr>
          <w:rFonts w:cs="Times New Roman"/>
          <w:color w:val="C00000"/>
        </w:rPr>
        <w:t xml:space="preserve"> utility </w:t>
      </w:r>
      <w:r w:rsidR="009A5BB8">
        <w:rPr>
          <w:rFonts w:cs="Times New Roman"/>
          <w:color w:val="C00000"/>
        </w:rPr>
        <w:t>metering</w:t>
      </w:r>
      <w:r w:rsidR="009A5BB8" w:rsidRPr="007D3AE0">
        <w:rPr>
          <w:rFonts w:cs="Times New Roman"/>
          <w:color w:val="C00000"/>
        </w:rPr>
        <w:t xml:space="preserve"> periods between two months.</w:t>
      </w:r>
      <w:r w:rsidR="009A5BB8">
        <w:rPr>
          <w:rFonts w:cs="Times New Roman"/>
          <w:color w:val="C00000"/>
        </w:rPr>
        <w:t xml:space="preserve"> The form automatically counts the unduplicated days of accrued costs paid by STRMU and sorts them to the correct months.</w:t>
      </w:r>
    </w:p>
    <w:p w14:paraId="65053AF2" w14:textId="08463B16" w:rsidR="008E4C4C" w:rsidRDefault="009A5BB8">
      <w:pPr>
        <w:pStyle w:val="NoSpacing"/>
        <w:ind w:left="1440"/>
        <w:rPr>
          <w:rFonts w:cs="Times New Roman"/>
          <w:color w:val="C00000"/>
        </w:rPr>
      </w:pPr>
      <w:r>
        <w:rPr>
          <w:rFonts w:cs="Times New Roman"/>
          <w:b/>
          <w:color w:val="C00000"/>
        </w:rPr>
        <w:t>NOTE:</w:t>
      </w:r>
      <w:r>
        <w:rPr>
          <w:rFonts w:cs="Times New Roman"/>
          <w:color w:val="C00000"/>
        </w:rPr>
        <w:t xml:space="preserve"> </w:t>
      </w:r>
      <w:r w:rsidR="00C537E9" w:rsidRPr="00C537E9">
        <w:rPr>
          <w:rFonts w:cs="Times New Roman"/>
          <w:color w:val="C00000"/>
        </w:rPr>
        <w:t xml:space="preserve">For debts, </w:t>
      </w:r>
      <w:r w:rsidR="00C537E9">
        <w:rPr>
          <w:rFonts w:cs="Times New Roman"/>
          <w:color w:val="C00000"/>
        </w:rPr>
        <w:t xml:space="preserve">Project Sponsors </w:t>
      </w:r>
      <w:r w:rsidR="00C537E9" w:rsidRPr="00C537E9">
        <w:rPr>
          <w:rFonts w:cs="Times New Roman"/>
          <w:color w:val="C00000"/>
        </w:rPr>
        <w:t>obtain a ledger from the owner/</w:t>
      </w:r>
      <w:r>
        <w:rPr>
          <w:rFonts w:cs="Times New Roman"/>
          <w:color w:val="C00000"/>
        </w:rPr>
        <w:t>lender/</w:t>
      </w:r>
      <w:r w:rsidR="00C537E9" w:rsidRPr="00C537E9">
        <w:rPr>
          <w:rFonts w:cs="Times New Roman"/>
          <w:color w:val="C00000"/>
        </w:rPr>
        <w:t>utility vendor to correctly attribute debts to the correct months.</w:t>
      </w:r>
    </w:p>
    <w:p w14:paraId="1462C5A2" w14:textId="77777777" w:rsidR="00F804C8" w:rsidRPr="008E4C4C" w:rsidRDefault="00F804C8">
      <w:pPr>
        <w:pStyle w:val="NoSpacing"/>
        <w:ind w:left="1440"/>
        <w:rPr>
          <w:rFonts w:cs="Times New Roman"/>
        </w:rPr>
      </w:pPr>
    </w:p>
    <w:p w14:paraId="4A8EF0E2" w14:textId="61B55203" w:rsidR="00B20BFB" w:rsidRPr="001B2577" w:rsidRDefault="00C36DA9">
      <w:pPr>
        <w:pStyle w:val="NoSpacing"/>
        <w:numPr>
          <w:ilvl w:val="1"/>
          <w:numId w:val="14"/>
        </w:numPr>
        <w:rPr>
          <w:rFonts w:cs="Times New Roman"/>
          <w:b/>
          <w:u w:val="single"/>
        </w:rPr>
      </w:pPr>
      <w:r w:rsidRPr="001B2577">
        <w:rPr>
          <w:rFonts w:cs="Times New Roman"/>
          <w:b/>
          <w:u w:val="single"/>
        </w:rPr>
        <w:t>Amount of Assistance</w:t>
      </w:r>
    </w:p>
    <w:p w14:paraId="7B3CB21F" w14:textId="0946F9A2" w:rsidR="00C36DA9" w:rsidRPr="00C36DA9" w:rsidRDefault="00C36DA9">
      <w:pPr>
        <w:pStyle w:val="NoSpacing"/>
        <w:ind w:left="720"/>
        <w:rPr>
          <w:rFonts w:cs="Times New Roman"/>
        </w:rPr>
      </w:pPr>
      <w:r w:rsidRPr="00C36DA9">
        <w:rPr>
          <w:rFonts w:cs="Times New Roman"/>
        </w:rPr>
        <w:lastRenderedPageBreak/>
        <w:t xml:space="preserve">Although STRMU does not require </w:t>
      </w:r>
      <w:r>
        <w:rPr>
          <w:rFonts w:cs="Times New Roman"/>
        </w:rPr>
        <w:t>household</w:t>
      </w:r>
      <w:r w:rsidR="00270163">
        <w:rPr>
          <w:rFonts w:cs="Times New Roman"/>
        </w:rPr>
        <w:t>s</w:t>
      </w:r>
      <w:r w:rsidRPr="00C36DA9">
        <w:rPr>
          <w:rFonts w:cs="Times New Roman"/>
        </w:rPr>
        <w:t xml:space="preserve"> to pay a portion of </w:t>
      </w:r>
      <w:r>
        <w:rPr>
          <w:rFonts w:cs="Times New Roman"/>
        </w:rPr>
        <w:t>their housing costs, assistance</w:t>
      </w:r>
      <w:r w:rsidRPr="00C36DA9">
        <w:rPr>
          <w:rFonts w:cs="Times New Roman"/>
        </w:rPr>
        <w:t xml:space="preserve"> must not relieve household</w:t>
      </w:r>
      <w:r w:rsidR="00270163">
        <w:rPr>
          <w:rFonts w:cs="Times New Roman"/>
        </w:rPr>
        <w:t>s</w:t>
      </w:r>
      <w:r w:rsidR="00BD4EE5">
        <w:rPr>
          <w:rFonts w:cs="Times New Roman"/>
        </w:rPr>
        <w:t xml:space="preserve"> of their</w:t>
      </w:r>
      <w:r w:rsidRPr="00C36DA9">
        <w:rPr>
          <w:rFonts w:cs="Times New Roman"/>
        </w:rPr>
        <w:t xml:space="preserve"> responsibility to make housing payments. If a household </w:t>
      </w:r>
      <w:r w:rsidR="00A40999" w:rsidRPr="00C36DA9">
        <w:rPr>
          <w:rFonts w:cs="Times New Roman"/>
        </w:rPr>
        <w:t>can pay</w:t>
      </w:r>
      <w:r w:rsidRPr="00C36DA9">
        <w:rPr>
          <w:rFonts w:cs="Times New Roman"/>
        </w:rPr>
        <w:t xml:space="preserve"> some of their rent, mortgage, and/or utility costs, </w:t>
      </w:r>
      <w:r>
        <w:rPr>
          <w:rFonts w:cs="Times New Roman"/>
        </w:rPr>
        <w:t>Project Sponsors</w:t>
      </w:r>
      <w:r w:rsidRPr="00C36DA9">
        <w:rPr>
          <w:rFonts w:cs="Times New Roman"/>
        </w:rPr>
        <w:t xml:space="preserve"> may </w:t>
      </w:r>
      <w:r w:rsidR="000A0199">
        <w:rPr>
          <w:rFonts w:cs="Times New Roman"/>
        </w:rPr>
        <w:t>negotiate</w:t>
      </w:r>
      <w:r w:rsidRPr="00C36DA9">
        <w:rPr>
          <w:rFonts w:cs="Times New Roman"/>
        </w:rPr>
        <w:t xml:space="preserve"> an appropriate household contribution. Such determinations limit STRMU </w:t>
      </w:r>
      <w:r w:rsidR="00FE5101">
        <w:rPr>
          <w:rFonts w:cs="Times New Roman"/>
        </w:rPr>
        <w:t>assistance</w:t>
      </w:r>
      <w:r w:rsidR="00406151" w:rsidRPr="00C36DA9">
        <w:rPr>
          <w:rFonts w:cs="Times New Roman"/>
        </w:rPr>
        <w:t xml:space="preserve"> </w:t>
      </w:r>
      <w:r w:rsidRPr="00C36DA9">
        <w:rPr>
          <w:rFonts w:cs="Times New Roman"/>
        </w:rPr>
        <w:t>to the difference between the amounts due and the amount</w:t>
      </w:r>
      <w:r w:rsidR="00270163">
        <w:rPr>
          <w:rFonts w:cs="Times New Roman"/>
        </w:rPr>
        <w:t>s</w:t>
      </w:r>
      <w:r w:rsidRPr="00C36DA9">
        <w:rPr>
          <w:rFonts w:cs="Times New Roman"/>
        </w:rPr>
        <w:t xml:space="preserve"> the household </w:t>
      </w:r>
      <w:r w:rsidR="00347EC1" w:rsidRPr="00C36DA9">
        <w:rPr>
          <w:rFonts w:cs="Times New Roman"/>
        </w:rPr>
        <w:t>can</w:t>
      </w:r>
      <w:r w:rsidRPr="00C36DA9">
        <w:rPr>
          <w:rFonts w:cs="Times New Roman"/>
        </w:rPr>
        <w:t xml:space="preserve"> pay. </w:t>
      </w:r>
      <w:r>
        <w:rPr>
          <w:rFonts w:cs="Times New Roman"/>
        </w:rPr>
        <w:t>Project Sponsors</w:t>
      </w:r>
      <w:r w:rsidRPr="00C36DA9">
        <w:rPr>
          <w:rFonts w:cs="Times New Roman"/>
        </w:rPr>
        <w:t xml:space="preserve"> should document any contributions made by a household towards their rent, mortgage,</w:t>
      </w:r>
      <w:r>
        <w:rPr>
          <w:rFonts w:cs="Times New Roman"/>
        </w:rPr>
        <w:t xml:space="preserve"> </w:t>
      </w:r>
      <w:r w:rsidRPr="00C36DA9">
        <w:rPr>
          <w:rFonts w:cs="Times New Roman"/>
        </w:rPr>
        <w:t>and/or utility costs. This ensures</w:t>
      </w:r>
      <w:r w:rsidR="00BD4EE5">
        <w:rPr>
          <w:rFonts w:cs="Times New Roman"/>
        </w:rPr>
        <w:t xml:space="preserve"> full payment of the amounts due</w:t>
      </w:r>
      <w:r w:rsidRPr="00C36DA9">
        <w:rPr>
          <w:rFonts w:cs="Times New Roman"/>
        </w:rPr>
        <w:t xml:space="preserve"> and avoids partial payments that may lead to evictions</w:t>
      </w:r>
      <w:r w:rsidR="00270163">
        <w:rPr>
          <w:rFonts w:cs="Times New Roman"/>
        </w:rPr>
        <w:t>, defaults,</w:t>
      </w:r>
      <w:r w:rsidRPr="00C36DA9">
        <w:rPr>
          <w:rFonts w:cs="Times New Roman"/>
        </w:rPr>
        <w:t xml:space="preserve"> or utility cut-offs.</w:t>
      </w:r>
    </w:p>
    <w:p w14:paraId="6C1D9C52" w14:textId="77777777" w:rsidR="00C36DA9" w:rsidRDefault="00C36DA9">
      <w:pPr>
        <w:pStyle w:val="NoSpacing"/>
        <w:ind w:left="720"/>
        <w:rPr>
          <w:rFonts w:cs="Times New Roman"/>
        </w:rPr>
      </w:pPr>
    </w:p>
    <w:p w14:paraId="505CBB01" w14:textId="37B6B961" w:rsidR="00B633BD" w:rsidRDefault="003B005C">
      <w:pPr>
        <w:pStyle w:val="NoSpacing"/>
        <w:ind w:left="720"/>
        <w:rPr>
          <w:rFonts w:cs="Times New Roman"/>
        </w:rPr>
      </w:pPr>
      <w:r w:rsidRPr="003B005C">
        <w:rPr>
          <w:rFonts w:cs="Times New Roman"/>
        </w:rPr>
        <w:t xml:space="preserve">For example, say </w:t>
      </w:r>
      <w:r>
        <w:rPr>
          <w:rFonts w:cs="Times New Roman"/>
        </w:rPr>
        <w:t>a household’s April rent (30 days) equals $800.00</w:t>
      </w:r>
      <w:r w:rsidRPr="003B005C">
        <w:rPr>
          <w:rFonts w:cs="Times New Roman"/>
        </w:rPr>
        <w:t>, and the household and Project Sponsor will pay $</w:t>
      </w:r>
      <w:r>
        <w:rPr>
          <w:rFonts w:cs="Times New Roman"/>
        </w:rPr>
        <w:t>200</w:t>
      </w:r>
      <w:r w:rsidRPr="003B005C">
        <w:rPr>
          <w:rFonts w:cs="Times New Roman"/>
        </w:rPr>
        <w:t>.00 and $</w:t>
      </w:r>
      <w:r>
        <w:rPr>
          <w:rFonts w:cs="Times New Roman"/>
        </w:rPr>
        <w:t>600</w:t>
      </w:r>
      <w:r w:rsidRPr="003B005C">
        <w:rPr>
          <w:rFonts w:cs="Times New Roman"/>
        </w:rPr>
        <w:t>.00 respectively.</w:t>
      </w:r>
      <w:r>
        <w:rPr>
          <w:rFonts w:cs="Times New Roman"/>
        </w:rPr>
        <w:t xml:space="preserve"> For 147-day tracking, t</w:t>
      </w:r>
      <w:r w:rsidRPr="003B005C">
        <w:rPr>
          <w:rFonts w:cs="Times New Roman"/>
        </w:rPr>
        <w:t>he Project Sponsor only count</w:t>
      </w:r>
      <w:r>
        <w:rPr>
          <w:rFonts w:cs="Times New Roman"/>
        </w:rPr>
        <w:t>s</w:t>
      </w:r>
      <w:r w:rsidRPr="003B005C">
        <w:rPr>
          <w:rFonts w:cs="Times New Roman"/>
        </w:rPr>
        <w:t xml:space="preserve"> the days paid by STRMU</w:t>
      </w:r>
      <w:r w:rsidR="00C36DA9" w:rsidRPr="00C36DA9">
        <w:rPr>
          <w:rFonts w:cs="Times New Roman"/>
        </w:rPr>
        <w:t xml:space="preserve">. </w:t>
      </w:r>
      <w:r>
        <w:rPr>
          <w:rFonts w:cs="Times New Roman"/>
        </w:rPr>
        <w:t>With rounding, this payment counts as 23 days</w:t>
      </w:r>
      <w:r w:rsidR="00B633BD">
        <w:rPr>
          <w:rFonts w:cs="Times New Roman"/>
        </w:rPr>
        <w:t xml:space="preserve"> of assistance</w:t>
      </w:r>
      <w:r w:rsidR="00C36DA9" w:rsidRPr="00C36DA9">
        <w:rPr>
          <w:rFonts w:cs="Times New Roman"/>
        </w:rPr>
        <w:t xml:space="preserve">. </w:t>
      </w:r>
      <w:r w:rsidR="008319F7">
        <w:rPr>
          <w:rFonts w:cs="Times New Roman"/>
        </w:rPr>
        <w:t>T</w:t>
      </w:r>
      <w:r w:rsidR="00C36DA9" w:rsidRPr="00C36DA9">
        <w:rPr>
          <w:rFonts w:cs="Times New Roman"/>
        </w:rPr>
        <w:t xml:space="preserve">he household’s </w:t>
      </w:r>
      <w:r>
        <w:rPr>
          <w:rFonts w:cs="Times New Roman"/>
        </w:rPr>
        <w:t xml:space="preserve">contribution </w:t>
      </w:r>
      <w:r w:rsidR="00B633BD">
        <w:rPr>
          <w:rFonts w:cs="Times New Roman"/>
        </w:rPr>
        <w:t>does not count against</w:t>
      </w:r>
      <w:r w:rsidR="00C36DA9" w:rsidRPr="00C36DA9">
        <w:rPr>
          <w:rFonts w:cs="Times New Roman"/>
        </w:rPr>
        <w:t xml:space="preserve"> the </w:t>
      </w:r>
      <w:r w:rsidR="00B71FD6">
        <w:rPr>
          <w:rFonts w:cs="Times New Roman"/>
        </w:rPr>
        <w:t>147-day</w:t>
      </w:r>
      <w:r w:rsidR="00C36DA9" w:rsidRPr="00C36DA9">
        <w:rPr>
          <w:rFonts w:cs="Times New Roman"/>
        </w:rPr>
        <w:t xml:space="preserve"> </w:t>
      </w:r>
      <w:r>
        <w:rPr>
          <w:rFonts w:cs="Times New Roman"/>
        </w:rPr>
        <w:t>limit</w:t>
      </w:r>
      <w:r w:rsidR="00C36DA9" w:rsidRPr="00C36DA9">
        <w:rPr>
          <w:rFonts w:cs="Times New Roman"/>
        </w:rPr>
        <w:t>.</w:t>
      </w:r>
      <w:r w:rsidR="00B71FD6">
        <w:rPr>
          <w:rFonts w:cs="Times New Roman"/>
        </w:rPr>
        <w:t xml:space="preserve"> If the household </w:t>
      </w:r>
      <w:r w:rsidR="00B633BD">
        <w:rPr>
          <w:rFonts w:cs="Times New Roman"/>
        </w:rPr>
        <w:t xml:space="preserve">needs </w:t>
      </w:r>
      <w:r w:rsidR="00B71FD6">
        <w:rPr>
          <w:rFonts w:cs="Times New Roman"/>
        </w:rPr>
        <w:t>further assistance in the same</w:t>
      </w:r>
      <w:r w:rsidR="00C36DA9" w:rsidRPr="00C36DA9">
        <w:rPr>
          <w:rFonts w:cs="Times New Roman"/>
        </w:rPr>
        <w:t xml:space="preserve"> 52</w:t>
      </w:r>
      <w:r w:rsidR="00B71FD6">
        <w:rPr>
          <w:rFonts w:cs="Times New Roman"/>
        </w:rPr>
        <w:t>-</w:t>
      </w:r>
      <w:r w:rsidR="00C36DA9" w:rsidRPr="00C36DA9">
        <w:rPr>
          <w:rFonts w:cs="Times New Roman"/>
        </w:rPr>
        <w:t xml:space="preserve">week period, </w:t>
      </w:r>
      <w:r w:rsidR="00B633BD">
        <w:rPr>
          <w:rFonts w:cs="Times New Roman"/>
        </w:rPr>
        <w:t>they</w:t>
      </w:r>
      <w:r w:rsidR="00C36DA9" w:rsidRPr="00C36DA9">
        <w:rPr>
          <w:rFonts w:cs="Times New Roman"/>
        </w:rPr>
        <w:t xml:space="preserve"> </w:t>
      </w:r>
      <w:r w:rsidR="00B633BD">
        <w:rPr>
          <w:rFonts w:cs="Times New Roman"/>
        </w:rPr>
        <w:t>will</w:t>
      </w:r>
      <w:r w:rsidR="00B633BD" w:rsidRPr="00C36DA9">
        <w:rPr>
          <w:rFonts w:cs="Times New Roman"/>
        </w:rPr>
        <w:t xml:space="preserve"> </w:t>
      </w:r>
      <w:r w:rsidR="00C36DA9" w:rsidRPr="00C36DA9">
        <w:rPr>
          <w:rFonts w:cs="Times New Roman"/>
        </w:rPr>
        <w:t xml:space="preserve">have more time remaining in </w:t>
      </w:r>
      <w:r w:rsidR="00B633BD">
        <w:rPr>
          <w:rFonts w:cs="Times New Roman"/>
        </w:rPr>
        <w:t>their</w:t>
      </w:r>
      <w:r w:rsidR="00B633BD" w:rsidRPr="00C36DA9">
        <w:rPr>
          <w:rFonts w:cs="Times New Roman"/>
        </w:rPr>
        <w:t xml:space="preserve"> </w:t>
      </w:r>
      <w:r w:rsidR="00B71FD6">
        <w:rPr>
          <w:rFonts w:cs="Times New Roman"/>
        </w:rPr>
        <w:t>147-day</w:t>
      </w:r>
      <w:r w:rsidR="00C36DA9" w:rsidRPr="00C36DA9">
        <w:rPr>
          <w:rFonts w:cs="Times New Roman"/>
        </w:rPr>
        <w:t xml:space="preserve"> </w:t>
      </w:r>
      <w:r w:rsidR="00B633BD">
        <w:rPr>
          <w:rFonts w:cs="Times New Roman"/>
        </w:rPr>
        <w:t>limit</w:t>
      </w:r>
      <w:r w:rsidR="00B633BD" w:rsidRPr="00C36DA9">
        <w:rPr>
          <w:rFonts w:cs="Times New Roman"/>
        </w:rPr>
        <w:t xml:space="preserve"> </w:t>
      </w:r>
      <w:r w:rsidR="00C36DA9" w:rsidRPr="00C36DA9">
        <w:rPr>
          <w:rFonts w:cs="Times New Roman"/>
        </w:rPr>
        <w:t xml:space="preserve">than if </w:t>
      </w:r>
      <w:r w:rsidR="00B633BD">
        <w:rPr>
          <w:rFonts w:cs="Times New Roman"/>
        </w:rPr>
        <w:t>they</w:t>
      </w:r>
      <w:r w:rsidR="00C36DA9" w:rsidRPr="00C36DA9">
        <w:rPr>
          <w:rFonts w:cs="Times New Roman"/>
        </w:rPr>
        <w:t xml:space="preserve"> had not </w:t>
      </w:r>
      <w:r w:rsidR="000A08A7" w:rsidRPr="00C36DA9">
        <w:rPr>
          <w:rFonts w:cs="Times New Roman"/>
        </w:rPr>
        <w:t>contributed</w:t>
      </w:r>
      <w:r w:rsidR="00C36DA9" w:rsidRPr="00C36DA9">
        <w:rPr>
          <w:rFonts w:cs="Times New Roman"/>
        </w:rPr>
        <w:t xml:space="preserve"> towards the</w:t>
      </w:r>
      <w:r w:rsidR="00A24B34">
        <w:rPr>
          <w:rFonts w:cs="Times New Roman"/>
        </w:rPr>
        <w:t>ir</w:t>
      </w:r>
      <w:r w:rsidR="00C36DA9" w:rsidRPr="00C36DA9">
        <w:rPr>
          <w:rFonts w:cs="Times New Roman"/>
        </w:rPr>
        <w:t xml:space="preserve"> rent.</w:t>
      </w:r>
    </w:p>
    <w:p w14:paraId="06CF4104" w14:textId="77777777" w:rsidR="00C13584" w:rsidRPr="00C13584" w:rsidRDefault="00C13584">
      <w:pPr>
        <w:pStyle w:val="NoSpacing"/>
        <w:ind w:left="720"/>
      </w:pPr>
    </w:p>
    <w:p w14:paraId="25264ABC" w14:textId="30879253" w:rsidR="00217F21" w:rsidRPr="001B2577" w:rsidRDefault="00217F21">
      <w:pPr>
        <w:pStyle w:val="NoSpacing"/>
        <w:numPr>
          <w:ilvl w:val="1"/>
          <w:numId w:val="14"/>
        </w:numPr>
        <w:rPr>
          <w:rFonts w:cs="Times New Roman"/>
          <w:b/>
          <w:u w:val="single"/>
        </w:rPr>
      </w:pPr>
      <w:r w:rsidRPr="001B2577">
        <w:rPr>
          <w:rFonts w:cs="Times New Roman"/>
          <w:b/>
          <w:u w:val="single"/>
        </w:rPr>
        <w:t>STRMU Outcome Measures</w:t>
      </w:r>
    </w:p>
    <w:p w14:paraId="074CF78E" w14:textId="1DCAA6C2" w:rsidR="00026315" w:rsidRDefault="00026315">
      <w:pPr>
        <w:pStyle w:val="NoSpacing"/>
        <w:ind w:left="720"/>
        <w:rPr>
          <w:rFonts w:cs="Times New Roman"/>
        </w:rPr>
      </w:pPr>
      <w:r w:rsidRPr="00217F21">
        <w:rPr>
          <w:rFonts w:cs="Times New Roman"/>
        </w:rPr>
        <w:t xml:space="preserve">To measure the effectiveness of </w:t>
      </w:r>
      <w:r>
        <w:rPr>
          <w:rFonts w:cs="Times New Roman"/>
        </w:rPr>
        <w:t>STRMU services, Project Sponsors</w:t>
      </w:r>
      <w:r w:rsidRPr="00217F21">
        <w:rPr>
          <w:rFonts w:cs="Times New Roman"/>
        </w:rPr>
        <w:t xml:space="preserve"> </w:t>
      </w:r>
      <w:r w:rsidR="00A461A4">
        <w:rPr>
          <w:rFonts w:cs="Times New Roman"/>
        </w:rPr>
        <w:t xml:space="preserve">record </w:t>
      </w:r>
      <w:r>
        <w:rPr>
          <w:rFonts w:cs="Times New Roman"/>
        </w:rPr>
        <w:t>household status</w:t>
      </w:r>
      <w:r w:rsidRPr="00217F21">
        <w:rPr>
          <w:rFonts w:cs="Times New Roman"/>
        </w:rPr>
        <w:t xml:space="preserve"> outcomes</w:t>
      </w:r>
      <w:r w:rsidR="006A2577">
        <w:rPr>
          <w:rFonts w:cs="Times New Roman"/>
        </w:rPr>
        <w:t xml:space="preserve"> on </w:t>
      </w:r>
      <w:r w:rsidR="006A2577" w:rsidRPr="006A2577">
        <w:rPr>
          <w:rFonts w:cs="Times New Roman"/>
          <w:b/>
          <w:color w:val="5B9BD5" w:themeColor="accent1"/>
        </w:rPr>
        <w:t xml:space="preserve">Form P: Service Outcome Assessment and Program </w:t>
      </w:r>
      <w:r w:rsidR="00E76C1D">
        <w:rPr>
          <w:rFonts w:cs="Times New Roman"/>
          <w:b/>
          <w:color w:val="5B9BD5" w:themeColor="accent1"/>
        </w:rPr>
        <w:t>Disenrollment</w:t>
      </w:r>
      <w:r w:rsidR="00E76C1D" w:rsidRPr="006A2577">
        <w:rPr>
          <w:rFonts w:cs="Times New Roman"/>
          <w:b/>
          <w:color w:val="5B9BD5" w:themeColor="accent1"/>
        </w:rPr>
        <w:t xml:space="preserve"> </w:t>
      </w:r>
      <w:r w:rsidR="006A2577" w:rsidRPr="006A2577">
        <w:rPr>
          <w:rFonts w:cs="Times New Roman"/>
          <w:b/>
          <w:color w:val="5B9BD5" w:themeColor="accent1"/>
        </w:rPr>
        <w:t>Worksheet</w:t>
      </w:r>
      <w:r w:rsidR="006A2577">
        <w:rPr>
          <w:rFonts w:cs="Times New Roman"/>
        </w:rPr>
        <w:t xml:space="preserve">. </w:t>
      </w:r>
      <w:r w:rsidR="00A2078F">
        <w:rPr>
          <w:rFonts w:cs="Times New Roman"/>
        </w:rPr>
        <w:t>Project Sponsors complete Form P</w:t>
      </w:r>
      <w:r w:rsidR="008817C3" w:rsidRPr="008817C3">
        <w:rPr>
          <w:rFonts w:cs="Times New Roman"/>
        </w:rPr>
        <w:t xml:space="preserve"> if the household will disenroll from the program or continue to the next annual eligibility period.</w:t>
      </w:r>
      <w:r w:rsidR="008817C3">
        <w:rPr>
          <w:rFonts w:cs="Times New Roman"/>
        </w:rPr>
        <w:t xml:space="preserve"> </w:t>
      </w:r>
      <w:r w:rsidR="00E45AE5">
        <w:rPr>
          <w:rFonts w:cs="Times New Roman"/>
        </w:rPr>
        <w:t xml:space="preserve">Additionally, </w:t>
      </w:r>
      <w:r w:rsidR="008C1E1D">
        <w:rPr>
          <w:rFonts w:cs="Times New Roman"/>
        </w:rPr>
        <w:t>P</w:t>
      </w:r>
      <w:r w:rsidR="008C1E1D" w:rsidRPr="008C1E1D">
        <w:rPr>
          <w:rFonts w:cs="Times New Roman"/>
        </w:rPr>
        <w:t xml:space="preserve">roject Sponsors report household access to care outcomes; household sources of income; household sources of medical insurance and/or assistance; </w:t>
      </w:r>
      <w:r w:rsidR="008C1E1D">
        <w:rPr>
          <w:rFonts w:cs="Times New Roman"/>
        </w:rPr>
        <w:t>and each household’s STRMU history.</w:t>
      </w:r>
      <w:r w:rsidR="008C1E1D" w:rsidRPr="008C1E1D">
        <w:rPr>
          <w:rFonts w:cs="Times New Roman"/>
        </w:rPr>
        <w:t xml:space="preserve"> </w:t>
      </w:r>
      <w:r w:rsidR="006A2577">
        <w:rPr>
          <w:rFonts w:cs="Times New Roman"/>
        </w:rPr>
        <w:t xml:space="preserve">Outcome categories </w:t>
      </w:r>
      <w:r w:rsidR="006A2577" w:rsidRPr="007D2EAA">
        <w:rPr>
          <w:rFonts w:cs="Times New Roman"/>
        </w:rPr>
        <w:t>include:</w:t>
      </w:r>
    </w:p>
    <w:tbl>
      <w:tblPr>
        <w:tblStyle w:val="TableGrid15"/>
        <w:tblW w:w="10224" w:type="dxa"/>
        <w:tblInd w:w="720" w:type="dxa"/>
        <w:tblLook w:val="04A0" w:firstRow="1" w:lastRow="0" w:firstColumn="1" w:lastColumn="0" w:noHBand="0" w:noVBand="1"/>
      </w:tblPr>
      <w:tblGrid>
        <w:gridCol w:w="7015"/>
        <w:gridCol w:w="3209"/>
      </w:tblGrid>
      <w:tr w:rsidR="00BE45F5" w:rsidRPr="00692FFC" w14:paraId="47C05661" w14:textId="77777777" w:rsidTr="00DE48B8">
        <w:trPr>
          <w:trHeight w:val="20"/>
        </w:trPr>
        <w:tc>
          <w:tcPr>
            <w:tcW w:w="7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tcPr>
          <w:p w14:paraId="72EA56F6" w14:textId="77777777" w:rsidR="00BE45F5" w:rsidRPr="00692FFC" w:rsidRDefault="00BE45F5" w:rsidP="00640559">
            <w:pPr>
              <w:rPr>
                <w:rFonts w:cs="Times New Roman"/>
                <w:b/>
              </w:rPr>
            </w:pPr>
            <w:r w:rsidRPr="00692FFC">
              <w:rPr>
                <w:rFonts w:cs="Times New Roman"/>
                <w:b/>
              </w:rPr>
              <w:t xml:space="preserve">Household </w:t>
            </w:r>
            <w:r>
              <w:rPr>
                <w:rFonts w:cs="Times New Roman"/>
                <w:b/>
              </w:rPr>
              <w:t>Status</w:t>
            </w:r>
          </w:p>
        </w:tc>
        <w:tc>
          <w:tcPr>
            <w:tcW w:w="32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vAlign w:val="center"/>
          </w:tcPr>
          <w:p w14:paraId="23171654" w14:textId="77777777" w:rsidR="00BE45F5" w:rsidRPr="00692FFC" w:rsidRDefault="00BE45F5" w:rsidP="00640559">
            <w:pPr>
              <w:jc w:val="center"/>
              <w:rPr>
                <w:rFonts w:cs="Times New Roman"/>
                <w:b/>
              </w:rPr>
            </w:pPr>
            <w:r w:rsidRPr="00692FFC">
              <w:rPr>
                <w:rFonts w:cs="Times New Roman"/>
                <w:b/>
              </w:rPr>
              <w:t>Outcome</w:t>
            </w:r>
          </w:p>
        </w:tc>
      </w:tr>
      <w:tr w:rsidR="00BE45F5" w:rsidRPr="00692FFC" w14:paraId="2CC33A7E" w14:textId="77777777" w:rsidTr="00DE48B8">
        <w:trPr>
          <w:trHeight w:val="20"/>
        </w:trPr>
        <w:tc>
          <w:tcPr>
            <w:tcW w:w="7015"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tcPr>
          <w:p w14:paraId="38BE941E" w14:textId="77777777" w:rsidR="00BE45F5" w:rsidRPr="00692FFC" w:rsidRDefault="00BE45F5" w:rsidP="00640559">
            <w:pPr>
              <w:rPr>
                <w:rFonts w:cs="Times New Roman"/>
              </w:rPr>
            </w:pPr>
            <w:r w:rsidRPr="00336A78">
              <w:t>Continued to the next year</w:t>
            </w:r>
          </w:p>
        </w:tc>
        <w:tc>
          <w:tcPr>
            <w:tcW w:w="3209" w:type="dxa"/>
            <w:vMerge w:val="restart"/>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vAlign w:val="center"/>
          </w:tcPr>
          <w:p w14:paraId="02450451" w14:textId="77777777" w:rsidR="00BE45F5" w:rsidRPr="00692FFC" w:rsidRDefault="00BE45F5" w:rsidP="00640559">
            <w:pPr>
              <w:jc w:val="center"/>
              <w:rPr>
                <w:rFonts w:cs="Times New Roman"/>
                <w:i/>
              </w:rPr>
            </w:pPr>
            <w:r w:rsidRPr="00BE45F5">
              <w:rPr>
                <w:rFonts w:cs="Times New Roman"/>
                <w:i/>
              </w:rPr>
              <w:t>Stable/Permanent Housing</w:t>
            </w:r>
          </w:p>
        </w:tc>
      </w:tr>
      <w:tr w:rsidR="007D6467" w:rsidRPr="00692FFC" w14:paraId="0A110602" w14:textId="77777777" w:rsidTr="00DE48B8">
        <w:trPr>
          <w:trHeight w:val="20"/>
        </w:trPr>
        <w:tc>
          <w:tcPr>
            <w:tcW w:w="701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58A7CDEA" w14:textId="77777777" w:rsidR="00BE45F5" w:rsidRPr="00692FFC" w:rsidRDefault="00BE45F5" w:rsidP="00640559">
            <w:pPr>
              <w:rPr>
                <w:rFonts w:cs="Times New Roman"/>
              </w:rPr>
            </w:pPr>
            <w:r w:rsidRPr="00336A78">
              <w:t>Other HOPWA housing assistance</w:t>
            </w:r>
          </w:p>
        </w:tc>
        <w:tc>
          <w:tcPr>
            <w:tcW w:w="3209" w:type="dxa"/>
            <w:vMerge/>
            <w:tcBorders>
              <w:top w:val="nil"/>
              <w:left w:val="single" w:sz="4" w:space="0" w:color="FFFFFF" w:themeColor="background1"/>
              <w:bottom w:val="nil"/>
              <w:right w:val="single" w:sz="4" w:space="0" w:color="FFFFFF" w:themeColor="background1"/>
            </w:tcBorders>
            <w:shd w:val="clear" w:color="auto" w:fill="DEEAF6" w:themeFill="accent1" w:themeFillTint="33"/>
            <w:vAlign w:val="center"/>
          </w:tcPr>
          <w:p w14:paraId="38936832" w14:textId="77777777" w:rsidR="00BE45F5" w:rsidRPr="00692FFC" w:rsidRDefault="00BE45F5" w:rsidP="00640559">
            <w:pPr>
              <w:jc w:val="center"/>
              <w:rPr>
                <w:rFonts w:cs="Times New Roman"/>
                <w:i/>
              </w:rPr>
            </w:pPr>
          </w:p>
        </w:tc>
      </w:tr>
      <w:tr w:rsidR="007D6467" w:rsidRPr="00692FFC" w14:paraId="5DE5ED42" w14:textId="77777777" w:rsidTr="00DE48B8">
        <w:trPr>
          <w:trHeight w:val="20"/>
        </w:trPr>
        <w:tc>
          <w:tcPr>
            <w:tcW w:w="701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4A2024E9" w14:textId="77777777" w:rsidR="00BE45F5" w:rsidRPr="00692FFC" w:rsidRDefault="00BE45F5" w:rsidP="00640559">
            <w:pPr>
              <w:rPr>
                <w:rFonts w:cs="Times New Roman"/>
              </w:rPr>
            </w:pPr>
            <w:r w:rsidRPr="00336A78">
              <w:t>Other non-HOPWA housing assistance</w:t>
            </w:r>
          </w:p>
        </w:tc>
        <w:tc>
          <w:tcPr>
            <w:tcW w:w="3209" w:type="dxa"/>
            <w:vMerge/>
            <w:tcBorders>
              <w:top w:val="nil"/>
              <w:left w:val="single" w:sz="4" w:space="0" w:color="FFFFFF" w:themeColor="background1"/>
              <w:bottom w:val="nil"/>
              <w:right w:val="single" w:sz="4" w:space="0" w:color="FFFFFF" w:themeColor="background1"/>
            </w:tcBorders>
            <w:shd w:val="clear" w:color="auto" w:fill="DEEAF6" w:themeFill="accent1" w:themeFillTint="33"/>
            <w:vAlign w:val="center"/>
          </w:tcPr>
          <w:p w14:paraId="4E34E299" w14:textId="77777777" w:rsidR="00BE45F5" w:rsidRPr="00692FFC" w:rsidRDefault="00BE45F5" w:rsidP="00640559">
            <w:pPr>
              <w:jc w:val="center"/>
              <w:rPr>
                <w:rFonts w:cs="Times New Roman"/>
                <w:i/>
              </w:rPr>
            </w:pPr>
          </w:p>
        </w:tc>
      </w:tr>
      <w:tr w:rsidR="007D6467" w:rsidRPr="00692FFC" w14:paraId="28E482C0" w14:textId="77777777" w:rsidTr="00DE48B8">
        <w:trPr>
          <w:trHeight w:val="20"/>
        </w:trPr>
        <w:tc>
          <w:tcPr>
            <w:tcW w:w="701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58CBE979" w14:textId="77777777" w:rsidR="00BE45F5" w:rsidRPr="00692FFC" w:rsidRDefault="00BE45F5" w:rsidP="00640559">
            <w:pPr>
              <w:rPr>
                <w:rFonts w:cs="Times New Roman"/>
              </w:rPr>
            </w:pPr>
            <w:r w:rsidRPr="00336A78">
              <w:t>Private housing</w:t>
            </w:r>
          </w:p>
        </w:tc>
        <w:tc>
          <w:tcPr>
            <w:tcW w:w="3209" w:type="dxa"/>
            <w:vMerge/>
            <w:tcBorders>
              <w:top w:val="nil"/>
              <w:left w:val="single" w:sz="4" w:space="0" w:color="FFFFFF" w:themeColor="background1"/>
              <w:bottom w:val="nil"/>
              <w:right w:val="single" w:sz="4" w:space="0" w:color="FFFFFF" w:themeColor="background1"/>
            </w:tcBorders>
            <w:shd w:val="clear" w:color="auto" w:fill="DEEAF6" w:themeFill="accent1" w:themeFillTint="33"/>
            <w:vAlign w:val="center"/>
          </w:tcPr>
          <w:p w14:paraId="21C8A166" w14:textId="77777777" w:rsidR="00BE45F5" w:rsidRPr="00692FFC" w:rsidRDefault="00BE45F5" w:rsidP="00640559">
            <w:pPr>
              <w:jc w:val="center"/>
              <w:rPr>
                <w:rFonts w:cs="Times New Roman"/>
                <w:i/>
              </w:rPr>
            </w:pPr>
          </w:p>
        </w:tc>
      </w:tr>
      <w:tr w:rsidR="00BE45F5" w:rsidRPr="00692FFC" w14:paraId="42586432" w14:textId="77777777" w:rsidTr="00DE48B8">
        <w:trPr>
          <w:trHeight w:val="20"/>
        </w:trPr>
        <w:tc>
          <w:tcPr>
            <w:tcW w:w="7015" w:type="dxa"/>
            <w:tcBorders>
              <w:top w:val="nil"/>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tcPr>
          <w:p w14:paraId="6178B82B" w14:textId="77777777" w:rsidR="00BE45F5" w:rsidRPr="00692FFC" w:rsidRDefault="00BE45F5" w:rsidP="00640559">
            <w:pPr>
              <w:rPr>
                <w:rFonts w:cs="Times New Roman"/>
              </w:rPr>
            </w:pPr>
            <w:r w:rsidRPr="00336A78">
              <w:t>Institutional arrangement expected to last more than six months</w:t>
            </w:r>
          </w:p>
        </w:tc>
        <w:tc>
          <w:tcPr>
            <w:tcW w:w="3209" w:type="dxa"/>
            <w:vMerge/>
            <w:tcBorders>
              <w:top w:val="nil"/>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6F3E4134" w14:textId="77777777" w:rsidR="00BE45F5" w:rsidRPr="00692FFC" w:rsidRDefault="00BE45F5" w:rsidP="00640559">
            <w:pPr>
              <w:jc w:val="center"/>
              <w:rPr>
                <w:rFonts w:cs="Times New Roman"/>
                <w:i/>
              </w:rPr>
            </w:pPr>
          </w:p>
        </w:tc>
      </w:tr>
      <w:tr w:rsidR="007D6467" w:rsidRPr="00692FFC" w14:paraId="61C8236A" w14:textId="77777777" w:rsidTr="00DE48B8">
        <w:trPr>
          <w:trHeight w:val="20"/>
        </w:trPr>
        <w:tc>
          <w:tcPr>
            <w:tcW w:w="7015"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tcPr>
          <w:p w14:paraId="5408B931" w14:textId="77777777" w:rsidR="00BE45F5" w:rsidRPr="00692FFC" w:rsidRDefault="00BE45F5" w:rsidP="00640559">
            <w:pPr>
              <w:rPr>
                <w:rFonts w:cs="Times New Roman"/>
              </w:rPr>
            </w:pPr>
            <w:r w:rsidRPr="00336A78">
              <w:t>Institutional arrangement expected to last less than six months</w:t>
            </w:r>
          </w:p>
        </w:tc>
        <w:tc>
          <w:tcPr>
            <w:tcW w:w="3209" w:type="dxa"/>
            <w:vMerge w:val="restart"/>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vAlign w:val="center"/>
          </w:tcPr>
          <w:p w14:paraId="6DB55D45" w14:textId="77777777" w:rsidR="00BE45F5" w:rsidRPr="00692FFC" w:rsidRDefault="00BE45F5" w:rsidP="00640559">
            <w:pPr>
              <w:jc w:val="center"/>
              <w:rPr>
                <w:rFonts w:cs="Times New Roman"/>
                <w:i/>
              </w:rPr>
            </w:pPr>
            <w:r w:rsidRPr="00BE45F5">
              <w:rPr>
                <w:rFonts w:cs="Times New Roman"/>
                <w:i/>
              </w:rPr>
              <w:t>Temporarily Stable/Reduced Risk</w:t>
            </w:r>
          </w:p>
        </w:tc>
      </w:tr>
      <w:tr w:rsidR="00BE45F5" w:rsidRPr="00692FFC" w14:paraId="68CE95A1" w14:textId="77777777" w:rsidTr="00DE48B8">
        <w:trPr>
          <w:trHeight w:val="20"/>
        </w:trPr>
        <w:tc>
          <w:tcPr>
            <w:tcW w:w="701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619F58CD" w14:textId="29D30EA9" w:rsidR="00BE45F5" w:rsidRPr="00336A78" w:rsidRDefault="00BE45F5" w:rsidP="00640559">
            <w:r w:rsidRPr="00BE45F5">
              <w:t>Likely to need additional STRMU to maintain current housing arrangements</w:t>
            </w:r>
          </w:p>
        </w:tc>
        <w:tc>
          <w:tcPr>
            <w:tcW w:w="3209" w:type="dxa"/>
            <w:vMerge/>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vAlign w:val="center"/>
          </w:tcPr>
          <w:p w14:paraId="391EAC8E" w14:textId="77777777" w:rsidR="00BE45F5" w:rsidRPr="00BE45F5" w:rsidRDefault="00BE45F5" w:rsidP="00640559">
            <w:pPr>
              <w:jc w:val="center"/>
              <w:rPr>
                <w:rFonts w:cs="Times New Roman"/>
                <w:i/>
              </w:rPr>
            </w:pPr>
          </w:p>
        </w:tc>
      </w:tr>
      <w:tr w:rsidR="00BE45F5" w:rsidRPr="00692FFC" w14:paraId="65F6575A" w14:textId="77777777" w:rsidTr="00DE48B8">
        <w:trPr>
          <w:trHeight w:val="20"/>
        </w:trPr>
        <w:tc>
          <w:tcPr>
            <w:tcW w:w="7015" w:type="dxa"/>
            <w:tcBorders>
              <w:top w:val="nil"/>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tcPr>
          <w:p w14:paraId="56038361" w14:textId="77777777" w:rsidR="00BE45F5" w:rsidRPr="00692FFC" w:rsidRDefault="00BE45F5" w:rsidP="00640559">
            <w:pPr>
              <w:rPr>
                <w:rFonts w:cs="Times New Roman"/>
              </w:rPr>
            </w:pPr>
            <w:r w:rsidRPr="00336A78">
              <w:t>Transitional housing</w:t>
            </w:r>
          </w:p>
        </w:tc>
        <w:tc>
          <w:tcPr>
            <w:tcW w:w="3209" w:type="dxa"/>
            <w:vMerge/>
            <w:tcBorders>
              <w:top w:val="nil"/>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5FD41354" w14:textId="77777777" w:rsidR="00BE45F5" w:rsidRPr="00692FFC" w:rsidRDefault="00BE45F5" w:rsidP="00640559">
            <w:pPr>
              <w:jc w:val="center"/>
              <w:rPr>
                <w:rFonts w:cs="Times New Roman"/>
                <w:i/>
              </w:rPr>
            </w:pPr>
          </w:p>
        </w:tc>
      </w:tr>
      <w:tr w:rsidR="007D6467" w:rsidRPr="00692FFC" w14:paraId="0C3D0862" w14:textId="77777777" w:rsidTr="00DE48B8">
        <w:trPr>
          <w:trHeight w:val="20"/>
        </w:trPr>
        <w:tc>
          <w:tcPr>
            <w:tcW w:w="7015"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tcPr>
          <w:p w14:paraId="36820FBB" w14:textId="77777777" w:rsidR="00BE45F5" w:rsidRPr="00692FFC" w:rsidRDefault="00BE45F5" w:rsidP="00640559">
            <w:pPr>
              <w:rPr>
                <w:rFonts w:cs="Times New Roman"/>
              </w:rPr>
            </w:pPr>
            <w:r w:rsidRPr="00336A78">
              <w:t>Temporary housing</w:t>
            </w:r>
          </w:p>
        </w:tc>
        <w:tc>
          <w:tcPr>
            <w:tcW w:w="3209" w:type="dxa"/>
            <w:vMerge w:val="restart"/>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vAlign w:val="center"/>
          </w:tcPr>
          <w:p w14:paraId="36A25253" w14:textId="77777777" w:rsidR="00BE45F5" w:rsidRPr="00692FFC" w:rsidRDefault="00BE45F5" w:rsidP="00640559">
            <w:pPr>
              <w:jc w:val="center"/>
              <w:rPr>
                <w:rFonts w:cs="Times New Roman"/>
                <w:i/>
              </w:rPr>
            </w:pPr>
            <w:r w:rsidRPr="00BE45F5">
              <w:rPr>
                <w:rFonts w:cs="Times New Roman"/>
                <w:i/>
              </w:rPr>
              <w:t>Unstable Arrangements</w:t>
            </w:r>
          </w:p>
        </w:tc>
      </w:tr>
      <w:tr w:rsidR="007D6467" w:rsidRPr="00692FFC" w14:paraId="2E228022" w14:textId="77777777" w:rsidTr="00DE48B8">
        <w:trPr>
          <w:trHeight w:val="20"/>
        </w:trPr>
        <w:tc>
          <w:tcPr>
            <w:tcW w:w="701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1C773CFE" w14:textId="77777777" w:rsidR="00BE45F5" w:rsidRPr="00692FFC" w:rsidRDefault="00BE45F5" w:rsidP="00640559">
            <w:pPr>
              <w:rPr>
                <w:rFonts w:cs="Times New Roman"/>
              </w:rPr>
            </w:pPr>
            <w:r w:rsidRPr="00336A78">
              <w:t>Emergency shelter</w:t>
            </w:r>
          </w:p>
        </w:tc>
        <w:tc>
          <w:tcPr>
            <w:tcW w:w="3209" w:type="dxa"/>
            <w:vMerge/>
            <w:tcBorders>
              <w:top w:val="nil"/>
              <w:left w:val="single" w:sz="4" w:space="0" w:color="FFFFFF" w:themeColor="background1"/>
              <w:bottom w:val="nil"/>
              <w:right w:val="single" w:sz="4" w:space="0" w:color="FFFFFF" w:themeColor="background1"/>
            </w:tcBorders>
            <w:shd w:val="clear" w:color="auto" w:fill="DEEAF6" w:themeFill="accent1" w:themeFillTint="33"/>
            <w:vAlign w:val="center"/>
          </w:tcPr>
          <w:p w14:paraId="256BA841" w14:textId="77777777" w:rsidR="00BE45F5" w:rsidRPr="00692FFC" w:rsidRDefault="00BE45F5" w:rsidP="00640559">
            <w:pPr>
              <w:jc w:val="center"/>
              <w:rPr>
                <w:rFonts w:cs="Times New Roman"/>
                <w:i/>
              </w:rPr>
            </w:pPr>
          </w:p>
        </w:tc>
      </w:tr>
      <w:tr w:rsidR="007D6467" w:rsidRPr="00692FFC" w14:paraId="436E042F" w14:textId="77777777" w:rsidTr="00DE48B8">
        <w:trPr>
          <w:trHeight w:val="20"/>
        </w:trPr>
        <w:tc>
          <w:tcPr>
            <w:tcW w:w="701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7C9A6CDE" w14:textId="77777777" w:rsidR="00BE45F5" w:rsidRPr="00692FFC" w:rsidRDefault="00BE45F5" w:rsidP="00640559">
            <w:pPr>
              <w:rPr>
                <w:rFonts w:cs="Times New Roman"/>
              </w:rPr>
            </w:pPr>
            <w:r w:rsidRPr="00336A78">
              <w:t>Place not meant for human habitation</w:t>
            </w:r>
          </w:p>
        </w:tc>
        <w:tc>
          <w:tcPr>
            <w:tcW w:w="3209" w:type="dxa"/>
            <w:vMerge/>
            <w:tcBorders>
              <w:top w:val="nil"/>
              <w:left w:val="single" w:sz="4" w:space="0" w:color="FFFFFF" w:themeColor="background1"/>
              <w:bottom w:val="nil"/>
              <w:right w:val="single" w:sz="4" w:space="0" w:color="FFFFFF" w:themeColor="background1"/>
            </w:tcBorders>
            <w:shd w:val="clear" w:color="auto" w:fill="DEEAF6" w:themeFill="accent1" w:themeFillTint="33"/>
            <w:vAlign w:val="center"/>
          </w:tcPr>
          <w:p w14:paraId="4B4F7CA8" w14:textId="77777777" w:rsidR="00BE45F5" w:rsidRPr="00692FFC" w:rsidRDefault="00BE45F5" w:rsidP="00640559">
            <w:pPr>
              <w:jc w:val="center"/>
              <w:rPr>
                <w:rFonts w:cs="Times New Roman"/>
                <w:i/>
              </w:rPr>
            </w:pPr>
          </w:p>
        </w:tc>
      </w:tr>
      <w:tr w:rsidR="007D6467" w:rsidRPr="00692FFC" w14:paraId="21716A4A" w14:textId="77777777" w:rsidTr="00DE48B8">
        <w:trPr>
          <w:trHeight w:val="20"/>
        </w:trPr>
        <w:tc>
          <w:tcPr>
            <w:tcW w:w="701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6EA36007" w14:textId="77777777" w:rsidR="00BE45F5" w:rsidRPr="00692FFC" w:rsidRDefault="00BE45F5" w:rsidP="00640559">
            <w:r w:rsidRPr="00336A78">
              <w:t>Jail/Prison term expected to last more than six months</w:t>
            </w:r>
          </w:p>
        </w:tc>
        <w:tc>
          <w:tcPr>
            <w:tcW w:w="3209" w:type="dxa"/>
            <w:vMerge/>
            <w:tcBorders>
              <w:top w:val="nil"/>
              <w:left w:val="single" w:sz="4" w:space="0" w:color="FFFFFF" w:themeColor="background1"/>
              <w:bottom w:val="nil"/>
              <w:right w:val="single" w:sz="4" w:space="0" w:color="FFFFFF" w:themeColor="background1"/>
            </w:tcBorders>
            <w:shd w:val="clear" w:color="auto" w:fill="DEEAF6" w:themeFill="accent1" w:themeFillTint="33"/>
            <w:vAlign w:val="center"/>
          </w:tcPr>
          <w:p w14:paraId="0CA7EE66" w14:textId="77777777" w:rsidR="00BE45F5" w:rsidRPr="00692FFC" w:rsidRDefault="00BE45F5" w:rsidP="00640559">
            <w:pPr>
              <w:jc w:val="center"/>
              <w:rPr>
                <w:rFonts w:cs="Times New Roman"/>
                <w:i/>
              </w:rPr>
            </w:pPr>
          </w:p>
        </w:tc>
      </w:tr>
      <w:tr w:rsidR="007D6467" w:rsidRPr="00692FFC" w14:paraId="7A2C41F3" w14:textId="77777777" w:rsidTr="00DE48B8">
        <w:trPr>
          <w:trHeight w:val="20"/>
        </w:trPr>
        <w:tc>
          <w:tcPr>
            <w:tcW w:w="701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17076B4F" w14:textId="77777777" w:rsidR="00BE45F5" w:rsidRPr="00692FFC" w:rsidRDefault="00BE45F5" w:rsidP="00640559">
            <w:r w:rsidRPr="00336A78">
              <w:t>Jail/Prison term expected to last less than six months</w:t>
            </w:r>
          </w:p>
        </w:tc>
        <w:tc>
          <w:tcPr>
            <w:tcW w:w="3209" w:type="dxa"/>
            <w:vMerge/>
            <w:tcBorders>
              <w:top w:val="nil"/>
              <w:left w:val="single" w:sz="4" w:space="0" w:color="FFFFFF" w:themeColor="background1"/>
              <w:bottom w:val="nil"/>
              <w:right w:val="single" w:sz="4" w:space="0" w:color="FFFFFF" w:themeColor="background1"/>
            </w:tcBorders>
            <w:shd w:val="clear" w:color="auto" w:fill="DEEAF6" w:themeFill="accent1" w:themeFillTint="33"/>
            <w:vAlign w:val="center"/>
          </w:tcPr>
          <w:p w14:paraId="12AC61AF" w14:textId="77777777" w:rsidR="00BE45F5" w:rsidRPr="00692FFC" w:rsidRDefault="00BE45F5" w:rsidP="00640559">
            <w:pPr>
              <w:jc w:val="center"/>
              <w:rPr>
                <w:rFonts w:cs="Times New Roman"/>
                <w:i/>
              </w:rPr>
            </w:pPr>
          </w:p>
        </w:tc>
      </w:tr>
      <w:tr w:rsidR="00BE45F5" w:rsidRPr="00692FFC" w14:paraId="1AB60669" w14:textId="77777777" w:rsidTr="00DE48B8">
        <w:trPr>
          <w:trHeight w:val="20"/>
        </w:trPr>
        <w:tc>
          <w:tcPr>
            <w:tcW w:w="7015" w:type="dxa"/>
            <w:tcBorders>
              <w:top w:val="nil"/>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tcPr>
          <w:p w14:paraId="0EEAFD25" w14:textId="77777777" w:rsidR="00BE45F5" w:rsidRPr="00692FFC" w:rsidRDefault="00BE45F5" w:rsidP="00640559">
            <w:r w:rsidRPr="00336A78">
              <w:t>Disconnected from care</w:t>
            </w:r>
          </w:p>
        </w:tc>
        <w:tc>
          <w:tcPr>
            <w:tcW w:w="3209" w:type="dxa"/>
            <w:vMerge/>
            <w:tcBorders>
              <w:top w:val="nil"/>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67FE1D46" w14:textId="77777777" w:rsidR="00BE45F5" w:rsidRPr="00692FFC" w:rsidRDefault="00BE45F5" w:rsidP="00640559">
            <w:pPr>
              <w:jc w:val="center"/>
              <w:rPr>
                <w:rFonts w:cs="Times New Roman"/>
                <w:i/>
              </w:rPr>
            </w:pPr>
          </w:p>
        </w:tc>
      </w:tr>
      <w:tr w:rsidR="00BE45F5" w:rsidRPr="00692FFC" w14:paraId="168AFC29" w14:textId="77777777" w:rsidTr="00DE48B8">
        <w:trPr>
          <w:trHeight w:val="20"/>
        </w:trPr>
        <w:tc>
          <w:tcPr>
            <w:tcW w:w="7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tcPr>
          <w:p w14:paraId="5420A6E9" w14:textId="77777777" w:rsidR="00BE45F5" w:rsidRPr="00692FFC" w:rsidRDefault="00BE45F5" w:rsidP="00640559">
            <w:r w:rsidRPr="00336A78">
              <w:t>Death</w:t>
            </w:r>
          </w:p>
        </w:tc>
        <w:tc>
          <w:tcPr>
            <w:tcW w:w="32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03B01E67" w14:textId="77777777" w:rsidR="00BE45F5" w:rsidRPr="00692FFC" w:rsidRDefault="00BE45F5" w:rsidP="00640559">
            <w:pPr>
              <w:jc w:val="center"/>
              <w:rPr>
                <w:rFonts w:cs="Times New Roman"/>
                <w:i/>
              </w:rPr>
            </w:pPr>
            <w:r w:rsidRPr="00BE45F5">
              <w:rPr>
                <w:rFonts w:cs="Times New Roman"/>
                <w:i/>
              </w:rPr>
              <w:t>Life Event</w:t>
            </w:r>
          </w:p>
        </w:tc>
      </w:tr>
    </w:tbl>
    <w:p w14:paraId="47B236BD" w14:textId="026C2E68" w:rsidR="00FF1903" w:rsidRDefault="00FF1903">
      <w:pPr>
        <w:pStyle w:val="NoSpacing"/>
      </w:pPr>
    </w:p>
    <w:p w14:paraId="696BE234" w14:textId="7B44C593" w:rsidR="00A45632" w:rsidRDefault="00C00AC7" w:rsidP="00066B7E">
      <w:pPr>
        <w:pStyle w:val="Heading3"/>
      </w:pPr>
      <w:bookmarkStart w:id="31" w:name="_Toc140755472"/>
      <w:r>
        <w:t>Facility-B</w:t>
      </w:r>
      <w:r w:rsidR="00A45632" w:rsidRPr="00F53A05">
        <w:t xml:space="preserve">ased </w:t>
      </w:r>
      <w:r w:rsidR="00A45632">
        <w:t>Housing</w:t>
      </w:r>
      <w:r w:rsidR="00A45632" w:rsidRPr="00F53A05">
        <w:t xml:space="preserve"> Assistance (</w:t>
      </w:r>
      <w:r w:rsidR="00A45632">
        <w:t>FBHA</w:t>
      </w:r>
      <w:r w:rsidR="00A45632" w:rsidRPr="00F53A05">
        <w:t>) Services</w:t>
      </w:r>
      <w:bookmarkEnd w:id="31"/>
    </w:p>
    <w:p w14:paraId="513F4BEE" w14:textId="5785EBA2" w:rsidR="007E06F5" w:rsidRPr="007E06F5" w:rsidRDefault="007E06F5" w:rsidP="00066B7E">
      <w:pPr>
        <w:pStyle w:val="NoSpacing"/>
      </w:pPr>
      <w:r w:rsidRPr="007E06F5">
        <w:t xml:space="preserve">FBHA encompasses all expenditures for or associated with supportive housing facilities including community residences, single-room occupancy (SRO) dwellings, short-term facilities, project-based rental assistance units, master leased units, and other housing facilities approved by HUD. Generally, FBHA </w:t>
      </w:r>
      <w:r w:rsidR="006844AB">
        <w:t>comprises</w:t>
      </w:r>
      <w:r w:rsidRPr="007E06F5">
        <w:t xml:space="preserve"> three supportive housing categories for populations</w:t>
      </w:r>
      <w:r w:rsidR="007B0DC9">
        <w:t xml:space="preserve"> with special needs</w:t>
      </w:r>
      <w:r w:rsidRPr="007E06F5">
        <w:t>:</w:t>
      </w:r>
    </w:p>
    <w:p w14:paraId="28AEFAAA" w14:textId="11597F82" w:rsidR="007E06F5" w:rsidRPr="007E06F5" w:rsidRDefault="00C00AC7" w:rsidP="00066B7E">
      <w:pPr>
        <w:pStyle w:val="NoSpacing"/>
        <w:numPr>
          <w:ilvl w:val="1"/>
          <w:numId w:val="6"/>
        </w:numPr>
        <w:ind w:left="540"/>
      </w:pPr>
      <w:r>
        <w:t>Short-Term S</w:t>
      </w:r>
      <w:r w:rsidR="007E06F5" w:rsidRPr="007E06F5">
        <w:t>uppo</w:t>
      </w:r>
      <w:r>
        <w:t>rtive H</w:t>
      </w:r>
      <w:r w:rsidR="00FD70DB">
        <w:t>ousing (STSH);</w:t>
      </w:r>
    </w:p>
    <w:p w14:paraId="00252931" w14:textId="10B887F3" w:rsidR="00FD70DB" w:rsidRDefault="00C00AC7" w:rsidP="00066B7E">
      <w:pPr>
        <w:pStyle w:val="NoSpacing"/>
        <w:numPr>
          <w:ilvl w:val="1"/>
          <w:numId w:val="6"/>
        </w:numPr>
        <w:ind w:left="540"/>
      </w:pPr>
      <w:r>
        <w:t>Transitional S</w:t>
      </w:r>
      <w:r w:rsidR="007E06F5" w:rsidRPr="007E06F5">
        <w:t>uppor</w:t>
      </w:r>
      <w:r>
        <w:t>tive H</w:t>
      </w:r>
      <w:r w:rsidR="007E06F5" w:rsidRPr="007E06F5">
        <w:t>ousing (TSH)</w:t>
      </w:r>
      <w:r w:rsidR="00FD70DB">
        <w:t>; and</w:t>
      </w:r>
    </w:p>
    <w:p w14:paraId="5BD3181C" w14:textId="5B71BED3" w:rsidR="007E06F5" w:rsidRPr="007E06F5" w:rsidRDefault="00FD70DB" w:rsidP="00066B7E">
      <w:pPr>
        <w:pStyle w:val="NoSpacing"/>
        <w:numPr>
          <w:ilvl w:val="1"/>
          <w:numId w:val="6"/>
        </w:numPr>
        <w:ind w:left="540"/>
      </w:pPr>
      <w:r w:rsidRPr="007E06F5">
        <w:t>Per</w:t>
      </w:r>
      <w:r w:rsidR="00C00AC7">
        <w:t>manent Supportive H</w:t>
      </w:r>
      <w:r>
        <w:t>ousing (PSH).</w:t>
      </w:r>
    </w:p>
    <w:p w14:paraId="4C50C788" w14:textId="77777777" w:rsidR="007E06F5" w:rsidRPr="007E06F5" w:rsidRDefault="007E06F5" w:rsidP="00066B7E">
      <w:pPr>
        <w:pStyle w:val="NoSpacing"/>
      </w:pPr>
    </w:p>
    <w:p w14:paraId="697B6144" w14:textId="376469AF" w:rsidR="00703F5C" w:rsidRDefault="007E06F5" w:rsidP="00066B7E">
      <w:pPr>
        <w:pStyle w:val="NoSpacing"/>
      </w:pPr>
      <w:r w:rsidRPr="007E06F5">
        <w:t>PSH facilities provide for continued residency as established by a lease or occupancy agreement</w:t>
      </w:r>
      <w:r w:rsidR="007B0DC9" w:rsidRPr="007B0DC9">
        <w:t xml:space="preserve"> </w:t>
      </w:r>
      <w:r w:rsidR="007B0DC9">
        <w:t xml:space="preserve">and </w:t>
      </w:r>
      <w:r w:rsidR="007B0DC9" w:rsidRPr="007B0DC9">
        <w:t xml:space="preserve">enable </w:t>
      </w:r>
      <w:r w:rsidR="007B0DC9">
        <w:t>households</w:t>
      </w:r>
      <w:r w:rsidR="007B0DC9" w:rsidRPr="007B0DC9">
        <w:t xml:space="preserve"> to live as independently as possible</w:t>
      </w:r>
      <w:r w:rsidRPr="007E06F5">
        <w:t xml:space="preserve">. </w:t>
      </w:r>
      <w:r w:rsidR="007B0DC9">
        <w:t xml:space="preserve">Unlike PSH facilities, </w:t>
      </w:r>
      <w:r w:rsidRPr="007E06F5">
        <w:t xml:space="preserve">STSH and TSH facilities </w:t>
      </w:r>
      <w:r w:rsidR="00A6013D">
        <w:t>provide</w:t>
      </w:r>
      <w:r w:rsidR="00A6013D" w:rsidRPr="007E06F5">
        <w:t xml:space="preserve"> </w:t>
      </w:r>
      <w:r w:rsidR="00A6013D">
        <w:t xml:space="preserve">for </w:t>
      </w:r>
      <w:r w:rsidRPr="007E06F5">
        <w:t>term- or service- limited</w:t>
      </w:r>
      <w:r w:rsidR="00A6013D">
        <w:t xml:space="preserve"> residency</w:t>
      </w:r>
      <w:r w:rsidR="007B0DC9">
        <w:t>.</w:t>
      </w:r>
      <w:r w:rsidRPr="007E06F5">
        <w:t xml:space="preserve"> STSH facilities provide temporary shelters to households </w:t>
      </w:r>
      <w:r w:rsidR="00CC62DA">
        <w:t>experiencing</w:t>
      </w:r>
      <w:r w:rsidRPr="007E06F5">
        <w:t xml:space="preserve"> homeless</w:t>
      </w:r>
      <w:r w:rsidR="00CC62DA">
        <w:t>ness</w:t>
      </w:r>
      <w:r w:rsidRPr="007E06F5">
        <w:t xml:space="preserve"> as a bridge to permanent housing. TSH facilities </w:t>
      </w:r>
      <w:r w:rsidR="00913551" w:rsidRPr="00913551">
        <w:t>allow households an opportunity to prepare for permanent housing and develop individualized housing plans that culminate in permanent housing.</w:t>
      </w:r>
      <w:r w:rsidRPr="007E06F5">
        <w:t xml:space="preserve"> The DSHS HOPWA Program currently limits FBHA to STSH and TSH services.</w:t>
      </w:r>
    </w:p>
    <w:p w14:paraId="3D4F6E48" w14:textId="77777777" w:rsidR="00703F5C" w:rsidRDefault="00703F5C" w:rsidP="00066B7E">
      <w:pPr>
        <w:pStyle w:val="NoSpacing"/>
      </w:pPr>
    </w:p>
    <w:p w14:paraId="2B468E4F" w14:textId="1A3F2778" w:rsidR="00703F5C" w:rsidRDefault="00703F5C" w:rsidP="00066B7E">
      <w:pPr>
        <w:pStyle w:val="NoSpacing"/>
      </w:pPr>
      <w:r w:rsidRPr="00703F5C">
        <w:lastRenderedPageBreak/>
        <w:t xml:space="preserve">The AIDS Housing Opportunity Act provides resources and incentives for supportive housing facilities as an alternative to skilled nursing facilities or other such institutional </w:t>
      </w:r>
      <w:r w:rsidR="00B90A02">
        <w:t>settings</w:t>
      </w:r>
      <w:r w:rsidRPr="00703F5C">
        <w:t>. Households receiving FBHA services ought to need some level of supportive services to maintain stability and receive appropriate levels of care.</w:t>
      </w:r>
      <w:r w:rsidR="00D76E08">
        <w:t xml:space="preserve"> </w:t>
      </w:r>
      <w:r w:rsidR="00C74429" w:rsidRPr="00C74429">
        <w:t xml:space="preserve">Project Sponsors </w:t>
      </w:r>
      <w:r w:rsidR="001675FD">
        <w:t>must have</w:t>
      </w:r>
      <w:r w:rsidR="00C74429">
        <w:t xml:space="preserve"> expertise in program and property management and capacity to deliver complex supportive housing services.</w:t>
      </w:r>
    </w:p>
    <w:p w14:paraId="7630F45B" w14:textId="3F24986E" w:rsidR="001675FD" w:rsidRDefault="001675FD" w:rsidP="00066B7E">
      <w:pPr>
        <w:pStyle w:val="NoSpacing"/>
      </w:pPr>
    </w:p>
    <w:p w14:paraId="79F892D1" w14:textId="36B87CAC" w:rsidR="001675FD" w:rsidRDefault="001675FD" w:rsidP="00066B7E">
      <w:pPr>
        <w:pStyle w:val="NoSpacing"/>
      </w:pPr>
      <w:r>
        <w:t>Depending on the program design, sub-activity, and facility, expenditures may include Operating, Leasing, Project-Based Rental Assistance, and Master-Leasing costs. The diagram below depicts allowable expenditures by sub-activity.</w:t>
      </w:r>
    </w:p>
    <w:p w14:paraId="2ABFA71F" w14:textId="62C5E5EC" w:rsidR="00431884" w:rsidRDefault="000F608B">
      <w:pPr>
        <w:pStyle w:val="NoSpacing"/>
      </w:pPr>
      <w:r>
        <w:rPr>
          <w:noProof/>
        </w:rPr>
        <w:drawing>
          <wp:inline distT="0" distB="0" distL="0" distR="0" wp14:anchorId="6F1AF747" wp14:editId="36A73A85">
            <wp:extent cx="6858000" cy="1737360"/>
            <wp:effectExtent l="0" t="19050" r="19050" b="3429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14:paraId="07D211EA" w14:textId="77777777" w:rsidR="00FF1903" w:rsidRPr="00DE48B8" w:rsidRDefault="00FF1903" w:rsidP="00DE48B8">
      <w:pPr>
        <w:pStyle w:val="NoSpacing"/>
        <w:ind w:left="720"/>
        <w:rPr>
          <w:rFonts w:cs="Times New Roman"/>
          <w:b/>
          <w:u w:val="single"/>
        </w:rPr>
      </w:pPr>
    </w:p>
    <w:p w14:paraId="13A957BB" w14:textId="73A1233F" w:rsidR="00354037" w:rsidRDefault="00A23E13">
      <w:pPr>
        <w:pStyle w:val="NoSpacing"/>
        <w:numPr>
          <w:ilvl w:val="0"/>
          <w:numId w:val="87"/>
        </w:numPr>
        <w:ind w:left="720"/>
        <w:rPr>
          <w:rFonts w:cs="Times New Roman"/>
          <w:b/>
          <w:u w:val="single"/>
        </w:rPr>
      </w:pPr>
      <w:r>
        <w:rPr>
          <w:rFonts w:cs="Times New Roman"/>
          <w:b/>
          <w:u w:val="single"/>
        </w:rPr>
        <w:t>Approvals</w:t>
      </w:r>
      <w:r w:rsidR="00803DE0">
        <w:rPr>
          <w:rFonts w:cs="Times New Roman"/>
          <w:b/>
          <w:u w:val="single"/>
        </w:rPr>
        <w:t xml:space="preserve"> and</w:t>
      </w:r>
      <w:r>
        <w:rPr>
          <w:rFonts w:cs="Times New Roman"/>
          <w:b/>
          <w:u w:val="single"/>
        </w:rPr>
        <w:t xml:space="preserve"> </w:t>
      </w:r>
      <w:r w:rsidR="00354037">
        <w:rPr>
          <w:rFonts w:cs="Times New Roman"/>
          <w:b/>
          <w:u w:val="single"/>
        </w:rPr>
        <w:t>Certifications</w:t>
      </w:r>
    </w:p>
    <w:p w14:paraId="76B2D378" w14:textId="774B2A18" w:rsidR="002E51A7" w:rsidRPr="00B47B7E" w:rsidRDefault="002E51A7" w:rsidP="002A61C8">
      <w:pPr>
        <w:pStyle w:val="NoSpacing"/>
        <w:numPr>
          <w:ilvl w:val="0"/>
          <w:numId w:val="154"/>
        </w:numPr>
        <w:ind w:left="1440"/>
        <w:rPr>
          <w:rFonts w:cs="Times New Roman"/>
          <w:b/>
        </w:rPr>
      </w:pPr>
      <w:r w:rsidRPr="00B47B7E">
        <w:rPr>
          <w:rFonts w:cs="Times New Roman"/>
          <w:b/>
        </w:rPr>
        <w:t>Approvals</w:t>
      </w:r>
    </w:p>
    <w:p w14:paraId="478EDF4A" w14:textId="296049A8" w:rsidR="005A308E" w:rsidRPr="00B47B7E" w:rsidRDefault="005A308E">
      <w:pPr>
        <w:pStyle w:val="NoSpacing"/>
        <w:ind w:left="1440"/>
        <w:rPr>
          <w:rFonts w:cs="Times New Roman"/>
        </w:rPr>
      </w:pPr>
      <w:r w:rsidRPr="00ED208F">
        <w:rPr>
          <w:rFonts w:cs="Times New Roman"/>
        </w:rPr>
        <w:t xml:space="preserve">If a Project Sponsor owns single-site or scattered-site facilities and will </w:t>
      </w:r>
      <w:r w:rsidR="00490516" w:rsidRPr="00B47B7E">
        <w:rPr>
          <w:rFonts w:cs="Times New Roman"/>
        </w:rPr>
        <w:t xml:space="preserve">use FBHA to </w:t>
      </w:r>
      <w:r w:rsidRPr="00ED208F">
        <w:rPr>
          <w:rFonts w:cs="Times New Roman"/>
        </w:rPr>
        <w:t>provide residence to households</w:t>
      </w:r>
      <w:r w:rsidRPr="00B47B7E">
        <w:rPr>
          <w:rFonts w:cs="Times New Roman"/>
        </w:rPr>
        <w:t>, DSHS must obtain</w:t>
      </w:r>
      <w:r w:rsidR="005633A8" w:rsidRPr="00B47B7E">
        <w:rPr>
          <w:rFonts w:cs="Times New Roman"/>
        </w:rPr>
        <w:t xml:space="preserve"> a certification of </w:t>
      </w:r>
      <w:r w:rsidRPr="00B47B7E">
        <w:rPr>
          <w:rFonts w:cs="Times New Roman"/>
        </w:rPr>
        <w:t xml:space="preserve">approval </w:t>
      </w:r>
      <w:r w:rsidR="005633A8" w:rsidRPr="00B47B7E">
        <w:rPr>
          <w:rFonts w:cs="Times New Roman"/>
        </w:rPr>
        <w:t>from</w:t>
      </w:r>
      <w:r w:rsidRPr="00B47B7E">
        <w:rPr>
          <w:rFonts w:cs="Times New Roman"/>
        </w:rPr>
        <w:t xml:space="preserve"> the unit of general local government in which </w:t>
      </w:r>
      <w:r w:rsidR="00720E85" w:rsidRPr="00B47B7E">
        <w:rPr>
          <w:rFonts w:cs="Times New Roman"/>
        </w:rPr>
        <w:t>the facility is</w:t>
      </w:r>
      <w:r w:rsidRPr="00B47B7E">
        <w:rPr>
          <w:rFonts w:cs="Times New Roman"/>
        </w:rPr>
        <w:t xml:space="preserve"> located </w:t>
      </w:r>
      <w:r w:rsidR="00720E85" w:rsidRPr="00B47B7E">
        <w:rPr>
          <w:rFonts w:cs="Times New Roman"/>
        </w:rPr>
        <w:t>before the Project Sponsor may provide FBHA services</w:t>
      </w:r>
      <w:r w:rsidR="00F253FF" w:rsidRPr="00B47B7E">
        <w:rPr>
          <w:rFonts w:cs="Times New Roman"/>
        </w:rPr>
        <w:t>.</w:t>
      </w:r>
    </w:p>
    <w:p w14:paraId="5371DE46" w14:textId="77777777" w:rsidR="003C4BDC" w:rsidRPr="00ED208F" w:rsidRDefault="003C4BDC">
      <w:pPr>
        <w:pStyle w:val="NoSpacing"/>
        <w:ind w:left="1440"/>
        <w:rPr>
          <w:rFonts w:cs="Times New Roman"/>
          <w:b/>
        </w:rPr>
      </w:pPr>
    </w:p>
    <w:p w14:paraId="317BD946" w14:textId="620A414B" w:rsidR="002E51A7" w:rsidRPr="00B47B7E" w:rsidRDefault="002E51A7" w:rsidP="002A61C8">
      <w:pPr>
        <w:pStyle w:val="NoSpacing"/>
        <w:numPr>
          <w:ilvl w:val="0"/>
          <w:numId w:val="154"/>
        </w:numPr>
        <w:ind w:left="1440"/>
        <w:rPr>
          <w:rFonts w:cs="Times New Roman"/>
          <w:b/>
        </w:rPr>
      </w:pPr>
      <w:r w:rsidRPr="00B47B7E">
        <w:rPr>
          <w:rFonts w:cs="Times New Roman"/>
          <w:b/>
        </w:rPr>
        <w:t>Certifications</w:t>
      </w:r>
    </w:p>
    <w:p w14:paraId="4D4012F2" w14:textId="463C3A64" w:rsidR="003C4BDC" w:rsidRPr="00B47B7E" w:rsidRDefault="003C4BDC">
      <w:pPr>
        <w:pStyle w:val="NoSpacing"/>
        <w:ind w:left="1440"/>
        <w:rPr>
          <w:rFonts w:cs="Times New Roman"/>
        </w:rPr>
      </w:pPr>
      <w:r w:rsidRPr="00B47B7E">
        <w:rPr>
          <w:rFonts w:cs="Times New Roman"/>
        </w:rPr>
        <w:t xml:space="preserve">Excluding STSH </w:t>
      </w:r>
      <w:r w:rsidR="00B47B7E" w:rsidRPr="00ED208F">
        <w:rPr>
          <w:rFonts w:cs="Times New Roman"/>
        </w:rPr>
        <w:t>payments to independent</w:t>
      </w:r>
      <w:r w:rsidR="00B47B7E">
        <w:rPr>
          <w:rFonts w:cs="Times New Roman"/>
        </w:rPr>
        <w:t xml:space="preserve"> temporary shelter</w:t>
      </w:r>
      <w:r w:rsidR="00B47B7E" w:rsidRPr="00ED208F">
        <w:rPr>
          <w:rFonts w:cs="Times New Roman"/>
        </w:rPr>
        <w:t xml:space="preserve"> vendors</w:t>
      </w:r>
      <w:r w:rsidR="00C00AC7">
        <w:rPr>
          <w:rFonts w:cs="Times New Roman"/>
        </w:rPr>
        <w:t xml:space="preserve"> (see Short-T</w:t>
      </w:r>
      <w:r w:rsidRPr="00B47B7E">
        <w:rPr>
          <w:rFonts w:cs="Times New Roman"/>
        </w:rPr>
        <w:t xml:space="preserve">erm Supportive Housing (STSH) Services, 2. Eligible Costs), per 24 CFR §574.340, </w:t>
      </w:r>
      <w:r w:rsidR="009742C4" w:rsidRPr="00B47B7E">
        <w:rPr>
          <w:rFonts w:cs="Times New Roman"/>
        </w:rPr>
        <w:t>Project Sponsors</w:t>
      </w:r>
      <w:r w:rsidRPr="00B47B7E">
        <w:rPr>
          <w:rFonts w:cs="Times New Roman"/>
        </w:rPr>
        <w:t xml:space="preserve"> </w:t>
      </w:r>
      <w:r w:rsidR="00165FD3">
        <w:rPr>
          <w:rFonts w:cs="Times New Roman"/>
        </w:rPr>
        <w:t xml:space="preserve">planning </w:t>
      </w:r>
      <w:r w:rsidRPr="00B47B7E">
        <w:rPr>
          <w:rFonts w:cs="Times New Roman"/>
        </w:rPr>
        <w:t xml:space="preserve">to provide FBHA must </w:t>
      </w:r>
      <w:r w:rsidR="00165FD3">
        <w:rPr>
          <w:rFonts w:cs="Times New Roman"/>
        </w:rPr>
        <w:t>submit</w:t>
      </w:r>
      <w:r w:rsidR="00165FD3" w:rsidRPr="00B47B7E">
        <w:rPr>
          <w:rFonts w:cs="Times New Roman"/>
        </w:rPr>
        <w:t xml:space="preserve"> </w:t>
      </w:r>
      <w:r w:rsidRPr="00B47B7E">
        <w:rPr>
          <w:rFonts w:cs="Times New Roman"/>
        </w:rPr>
        <w:t xml:space="preserve">the following supportive services certifications to </w:t>
      </w:r>
      <w:r w:rsidR="00570DA0">
        <w:rPr>
          <w:rFonts w:cs="Times New Roman"/>
        </w:rPr>
        <w:t>their AA</w:t>
      </w:r>
      <w:r w:rsidRPr="00B47B7E">
        <w:rPr>
          <w:rFonts w:cs="Times New Roman"/>
        </w:rPr>
        <w:t>:</w:t>
      </w:r>
    </w:p>
    <w:p w14:paraId="2E23A80E" w14:textId="77777777" w:rsidR="003C4BDC" w:rsidRPr="00B47B7E" w:rsidRDefault="003C4BDC" w:rsidP="003A5712">
      <w:pPr>
        <w:pStyle w:val="NoSpacing"/>
        <w:numPr>
          <w:ilvl w:val="0"/>
          <w:numId w:val="151"/>
        </w:numPr>
        <w:ind w:left="1890" w:hanging="450"/>
        <w:rPr>
          <w:rFonts w:cs="Times New Roman"/>
        </w:rPr>
      </w:pPr>
      <w:r w:rsidRPr="00B47B7E">
        <w:rPr>
          <w:rFonts w:cs="Times New Roman"/>
          <w:i/>
        </w:rPr>
        <w:t>Services</w:t>
      </w:r>
      <w:r w:rsidRPr="00B47B7E">
        <w:rPr>
          <w:rFonts w:cs="Times New Roman"/>
        </w:rPr>
        <w:t>. A certification that the Project Sponsor or a service provider will provide supportive services as required by 24 CFR §574.310(a);</w:t>
      </w:r>
    </w:p>
    <w:p w14:paraId="50C5BDC1" w14:textId="77777777" w:rsidR="003C4BDC" w:rsidRPr="00ED208F" w:rsidRDefault="003C4BDC" w:rsidP="003A5712">
      <w:pPr>
        <w:pStyle w:val="NoSpacing"/>
        <w:numPr>
          <w:ilvl w:val="0"/>
          <w:numId w:val="151"/>
        </w:numPr>
        <w:ind w:left="1890" w:hanging="450"/>
        <w:rPr>
          <w:rFonts w:cs="Times New Roman"/>
          <w:b/>
        </w:rPr>
      </w:pPr>
      <w:r w:rsidRPr="00B47B7E">
        <w:rPr>
          <w:rFonts w:cs="Times New Roman"/>
          <w:i/>
        </w:rPr>
        <w:t>Funding</w:t>
      </w:r>
      <w:r w:rsidRPr="00DE48B8">
        <w:rPr>
          <w:rFonts w:cs="Times New Roman"/>
        </w:rPr>
        <w:t>.</w:t>
      </w:r>
      <w:r w:rsidRPr="00B47B7E">
        <w:rPr>
          <w:rFonts w:cs="Times New Roman"/>
        </w:rPr>
        <w:t xml:space="preserve"> A certification that the Project Sponsor will provide an analysis of necessary supportive services and a statement of how the services will be funded;</w:t>
      </w:r>
    </w:p>
    <w:p w14:paraId="3A904F54" w14:textId="4D0D674F" w:rsidR="003C4BDC" w:rsidRPr="00ED208F" w:rsidRDefault="003C4BDC" w:rsidP="003A5712">
      <w:pPr>
        <w:pStyle w:val="NoSpacing"/>
        <w:numPr>
          <w:ilvl w:val="0"/>
          <w:numId w:val="151"/>
        </w:numPr>
        <w:ind w:left="1890" w:hanging="450"/>
        <w:rPr>
          <w:rFonts w:cs="Times New Roman"/>
          <w:b/>
        </w:rPr>
      </w:pPr>
      <w:r w:rsidRPr="00B47B7E">
        <w:rPr>
          <w:rFonts w:cs="Times New Roman"/>
          <w:i/>
        </w:rPr>
        <w:t>Capability.</w:t>
      </w:r>
      <w:r w:rsidRPr="00B47B7E">
        <w:rPr>
          <w:rFonts w:cs="Times New Roman"/>
        </w:rPr>
        <w:t xml:space="preserve"> A certification that the Project Sponsor or service provider is qualified to provide the supportive services.</w:t>
      </w:r>
    </w:p>
    <w:p w14:paraId="2CE62797" w14:textId="77777777" w:rsidR="00B33D3A" w:rsidRPr="00B33D3A" w:rsidRDefault="00B33D3A">
      <w:pPr>
        <w:pStyle w:val="NoSpacing"/>
        <w:rPr>
          <w:rFonts w:cs="Times New Roman"/>
          <w:b/>
        </w:rPr>
      </w:pPr>
    </w:p>
    <w:p w14:paraId="31BBFBCC" w14:textId="77777777" w:rsidR="00CF2CCC" w:rsidRDefault="00CF2CCC" w:rsidP="002A61C8">
      <w:pPr>
        <w:pStyle w:val="ListParagraph"/>
        <w:numPr>
          <w:ilvl w:val="1"/>
          <w:numId w:val="157"/>
        </w:numPr>
        <w:rPr>
          <w:rFonts w:cs="Times New Roman"/>
          <w:b/>
          <w:u w:val="single"/>
        </w:rPr>
      </w:pPr>
      <w:r w:rsidRPr="00ED208F">
        <w:rPr>
          <w:rFonts w:cs="Times New Roman"/>
          <w:b/>
          <w:u w:val="single"/>
        </w:rPr>
        <w:t>Additional DSHS Requirements</w:t>
      </w:r>
    </w:p>
    <w:p w14:paraId="448E17A5" w14:textId="211E5DCE" w:rsidR="00FD70DB" w:rsidRDefault="0099059D">
      <w:pPr>
        <w:pStyle w:val="ListParagraph"/>
        <w:spacing w:after="0"/>
        <w:rPr>
          <w:rFonts w:cs="Times New Roman"/>
        </w:rPr>
      </w:pPr>
      <w:r w:rsidRPr="00B47B7E">
        <w:rPr>
          <w:rFonts w:cs="Times New Roman"/>
        </w:rPr>
        <w:t>Excluding</w:t>
      </w:r>
      <w:r w:rsidR="00B90A02" w:rsidRPr="00B47B7E">
        <w:rPr>
          <w:rFonts w:cs="Times New Roman"/>
        </w:rPr>
        <w:t xml:space="preserve"> STSH </w:t>
      </w:r>
      <w:r w:rsidRPr="00B47B7E">
        <w:rPr>
          <w:rFonts w:cs="Times New Roman"/>
        </w:rPr>
        <w:t>payments</w:t>
      </w:r>
      <w:r w:rsidR="00970CEA" w:rsidRPr="00B47B7E">
        <w:rPr>
          <w:rFonts w:cs="Times New Roman"/>
        </w:rPr>
        <w:t xml:space="preserve"> </w:t>
      </w:r>
      <w:r w:rsidR="00B47B7E" w:rsidRPr="00B47B7E">
        <w:rPr>
          <w:rFonts w:cs="Times New Roman"/>
        </w:rPr>
        <w:t>to independent</w:t>
      </w:r>
      <w:r w:rsidR="00B47B7E">
        <w:rPr>
          <w:rFonts w:cs="Times New Roman"/>
        </w:rPr>
        <w:t xml:space="preserve"> temporary shelter</w:t>
      </w:r>
      <w:r w:rsidR="00B47B7E" w:rsidRPr="00B47B7E">
        <w:rPr>
          <w:rFonts w:cs="Times New Roman"/>
        </w:rPr>
        <w:t xml:space="preserve"> vendors</w:t>
      </w:r>
      <w:r w:rsidRPr="00B47B7E">
        <w:rPr>
          <w:rFonts w:cs="Times New Roman"/>
        </w:rPr>
        <w:t xml:space="preserve"> </w:t>
      </w:r>
      <w:r w:rsidR="00C00AC7">
        <w:rPr>
          <w:rFonts w:cs="Times New Roman"/>
        </w:rPr>
        <w:t>(see Short-T</w:t>
      </w:r>
      <w:r w:rsidRPr="00B47B7E">
        <w:rPr>
          <w:rFonts w:cs="Times New Roman"/>
        </w:rPr>
        <w:t xml:space="preserve">erm Supportive Housing (STSH) Services, 2. Eligible Costs), </w:t>
      </w:r>
      <w:r w:rsidR="005D4BCE">
        <w:rPr>
          <w:rFonts w:cs="Times New Roman"/>
        </w:rPr>
        <w:t>Project Sponsors</w:t>
      </w:r>
      <w:r w:rsidR="005D4BCE" w:rsidRPr="00B47B7E">
        <w:rPr>
          <w:rFonts w:cs="Times New Roman"/>
        </w:rPr>
        <w:t xml:space="preserve"> </w:t>
      </w:r>
      <w:r w:rsidRPr="00B47B7E">
        <w:rPr>
          <w:rFonts w:cs="Times New Roman"/>
        </w:rPr>
        <w:t xml:space="preserve">must collaborate with </w:t>
      </w:r>
      <w:r w:rsidR="00570DA0">
        <w:rPr>
          <w:rFonts w:cs="Times New Roman"/>
        </w:rPr>
        <w:t>their AA</w:t>
      </w:r>
      <w:r w:rsidRPr="00B47B7E">
        <w:rPr>
          <w:rFonts w:cs="Times New Roman"/>
        </w:rPr>
        <w:t xml:space="preserve"> to develop a </w:t>
      </w:r>
      <w:r w:rsidR="00B90A02" w:rsidRPr="00B47B7E">
        <w:rPr>
          <w:rFonts w:cs="Times New Roman"/>
        </w:rPr>
        <w:t xml:space="preserve">comprehensive </w:t>
      </w:r>
      <w:r w:rsidRPr="00B47B7E">
        <w:rPr>
          <w:rFonts w:cs="Times New Roman"/>
        </w:rPr>
        <w:t xml:space="preserve">proposal </w:t>
      </w:r>
      <w:r w:rsidR="00B90A02" w:rsidRPr="00B47B7E">
        <w:rPr>
          <w:rFonts w:cs="Times New Roman"/>
        </w:rPr>
        <w:t>and</w:t>
      </w:r>
      <w:r w:rsidRPr="00B47B7E">
        <w:rPr>
          <w:rFonts w:cs="Times New Roman"/>
        </w:rPr>
        <w:t xml:space="preserve"> service delivery model. </w:t>
      </w:r>
      <w:r w:rsidR="00372497" w:rsidRPr="00B47B7E">
        <w:rPr>
          <w:rFonts w:cs="Times New Roman"/>
        </w:rPr>
        <w:t xml:space="preserve">Proposals </w:t>
      </w:r>
      <w:r w:rsidR="00C64F50" w:rsidRPr="00B47B7E">
        <w:rPr>
          <w:rFonts w:cs="Times New Roman"/>
        </w:rPr>
        <w:t xml:space="preserve">should </w:t>
      </w:r>
      <w:r w:rsidR="00372497" w:rsidRPr="00B47B7E">
        <w:rPr>
          <w:rFonts w:cs="Times New Roman"/>
        </w:rPr>
        <w:t xml:space="preserve">address core FBHA components, including, but not limited to: </w:t>
      </w:r>
      <w:r w:rsidR="00F013FD" w:rsidRPr="00B47B7E">
        <w:rPr>
          <w:rFonts w:cs="Times New Roman"/>
        </w:rPr>
        <w:t>F</w:t>
      </w:r>
      <w:r w:rsidR="00C64F50" w:rsidRPr="00B47B7E">
        <w:rPr>
          <w:rFonts w:cs="Times New Roman"/>
        </w:rPr>
        <w:t>iscal</w:t>
      </w:r>
      <w:r w:rsidR="00372497" w:rsidRPr="00B47B7E">
        <w:rPr>
          <w:rFonts w:cs="Times New Roman"/>
        </w:rPr>
        <w:t xml:space="preserve"> and operational capacity; </w:t>
      </w:r>
      <w:r w:rsidR="00F013FD" w:rsidRPr="00B47B7E">
        <w:rPr>
          <w:rFonts w:cs="Times New Roman"/>
        </w:rPr>
        <w:t xml:space="preserve">funding sources and sustainability; </w:t>
      </w:r>
      <w:r w:rsidR="00E06629" w:rsidRPr="00B47B7E">
        <w:rPr>
          <w:rFonts w:cs="Times New Roman"/>
        </w:rPr>
        <w:t xml:space="preserve">the type of facility; </w:t>
      </w:r>
      <w:r w:rsidR="00F013FD" w:rsidRPr="00B47B7E">
        <w:rPr>
          <w:rFonts w:cs="Times New Roman"/>
        </w:rPr>
        <w:t xml:space="preserve">program and property management; </w:t>
      </w:r>
      <w:r w:rsidR="007F7EAF" w:rsidRPr="00B47B7E">
        <w:rPr>
          <w:rFonts w:cs="Times New Roman"/>
        </w:rPr>
        <w:t xml:space="preserve">target populations and occupancy plan; </w:t>
      </w:r>
      <w:r w:rsidR="00372497" w:rsidRPr="00B47B7E">
        <w:rPr>
          <w:rFonts w:cs="Times New Roman"/>
        </w:rPr>
        <w:t>staffing and supervising</w:t>
      </w:r>
      <w:r w:rsidR="00372497" w:rsidRPr="00ED208F">
        <w:rPr>
          <w:rFonts w:cs="Times New Roman"/>
        </w:rPr>
        <w:t>;</w:t>
      </w:r>
      <w:r w:rsidR="00372497" w:rsidRPr="00B47B7E">
        <w:rPr>
          <w:rFonts w:cs="Times New Roman"/>
        </w:rPr>
        <w:t xml:space="preserve"> </w:t>
      </w:r>
      <w:r w:rsidR="00C64F50" w:rsidRPr="00B47B7E">
        <w:rPr>
          <w:rFonts w:cs="Times New Roman"/>
        </w:rPr>
        <w:t xml:space="preserve">service </w:t>
      </w:r>
      <w:r w:rsidR="00501586" w:rsidRPr="00B47B7E">
        <w:rPr>
          <w:rFonts w:cs="Times New Roman"/>
        </w:rPr>
        <w:t>capability and delivery</w:t>
      </w:r>
      <w:r w:rsidR="00C64F50" w:rsidRPr="00B47B7E">
        <w:rPr>
          <w:rFonts w:cs="Times New Roman"/>
        </w:rPr>
        <w:t xml:space="preserve">; roles and responsibilities; </w:t>
      </w:r>
      <w:r w:rsidR="007F7EAF" w:rsidRPr="00B47B7E">
        <w:rPr>
          <w:rFonts w:cs="Times New Roman"/>
        </w:rPr>
        <w:t xml:space="preserve">program and house rules; affirmative outreach and marketing; </w:t>
      </w:r>
      <w:r w:rsidR="001D54E0" w:rsidRPr="00B47B7E">
        <w:rPr>
          <w:rFonts w:cs="Times New Roman"/>
        </w:rPr>
        <w:t xml:space="preserve">compliance with fair housing laws; </w:t>
      </w:r>
      <w:r w:rsidR="007F7EAF" w:rsidRPr="00B47B7E">
        <w:rPr>
          <w:rFonts w:cs="Times New Roman"/>
        </w:rPr>
        <w:t>etc.</w:t>
      </w:r>
      <w:r w:rsidR="00372497" w:rsidRPr="00B47B7E">
        <w:rPr>
          <w:rFonts w:cs="Times New Roman"/>
        </w:rPr>
        <w:t xml:space="preserve"> </w:t>
      </w:r>
      <w:r w:rsidR="00372497" w:rsidRPr="00ED208F">
        <w:rPr>
          <w:rFonts w:cs="Times New Roman"/>
        </w:rPr>
        <w:t>AAs will consider proposals, with DSHS oversight, on a case-by-case basis. AA</w:t>
      </w:r>
      <w:r w:rsidR="00570DA0">
        <w:rPr>
          <w:rFonts w:cs="Times New Roman"/>
        </w:rPr>
        <w:t>s</w:t>
      </w:r>
      <w:r w:rsidR="00372497" w:rsidRPr="00ED208F">
        <w:rPr>
          <w:rFonts w:cs="Times New Roman"/>
        </w:rPr>
        <w:t xml:space="preserve"> must consult with DSHS and DSHS must consult with HUD before </w:t>
      </w:r>
      <w:r w:rsidR="008C271C">
        <w:rPr>
          <w:rFonts w:cs="Times New Roman"/>
        </w:rPr>
        <w:t>DSHS approves the proposal</w:t>
      </w:r>
      <w:r w:rsidR="00372497" w:rsidRPr="00ED208F">
        <w:rPr>
          <w:rFonts w:cs="Times New Roman"/>
        </w:rPr>
        <w:t>.</w:t>
      </w:r>
    </w:p>
    <w:p w14:paraId="2D6804AC" w14:textId="2619CE26" w:rsidR="003F1020" w:rsidRPr="00CF2CCC" w:rsidRDefault="003F1020">
      <w:pPr>
        <w:pStyle w:val="NoSpacing"/>
        <w:ind w:left="720"/>
        <w:rPr>
          <w:rFonts w:cs="Times New Roman"/>
        </w:rPr>
      </w:pPr>
    </w:p>
    <w:p w14:paraId="1CAFCA21" w14:textId="13B7A152" w:rsidR="00703F5C" w:rsidRPr="00ED208F" w:rsidRDefault="00B25A50" w:rsidP="002A61C8">
      <w:pPr>
        <w:pStyle w:val="ListParagraph"/>
        <w:numPr>
          <w:ilvl w:val="1"/>
          <w:numId w:val="157"/>
        </w:numPr>
        <w:spacing w:after="0"/>
        <w:rPr>
          <w:rFonts w:cs="Times New Roman"/>
        </w:rPr>
      </w:pPr>
      <w:r w:rsidRPr="00CF2CCC">
        <w:rPr>
          <w:rFonts w:cs="Times New Roman"/>
          <w:b/>
          <w:u w:val="single"/>
        </w:rPr>
        <w:t>FBHA Outcome Measures</w:t>
      </w:r>
    </w:p>
    <w:p w14:paraId="706DBEB2" w14:textId="72C8A964" w:rsidR="00495AE2" w:rsidRDefault="00703F5C" w:rsidP="0013270A">
      <w:pPr>
        <w:pStyle w:val="NoSpacing"/>
        <w:ind w:left="720"/>
        <w:rPr>
          <w:rFonts w:cs="Times New Roman"/>
        </w:rPr>
      </w:pPr>
      <w:bookmarkStart w:id="32" w:name="_Hlk125384754"/>
      <w:r w:rsidRPr="00703F5C">
        <w:rPr>
          <w:rFonts w:cs="Times New Roman"/>
        </w:rPr>
        <w:t xml:space="preserve">To measure the effectiveness of </w:t>
      </w:r>
      <w:r w:rsidR="00814015">
        <w:rPr>
          <w:rFonts w:cs="Times New Roman"/>
        </w:rPr>
        <w:t>FBHA</w:t>
      </w:r>
      <w:r w:rsidRPr="00703F5C">
        <w:rPr>
          <w:rFonts w:cs="Times New Roman"/>
        </w:rPr>
        <w:t xml:space="preserve"> services</w:t>
      </w:r>
      <w:r w:rsidR="00501586">
        <w:rPr>
          <w:rFonts w:cs="Times New Roman"/>
        </w:rPr>
        <w:t xml:space="preserve"> (both STSH and TSH)</w:t>
      </w:r>
      <w:r w:rsidRPr="00703F5C">
        <w:rPr>
          <w:rFonts w:cs="Times New Roman"/>
        </w:rPr>
        <w:t xml:space="preserve">, Project Sponsors record household </w:t>
      </w:r>
      <w:r w:rsidR="007D6467">
        <w:rPr>
          <w:rFonts w:cs="Times New Roman"/>
        </w:rPr>
        <w:t>status</w:t>
      </w:r>
      <w:r w:rsidR="007D6467" w:rsidRPr="00703F5C">
        <w:rPr>
          <w:rFonts w:cs="Times New Roman"/>
        </w:rPr>
        <w:t xml:space="preserve"> </w:t>
      </w:r>
      <w:r w:rsidRPr="00703F5C">
        <w:rPr>
          <w:rFonts w:cs="Times New Roman"/>
        </w:rPr>
        <w:t xml:space="preserve">outcomes on </w:t>
      </w:r>
      <w:r w:rsidRPr="00703F5C">
        <w:rPr>
          <w:rFonts w:cs="Times New Roman"/>
          <w:b/>
          <w:color w:val="5B9BD5" w:themeColor="accent1"/>
        </w:rPr>
        <w:t xml:space="preserve">Form P: Service Outcome Assessment and Program </w:t>
      </w:r>
      <w:r w:rsidR="00E76C1D">
        <w:rPr>
          <w:rFonts w:cs="Times New Roman"/>
          <w:b/>
          <w:color w:val="5B9BD5" w:themeColor="accent1"/>
        </w:rPr>
        <w:t>Disenrollment</w:t>
      </w:r>
      <w:r w:rsidR="00E76C1D" w:rsidRPr="006A2577">
        <w:rPr>
          <w:rFonts w:cs="Times New Roman"/>
          <w:b/>
          <w:color w:val="5B9BD5" w:themeColor="accent1"/>
        </w:rPr>
        <w:t xml:space="preserve"> </w:t>
      </w:r>
      <w:r w:rsidRPr="00703F5C">
        <w:rPr>
          <w:rFonts w:cs="Times New Roman"/>
          <w:b/>
          <w:color w:val="5B9BD5" w:themeColor="accent1"/>
        </w:rPr>
        <w:t>Worksheet</w:t>
      </w:r>
      <w:r w:rsidRPr="00703F5C">
        <w:rPr>
          <w:rFonts w:cs="Times New Roman"/>
        </w:rPr>
        <w:t xml:space="preserve">. </w:t>
      </w:r>
      <w:r w:rsidR="007F673C" w:rsidRPr="007F673C">
        <w:rPr>
          <w:rFonts w:cs="Times New Roman"/>
        </w:rPr>
        <w:t>Project Sponsors complete Form P if the household will disenroll from the program or continue to the next annual eligibility period</w:t>
      </w:r>
      <w:r w:rsidR="008817C3" w:rsidRPr="008817C3">
        <w:rPr>
          <w:rFonts w:cs="Times New Roman"/>
        </w:rPr>
        <w:t>.</w:t>
      </w:r>
      <w:r w:rsidR="008817C3">
        <w:rPr>
          <w:rFonts w:cs="Times New Roman"/>
        </w:rPr>
        <w:t xml:space="preserve"> </w:t>
      </w:r>
      <w:r w:rsidR="008C1E1D" w:rsidRPr="00ED208F">
        <w:rPr>
          <w:rFonts w:cs="Times New Roman"/>
        </w:rPr>
        <w:t xml:space="preserve">Additionally, Project Sponsors report </w:t>
      </w:r>
      <w:r w:rsidR="008C1E1D">
        <w:rPr>
          <w:rFonts w:cs="Times New Roman"/>
        </w:rPr>
        <w:t>household access to care outcomes; household sources of income; household sources of medical insurance and/or assistance; and how long each household has received FBHA services</w:t>
      </w:r>
      <w:r w:rsidR="00E45AE5">
        <w:rPr>
          <w:rFonts w:cs="Times New Roman"/>
        </w:rPr>
        <w:t>.</w:t>
      </w:r>
      <w:r w:rsidR="008C1E1D">
        <w:rPr>
          <w:rFonts w:cs="Times New Roman"/>
        </w:rPr>
        <w:t xml:space="preserve"> </w:t>
      </w:r>
      <w:r w:rsidRPr="00703F5C">
        <w:rPr>
          <w:rFonts w:cs="Times New Roman"/>
        </w:rPr>
        <w:t>Outcome categories include:</w:t>
      </w:r>
      <w:r w:rsidR="00495AE2">
        <w:rPr>
          <w:rFonts w:cs="Times New Roman"/>
        </w:rPr>
        <w:br w:type="page"/>
      </w:r>
    </w:p>
    <w:tbl>
      <w:tblPr>
        <w:tblStyle w:val="TableGrid15"/>
        <w:tblW w:w="10224" w:type="dxa"/>
        <w:tblInd w:w="720" w:type="dxa"/>
        <w:tblLook w:val="04A0" w:firstRow="1" w:lastRow="0" w:firstColumn="1" w:lastColumn="0" w:noHBand="0" w:noVBand="1"/>
      </w:tblPr>
      <w:tblGrid>
        <w:gridCol w:w="7015"/>
        <w:gridCol w:w="3209"/>
      </w:tblGrid>
      <w:tr w:rsidR="007D6467" w:rsidRPr="00692FFC" w14:paraId="2F78322C" w14:textId="77777777" w:rsidTr="00640559">
        <w:trPr>
          <w:trHeight w:val="20"/>
        </w:trPr>
        <w:tc>
          <w:tcPr>
            <w:tcW w:w="7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tcPr>
          <w:p w14:paraId="47BADB8E" w14:textId="77777777" w:rsidR="007D6467" w:rsidRPr="00692FFC" w:rsidRDefault="007D6467" w:rsidP="00640559">
            <w:pPr>
              <w:rPr>
                <w:rFonts w:cs="Times New Roman"/>
                <w:b/>
              </w:rPr>
            </w:pPr>
            <w:r w:rsidRPr="00692FFC">
              <w:rPr>
                <w:rFonts w:cs="Times New Roman"/>
                <w:b/>
              </w:rPr>
              <w:lastRenderedPageBreak/>
              <w:t xml:space="preserve">Household </w:t>
            </w:r>
            <w:r>
              <w:rPr>
                <w:rFonts w:cs="Times New Roman"/>
                <w:b/>
              </w:rPr>
              <w:t>Status</w:t>
            </w:r>
          </w:p>
        </w:tc>
        <w:tc>
          <w:tcPr>
            <w:tcW w:w="32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vAlign w:val="center"/>
          </w:tcPr>
          <w:p w14:paraId="6685A0D6" w14:textId="77777777" w:rsidR="007D6467" w:rsidRPr="00692FFC" w:rsidRDefault="007D6467" w:rsidP="00640559">
            <w:pPr>
              <w:jc w:val="center"/>
              <w:rPr>
                <w:rFonts w:cs="Times New Roman"/>
                <w:b/>
              </w:rPr>
            </w:pPr>
            <w:r w:rsidRPr="00692FFC">
              <w:rPr>
                <w:rFonts w:cs="Times New Roman"/>
                <w:b/>
              </w:rPr>
              <w:t>Outcome</w:t>
            </w:r>
          </w:p>
        </w:tc>
      </w:tr>
      <w:tr w:rsidR="007D6467" w:rsidRPr="00692FFC" w14:paraId="36E635F0" w14:textId="77777777" w:rsidTr="00640559">
        <w:trPr>
          <w:trHeight w:val="20"/>
        </w:trPr>
        <w:tc>
          <w:tcPr>
            <w:tcW w:w="7015"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tcPr>
          <w:p w14:paraId="31298233" w14:textId="77777777" w:rsidR="007D6467" w:rsidRPr="00692FFC" w:rsidRDefault="007D6467" w:rsidP="00640559">
            <w:pPr>
              <w:rPr>
                <w:rFonts w:cs="Times New Roman"/>
              </w:rPr>
            </w:pPr>
            <w:r w:rsidRPr="00336A78">
              <w:t>Continued to the next year</w:t>
            </w:r>
          </w:p>
        </w:tc>
        <w:tc>
          <w:tcPr>
            <w:tcW w:w="3209" w:type="dxa"/>
            <w:vMerge w:val="restart"/>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vAlign w:val="center"/>
          </w:tcPr>
          <w:p w14:paraId="2074AB8E" w14:textId="77777777" w:rsidR="007D6467" w:rsidRPr="00692FFC" w:rsidRDefault="007D6467" w:rsidP="00640559">
            <w:pPr>
              <w:jc w:val="center"/>
              <w:rPr>
                <w:rFonts w:cs="Times New Roman"/>
                <w:i/>
              </w:rPr>
            </w:pPr>
            <w:r w:rsidRPr="00BE45F5">
              <w:rPr>
                <w:rFonts w:cs="Times New Roman"/>
                <w:i/>
              </w:rPr>
              <w:t>Stable/Permanent Housing</w:t>
            </w:r>
          </w:p>
        </w:tc>
      </w:tr>
      <w:tr w:rsidR="007D6467" w:rsidRPr="00692FFC" w14:paraId="331CC958" w14:textId="77777777" w:rsidTr="00640559">
        <w:trPr>
          <w:trHeight w:val="20"/>
        </w:trPr>
        <w:tc>
          <w:tcPr>
            <w:tcW w:w="701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38AFF960" w14:textId="77777777" w:rsidR="007D6467" w:rsidRPr="00692FFC" w:rsidRDefault="007D6467" w:rsidP="00640559">
            <w:pPr>
              <w:rPr>
                <w:rFonts w:cs="Times New Roman"/>
              </w:rPr>
            </w:pPr>
            <w:r w:rsidRPr="00336A78">
              <w:t>Other HOPWA housing assistance</w:t>
            </w:r>
          </w:p>
        </w:tc>
        <w:tc>
          <w:tcPr>
            <w:tcW w:w="3209" w:type="dxa"/>
            <w:vMerge/>
            <w:tcBorders>
              <w:top w:val="nil"/>
              <w:left w:val="single" w:sz="4" w:space="0" w:color="FFFFFF" w:themeColor="background1"/>
              <w:bottom w:val="nil"/>
              <w:right w:val="single" w:sz="4" w:space="0" w:color="FFFFFF" w:themeColor="background1"/>
            </w:tcBorders>
            <w:shd w:val="clear" w:color="auto" w:fill="DEEAF6" w:themeFill="accent1" w:themeFillTint="33"/>
            <w:vAlign w:val="center"/>
          </w:tcPr>
          <w:p w14:paraId="51FEB2C3" w14:textId="77777777" w:rsidR="007D6467" w:rsidRPr="00692FFC" w:rsidRDefault="007D6467" w:rsidP="00640559">
            <w:pPr>
              <w:jc w:val="center"/>
              <w:rPr>
                <w:rFonts w:cs="Times New Roman"/>
                <w:i/>
              </w:rPr>
            </w:pPr>
          </w:p>
        </w:tc>
      </w:tr>
      <w:tr w:rsidR="007D6467" w:rsidRPr="00692FFC" w14:paraId="21EFCD6B" w14:textId="77777777" w:rsidTr="00640559">
        <w:trPr>
          <w:trHeight w:val="20"/>
        </w:trPr>
        <w:tc>
          <w:tcPr>
            <w:tcW w:w="701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7264FB06" w14:textId="77777777" w:rsidR="007D6467" w:rsidRPr="00692FFC" w:rsidRDefault="007D6467" w:rsidP="00640559">
            <w:pPr>
              <w:rPr>
                <w:rFonts w:cs="Times New Roman"/>
              </w:rPr>
            </w:pPr>
            <w:r w:rsidRPr="00336A78">
              <w:t>Other non-HOPWA housing assistance</w:t>
            </w:r>
          </w:p>
        </w:tc>
        <w:tc>
          <w:tcPr>
            <w:tcW w:w="3209" w:type="dxa"/>
            <w:vMerge/>
            <w:tcBorders>
              <w:top w:val="nil"/>
              <w:left w:val="single" w:sz="4" w:space="0" w:color="FFFFFF" w:themeColor="background1"/>
              <w:bottom w:val="nil"/>
              <w:right w:val="single" w:sz="4" w:space="0" w:color="FFFFFF" w:themeColor="background1"/>
            </w:tcBorders>
            <w:shd w:val="clear" w:color="auto" w:fill="DEEAF6" w:themeFill="accent1" w:themeFillTint="33"/>
            <w:vAlign w:val="center"/>
          </w:tcPr>
          <w:p w14:paraId="26FF0F04" w14:textId="77777777" w:rsidR="007D6467" w:rsidRPr="00692FFC" w:rsidRDefault="007D6467" w:rsidP="00640559">
            <w:pPr>
              <w:jc w:val="center"/>
              <w:rPr>
                <w:rFonts w:cs="Times New Roman"/>
                <w:i/>
              </w:rPr>
            </w:pPr>
          </w:p>
        </w:tc>
      </w:tr>
      <w:tr w:rsidR="007D6467" w:rsidRPr="00692FFC" w14:paraId="78A04FBE" w14:textId="77777777" w:rsidTr="00640559">
        <w:trPr>
          <w:trHeight w:val="20"/>
        </w:trPr>
        <w:tc>
          <w:tcPr>
            <w:tcW w:w="701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07A847DC" w14:textId="77777777" w:rsidR="007D6467" w:rsidRPr="00692FFC" w:rsidRDefault="007D6467" w:rsidP="00640559">
            <w:pPr>
              <w:rPr>
                <w:rFonts w:cs="Times New Roman"/>
              </w:rPr>
            </w:pPr>
            <w:r w:rsidRPr="00336A78">
              <w:t>Private housing</w:t>
            </w:r>
          </w:p>
        </w:tc>
        <w:tc>
          <w:tcPr>
            <w:tcW w:w="3209" w:type="dxa"/>
            <w:vMerge/>
            <w:tcBorders>
              <w:top w:val="nil"/>
              <w:left w:val="single" w:sz="4" w:space="0" w:color="FFFFFF" w:themeColor="background1"/>
              <w:bottom w:val="nil"/>
              <w:right w:val="single" w:sz="4" w:space="0" w:color="FFFFFF" w:themeColor="background1"/>
            </w:tcBorders>
            <w:shd w:val="clear" w:color="auto" w:fill="DEEAF6" w:themeFill="accent1" w:themeFillTint="33"/>
            <w:vAlign w:val="center"/>
          </w:tcPr>
          <w:p w14:paraId="5DD9690F" w14:textId="77777777" w:rsidR="007D6467" w:rsidRPr="00692FFC" w:rsidRDefault="007D6467" w:rsidP="00640559">
            <w:pPr>
              <w:jc w:val="center"/>
              <w:rPr>
                <w:rFonts w:cs="Times New Roman"/>
                <w:i/>
              </w:rPr>
            </w:pPr>
          </w:p>
        </w:tc>
      </w:tr>
      <w:tr w:rsidR="007D6467" w:rsidRPr="00692FFC" w14:paraId="316E2229" w14:textId="77777777" w:rsidTr="00640559">
        <w:trPr>
          <w:trHeight w:val="20"/>
        </w:trPr>
        <w:tc>
          <w:tcPr>
            <w:tcW w:w="7015" w:type="dxa"/>
            <w:tcBorders>
              <w:top w:val="nil"/>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tcPr>
          <w:p w14:paraId="3920306C" w14:textId="77777777" w:rsidR="007D6467" w:rsidRPr="00692FFC" w:rsidRDefault="007D6467" w:rsidP="00640559">
            <w:pPr>
              <w:rPr>
                <w:rFonts w:cs="Times New Roman"/>
              </w:rPr>
            </w:pPr>
            <w:r w:rsidRPr="00336A78">
              <w:t>Institutional arrangement expected to last more than six months</w:t>
            </w:r>
          </w:p>
        </w:tc>
        <w:tc>
          <w:tcPr>
            <w:tcW w:w="3209" w:type="dxa"/>
            <w:vMerge/>
            <w:tcBorders>
              <w:top w:val="nil"/>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22EE7794" w14:textId="77777777" w:rsidR="007D6467" w:rsidRPr="00692FFC" w:rsidRDefault="007D6467" w:rsidP="00640559">
            <w:pPr>
              <w:jc w:val="center"/>
              <w:rPr>
                <w:rFonts w:cs="Times New Roman"/>
                <w:i/>
              </w:rPr>
            </w:pPr>
          </w:p>
        </w:tc>
      </w:tr>
      <w:tr w:rsidR="007D6467" w:rsidRPr="00692FFC" w14:paraId="070AF8D5" w14:textId="77777777" w:rsidTr="00640559">
        <w:trPr>
          <w:trHeight w:val="20"/>
        </w:trPr>
        <w:tc>
          <w:tcPr>
            <w:tcW w:w="7015"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tcPr>
          <w:p w14:paraId="69215DFA" w14:textId="77777777" w:rsidR="007D6467" w:rsidRPr="00692FFC" w:rsidRDefault="007D6467" w:rsidP="00640559">
            <w:pPr>
              <w:rPr>
                <w:rFonts w:cs="Times New Roman"/>
              </w:rPr>
            </w:pPr>
            <w:r w:rsidRPr="00336A78">
              <w:t>Institutional arrangement expected to last less than six months</w:t>
            </w:r>
          </w:p>
        </w:tc>
        <w:tc>
          <w:tcPr>
            <w:tcW w:w="3209" w:type="dxa"/>
            <w:vMerge w:val="restart"/>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vAlign w:val="center"/>
          </w:tcPr>
          <w:p w14:paraId="401F2CEB" w14:textId="77777777" w:rsidR="007D6467" w:rsidRPr="00692FFC" w:rsidRDefault="007D6467" w:rsidP="00640559">
            <w:pPr>
              <w:jc w:val="center"/>
              <w:rPr>
                <w:rFonts w:cs="Times New Roman"/>
                <w:i/>
              </w:rPr>
            </w:pPr>
            <w:r w:rsidRPr="00BE45F5">
              <w:rPr>
                <w:rFonts w:cs="Times New Roman"/>
                <w:i/>
              </w:rPr>
              <w:t>Temporarily Stable/Reduced Risk</w:t>
            </w:r>
          </w:p>
        </w:tc>
      </w:tr>
      <w:tr w:rsidR="007D6467" w:rsidRPr="00692FFC" w14:paraId="06237682" w14:textId="77777777" w:rsidTr="00640559">
        <w:trPr>
          <w:trHeight w:val="20"/>
        </w:trPr>
        <w:tc>
          <w:tcPr>
            <w:tcW w:w="7015" w:type="dxa"/>
            <w:tcBorders>
              <w:top w:val="nil"/>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tcPr>
          <w:p w14:paraId="4AF8C577" w14:textId="77777777" w:rsidR="007D6467" w:rsidRPr="00692FFC" w:rsidRDefault="007D6467" w:rsidP="00640559">
            <w:pPr>
              <w:rPr>
                <w:rFonts w:cs="Times New Roman"/>
              </w:rPr>
            </w:pPr>
            <w:r w:rsidRPr="00336A78">
              <w:t>Transitional housing</w:t>
            </w:r>
          </w:p>
        </w:tc>
        <w:tc>
          <w:tcPr>
            <w:tcW w:w="3209" w:type="dxa"/>
            <w:vMerge/>
            <w:tcBorders>
              <w:top w:val="nil"/>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44BC4803" w14:textId="77777777" w:rsidR="007D6467" w:rsidRPr="00692FFC" w:rsidRDefault="007D6467" w:rsidP="00640559">
            <w:pPr>
              <w:jc w:val="center"/>
              <w:rPr>
                <w:rFonts w:cs="Times New Roman"/>
                <w:i/>
              </w:rPr>
            </w:pPr>
          </w:p>
        </w:tc>
      </w:tr>
      <w:tr w:rsidR="007D6467" w:rsidRPr="00692FFC" w14:paraId="75A50881" w14:textId="77777777" w:rsidTr="00640559">
        <w:trPr>
          <w:trHeight w:val="20"/>
        </w:trPr>
        <w:tc>
          <w:tcPr>
            <w:tcW w:w="7015"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tcPr>
          <w:p w14:paraId="1985FD6B" w14:textId="77777777" w:rsidR="007D6467" w:rsidRPr="00692FFC" w:rsidRDefault="007D6467" w:rsidP="00640559">
            <w:pPr>
              <w:rPr>
                <w:rFonts w:cs="Times New Roman"/>
              </w:rPr>
            </w:pPr>
            <w:r w:rsidRPr="00336A78">
              <w:t>Temporary housing</w:t>
            </w:r>
          </w:p>
        </w:tc>
        <w:tc>
          <w:tcPr>
            <w:tcW w:w="3209" w:type="dxa"/>
            <w:vMerge w:val="restart"/>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vAlign w:val="center"/>
          </w:tcPr>
          <w:p w14:paraId="4457C172" w14:textId="77777777" w:rsidR="007D6467" w:rsidRPr="00692FFC" w:rsidRDefault="007D6467" w:rsidP="00640559">
            <w:pPr>
              <w:jc w:val="center"/>
              <w:rPr>
                <w:rFonts w:cs="Times New Roman"/>
                <w:i/>
              </w:rPr>
            </w:pPr>
            <w:r w:rsidRPr="00BE45F5">
              <w:rPr>
                <w:rFonts w:cs="Times New Roman"/>
                <w:i/>
              </w:rPr>
              <w:t>Unstable Arrangements</w:t>
            </w:r>
          </w:p>
        </w:tc>
      </w:tr>
      <w:tr w:rsidR="007D6467" w:rsidRPr="00692FFC" w14:paraId="14A496BC" w14:textId="77777777" w:rsidTr="00640559">
        <w:trPr>
          <w:trHeight w:val="20"/>
        </w:trPr>
        <w:tc>
          <w:tcPr>
            <w:tcW w:w="701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574431C0" w14:textId="77777777" w:rsidR="007D6467" w:rsidRPr="00692FFC" w:rsidRDefault="007D6467" w:rsidP="00640559">
            <w:pPr>
              <w:rPr>
                <w:rFonts w:cs="Times New Roman"/>
              </w:rPr>
            </w:pPr>
            <w:r w:rsidRPr="00336A78">
              <w:t>Emergency shelter</w:t>
            </w:r>
          </w:p>
        </w:tc>
        <w:tc>
          <w:tcPr>
            <w:tcW w:w="3209" w:type="dxa"/>
            <w:vMerge/>
            <w:tcBorders>
              <w:top w:val="nil"/>
              <w:left w:val="single" w:sz="4" w:space="0" w:color="FFFFFF" w:themeColor="background1"/>
              <w:bottom w:val="nil"/>
              <w:right w:val="single" w:sz="4" w:space="0" w:color="FFFFFF" w:themeColor="background1"/>
            </w:tcBorders>
            <w:shd w:val="clear" w:color="auto" w:fill="DEEAF6" w:themeFill="accent1" w:themeFillTint="33"/>
            <w:vAlign w:val="center"/>
          </w:tcPr>
          <w:p w14:paraId="6E357A60" w14:textId="77777777" w:rsidR="007D6467" w:rsidRPr="00692FFC" w:rsidRDefault="007D6467" w:rsidP="00640559">
            <w:pPr>
              <w:jc w:val="center"/>
              <w:rPr>
                <w:rFonts w:cs="Times New Roman"/>
                <w:i/>
              </w:rPr>
            </w:pPr>
          </w:p>
        </w:tc>
      </w:tr>
      <w:tr w:rsidR="007D6467" w:rsidRPr="00692FFC" w14:paraId="3F2A56A7" w14:textId="77777777" w:rsidTr="00640559">
        <w:trPr>
          <w:trHeight w:val="20"/>
        </w:trPr>
        <w:tc>
          <w:tcPr>
            <w:tcW w:w="701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09376678" w14:textId="77777777" w:rsidR="007D6467" w:rsidRPr="00692FFC" w:rsidRDefault="007D6467" w:rsidP="00640559">
            <w:pPr>
              <w:rPr>
                <w:rFonts w:cs="Times New Roman"/>
              </w:rPr>
            </w:pPr>
            <w:r w:rsidRPr="00336A78">
              <w:t>Place not meant for human habitation</w:t>
            </w:r>
          </w:p>
        </w:tc>
        <w:tc>
          <w:tcPr>
            <w:tcW w:w="3209" w:type="dxa"/>
            <w:vMerge/>
            <w:tcBorders>
              <w:top w:val="nil"/>
              <w:left w:val="single" w:sz="4" w:space="0" w:color="FFFFFF" w:themeColor="background1"/>
              <w:bottom w:val="nil"/>
              <w:right w:val="single" w:sz="4" w:space="0" w:color="FFFFFF" w:themeColor="background1"/>
            </w:tcBorders>
            <w:shd w:val="clear" w:color="auto" w:fill="DEEAF6" w:themeFill="accent1" w:themeFillTint="33"/>
            <w:vAlign w:val="center"/>
          </w:tcPr>
          <w:p w14:paraId="2D62B79A" w14:textId="77777777" w:rsidR="007D6467" w:rsidRPr="00692FFC" w:rsidRDefault="007D6467" w:rsidP="00640559">
            <w:pPr>
              <w:jc w:val="center"/>
              <w:rPr>
                <w:rFonts w:cs="Times New Roman"/>
                <w:i/>
              </w:rPr>
            </w:pPr>
          </w:p>
        </w:tc>
      </w:tr>
      <w:tr w:rsidR="007D6467" w:rsidRPr="00692FFC" w14:paraId="5F657E74" w14:textId="77777777" w:rsidTr="00640559">
        <w:trPr>
          <w:trHeight w:val="20"/>
        </w:trPr>
        <w:tc>
          <w:tcPr>
            <w:tcW w:w="701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564B17FD" w14:textId="77777777" w:rsidR="007D6467" w:rsidRPr="00692FFC" w:rsidRDefault="007D6467" w:rsidP="00640559">
            <w:r w:rsidRPr="00336A78">
              <w:t>Jail/Prison term expected to last more than six months</w:t>
            </w:r>
          </w:p>
        </w:tc>
        <w:tc>
          <w:tcPr>
            <w:tcW w:w="3209" w:type="dxa"/>
            <w:vMerge/>
            <w:tcBorders>
              <w:top w:val="nil"/>
              <w:left w:val="single" w:sz="4" w:space="0" w:color="FFFFFF" w:themeColor="background1"/>
              <w:bottom w:val="nil"/>
              <w:right w:val="single" w:sz="4" w:space="0" w:color="FFFFFF" w:themeColor="background1"/>
            </w:tcBorders>
            <w:shd w:val="clear" w:color="auto" w:fill="DEEAF6" w:themeFill="accent1" w:themeFillTint="33"/>
            <w:vAlign w:val="center"/>
          </w:tcPr>
          <w:p w14:paraId="19E41E27" w14:textId="77777777" w:rsidR="007D6467" w:rsidRPr="00692FFC" w:rsidRDefault="007D6467" w:rsidP="00640559">
            <w:pPr>
              <w:jc w:val="center"/>
              <w:rPr>
                <w:rFonts w:cs="Times New Roman"/>
                <w:i/>
              </w:rPr>
            </w:pPr>
          </w:p>
        </w:tc>
      </w:tr>
      <w:tr w:rsidR="007D6467" w:rsidRPr="00692FFC" w14:paraId="0EE9EE80" w14:textId="77777777" w:rsidTr="00640559">
        <w:trPr>
          <w:trHeight w:val="20"/>
        </w:trPr>
        <w:tc>
          <w:tcPr>
            <w:tcW w:w="701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53B1227F" w14:textId="77777777" w:rsidR="007D6467" w:rsidRPr="00692FFC" w:rsidRDefault="007D6467" w:rsidP="00640559">
            <w:r w:rsidRPr="00336A78">
              <w:t>Jail/Prison term expected to last less than six months</w:t>
            </w:r>
          </w:p>
        </w:tc>
        <w:tc>
          <w:tcPr>
            <w:tcW w:w="3209" w:type="dxa"/>
            <w:vMerge/>
            <w:tcBorders>
              <w:top w:val="nil"/>
              <w:left w:val="single" w:sz="4" w:space="0" w:color="FFFFFF" w:themeColor="background1"/>
              <w:bottom w:val="nil"/>
              <w:right w:val="single" w:sz="4" w:space="0" w:color="FFFFFF" w:themeColor="background1"/>
            </w:tcBorders>
            <w:shd w:val="clear" w:color="auto" w:fill="DEEAF6" w:themeFill="accent1" w:themeFillTint="33"/>
            <w:vAlign w:val="center"/>
          </w:tcPr>
          <w:p w14:paraId="4D8553BA" w14:textId="77777777" w:rsidR="007D6467" w:rsidRPr="00692FFC" w:rsidRDefault="007D6467" w:rsidP="00640559">
            <w:pPr>
              <w:jc w:val="center"/>
              <w:rPr>
                <w:rFonts w:cs="Times New Roman"/>
                <w:i/>
              </w:rPr>
            </w:pPr>
          </w:p>
        </w:tc>
      </w:tr>
      <w:tr w:rsidR="007D6467" w:rsidRPr="00692FFC" w14:paraId="26A68BC6" w14:textId="77777777" w:rsidTr="00640559">
        <w:trPr>
          <w:trHeight w:val="20"/>
        </w:trPr>
        <w:tc>
          <w:tcPr>
            <w:tcW w:w="7015" w:type="dxa"/>
            <w:tcBorders>
              <w:top w:val="nil"/>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tcPr>
          <w:p w14:paraId="3F6F5581" w14:textId="77777777" w:rsidR="007D6467" w:rsidRPr="00692FFC" w:rsidRDefault="007D6467" w:rsidP="00640559">
            <w:r w:rsidRPr="00336A78">
              <w:t>Disconnected from care</w:t>
            </w:r>
          </w:p>
        </w:tc>
        <w:tc>
          <w:tcPr>
            <w:tcW w:w="3209" w:type="dxa"/>
            <w:vMerge/>
            <w:tcBorders>
              <w:top w:val="nil"/>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2D3007C3" w14:textId="77777777" w:rsidR="007D6467" w:rsidRPr="00692FFC" w:rsidRDefault="007D6467" w:rsidP="00640559">
            <w:pPr>
              <w:jc w:val="center"/>
              <w:rPr>
                <w:rFonts w:cs="Times New Roman"/>
                <w:i/>
              </w:rPr>
            </w:pPr>
          </w:p>
        </w:tc>
      </w:tr>
      <w:tr w:rsidR="007D6467" w:rsidRPr="00692FFC" w14:paraId="4CC95F89" w14:textId="77777777" w:rsidTr="00640559">
        <w:trPr>
          <w:trHeight w:val="20"/>
        </w:trPr>
        <w:tc>
          <w:tcPr>
            <w:tcW w:w="7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tcPr>
          <w:p w14:paraId="5E4CECCA" w14:textId="77777777" w:rsidR="007D6467" w:rsidRPr="00692FFC" w:rsidRDefault="007D6467" w:rsidP="00640559">
            <w:r w:rsidRPr="00336A78">
              <w:t>Death</w:t>
            </w:r>
          </w:p>
        </w:tc>
        <w:tc>
          <w:tcPr>
            <w:tcW w:w="32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4824F49F" w14:textId="77777777" w:rsidR="007D6467" w:rsidRPr="00692FFC" w:rsidRDefault="007D6467" w:rsidP="00640559">
            <w:pPr>
              <w:jc w:val="center"/>
              <w:rPr>
                <w:rFonts w:cs="Times New Roman"/>
                <w:i/>
              </w:rPr>
            </w:pPr>
            <w:r w:rsidRPr="00BE45F5">
              <w:rPr>
                <w:rFonts w:cs="Times New Roman"/>
                <w:i/>
              </w:rPr>
              <w:t>Life Event</w:t>
            </w:r>
          </w:p>
        </w:tc>
      </w:tr>
      <w:bookmarkEnd w:id="32"/>
    </w:tbl>
    <w:p w14:paraId="6AC8AAB7" w14:textId="71E0A519" w:rsidR="00862119" w:rsidRPr="00ED208F" w:rsidRDefault="00862119" w:rsidP="000E4A24">
      <w:pPr>
        <w:pStyle w:val="NoSpacing"/>
        <w:ind w:left="720"/>
        <w:rPr>
          <w:rFonts w:cs="Times New Roman"/>
        </w:rPr>
      </w:pPr>
    </w:p>
    <w:p w14:paraId="03D2CB6D" w14:textId="6998A9EB" w:rsidR="0082659C" w:rsidRDefault="00C00AC7" w:rsidP="00066B7E">
      <w:pPr>
        <w:pStyle w:val="Heading4"/>
      </w:pPr>
      <w:r>
        <w:t>Short-T</w:t>
      </w:r>
      <w:r w:rsidR="00A45632" w:rsidRPr="00A45632">
        <w:t>erm Supportive Housing (STSH) Services</w:t>
      </w:r>
    </w:p>
    <w:p w14:paraId="57411A01" w14:textId="77777777" w:rsidR="0034655E" w:rsidRPr="00632ECB" w:rsidRDefault="0034655E" w:rsidP="000E4A24">
      <w:pPr>
        <w:pStyle w:val="NoSpacing"/>
        <w:numPr>
          <w:ilvl w:val="1"/>
          <w:numId w:val="93"/>
        </w:numPr>
        <w:rPr>
          <w:rFonts w:cs="Times New Roman"/>
          <w:b/>
          <w:u w:val="single"/>
        </w:rPr>
      </w:pPr>
      <w:r w:rsidRPr="00632ECB">
        <w:rPr>
          <w:rFonts w:cs="Times New Roman"/>
          <w:b/>
          <w:u w:val="single"/>
        </w:rPr>
        <w:t>Purpose</w:t>
      </w:r>
    </w:p>
    <w:p w14:paraId="2C1667F4" w14:textId="3B6BC9D7" w:rsidR="00DE292B" w:rsidRDefault="00555AFB">
      <w:pPr>
        <w:pStyle w:val="NoSpacing"/>
        <w:ind w:left="720"/>
        <w:rPr>
          <w:rFonts w:cs="Times New Roman"/>
        </w:rPr>
      </w:pPr>
      <w:r w:rsidRPr="00555AFB">
        <w:rPr>
          <w:rFonts w:cs="Times New Roman"/>
        </w:rPr>
        <w:t xml:space="preserve">STSH provides temporary shelter </w:t>
      </w:r>
      <w:r w:rsidR="004B3756">
        <w:rPr>
          <w:rFonts w:cs="Times New Roman"/>
        </w:rPr>
        <w:t>for</w:t>
      </w:r>
      <w:r w:rsidRPr="00555AFB">
        <w:rPr>
          <w:rFonts w:cs="Times New Roman"/>
        </w:rPr>
        <w:t xml:space="preserve"> households </w:t>
      </w:r>
      <w:r w:rsidR="004B3756">
        <w:rPr>
          <w:rFonts w:cs="Times New Roman"/>
        </w:rPr>
        <w:t>experiencing</w:t>
      </w:r>
      <w:r w:rsidRPr="00555AFB">
        <w:rPr>
          <w:rFonts w:cs="Times New Roman"/>
        </w:rPr>
        <w:t xml:space="preserve"> homeless</w:t>
      </w:r>
      <w:r w:rsidR="004B3756">
        <w:rPr>
          <w:rFonts w:cs="Times New Roman"/>
        </w:rPr>
        <w:t>ness</w:t>
      </w:r>
      <w:r w:rsidRPr="00555AFB">
        <w:rPr>
          <w:rFonts w:cs="Times New Roman"/>
        </w:rPr>
        <w:t>.</w:t>
      </w:r>
      <w:r w:rsidR="00E451BF">
        <w:rPr>
          <w:rFonts w:cs="Times New Roman"/>
        </w:rPr>
        <w:t xml:space="preserve"> Services</w:t>
      </w:r>
      <w:r w:rsidR="00E451BF" w:rsidRPr="001B233E">
        <w:rPr>
          <w:rFonts w:cs="Times New Roman"/>
        </w:rPr>
        <w:t xml:space="preserve"> </w:t>
      </w:r>
      <w:r w:rsidR="00E451BF" w:rsidRPr="00913551">
        <w:rPr>
          <w:rFonts w:cs="Times New Roman"/>
        </w:rPr>
        <w:t>allow</w:t>
      </w:r>
      <w:r w:rsidR="00E451BF">
        <w:rPr>
          <w:rFonts w:cs="Times New Roman"/>
        </w:rPr>
        <w:t xml:space="preserve"> </w:t>
      </w:r>
      <w:r w:rsidR="00E451BF" w:rsidRPr="00913551">
        <w:rPr>
          <w:rFonts w:cs="Times New Roman"/>
        </w:rPr>
        <w:t xml:space="preserve">households </w:t>
      </w:r>
      <w:r w:rsidR="00E451BF">
        <w:rPr>
          <w:rFonts w:cs="Times New Roman"/>
        </w:rPr>
        <w:t>to</w:t>
      </w:r>
      <w:r w:rsidR="00E451BF" w:rsidRPr="00913551">
        <w:rPr>
          <w:rFonts w:cs="Times New Roman"/>
        </w:rPr>
        <w:t xml:space="preserve"> </w:t>
      </w:r>
      <w:r w:rsidR="00E451BF">
        <w:rPr>
          <w:rFonts w:cs="Times New Roman"/>
        </w:rPr>
        <w:t>d</w:t>
      </w:r>
      <w:r w:rsidR="00E451BF" w:rsidRPr="00913551">
        <w:rPr>
          <w:rFonts w:cs="Times New Roman"/>
        </w:rPr>
        <w:t xml:space="preserve">evelop individualized housing plans that </w:t>
      </w:r>
      <w:r w:rsidR="007110FF" w:rsidRPr="001B233E">
        <w:rPr>
          <w:rFonts w:cs="Times New Roman"/>
        </w:rPr>
        <w:t>address both short-</w:t>
      </w:r>
      <w:r w:rsidR="007110FF">
        <w:rPr>
          <w:rFonts w:cs="Times New Roman"/>
        </w:rPr>
        <w:t xml:space="preserve"> </w:t>
      </w:r>
      <w:r w:rsidR="007110FF" w:rsidRPr="001B233E">
        <w:rPr>
          <w:rFonts w:cs="Times New Roman"/>
        </w:rPr>
        <w:t xml:space="preserve">and </w:t>
      </w:r>
      <w:r w:rsidR="00555B6E">
        <w:rPr>
          <w:rFonts w:cs="Times New Roman"/>
        </w:rPr>
        <w:t>long</w:t>
      </w:r>
      <w:r w:rsidR="007110FF" w:rsidRPr="001B233E">
        <w:rPr>
          <w:rFonts w:cs="Times New Roman"/>
        </w:rPr>
        <w:t>-term needs</w:t>
      </w:r>
      <w:r w:rsidR="007110FF" w:rsidRPr="00913551">
        <w:rPr>
          <w:rFonts w:cs="Times New Roman"/>
        </w:rPr>
        <w:t xml:space="preserve"> </w:t>
      </w:r>
      <w:r w:rsidR="007110FF">
        <w:rPr>
          <w:rFonts w:cs="Times New Roman"/>
        </w:rPr>
        <w:t xml:space="preserve">and </w:t>
      </w:r>
      <w:r w:rsidR="00E451BF" w:rsidRPr="00913551">
        <w:rPr>
          <w:rFonts w:cs="Times New Roman"/>
        </w:rPr>
        <w:t>culminate in permanent housing.</w:t>
      </w:r>
      <w:r w:rsidR="00E451BF">
        <w:rPr>
          <w:rFonts w:cs="Times New Roman"/>
        </w:rPr>
        <w:t xml:space="preserve"> </w:t>
      </w:r>
      <w:r w:rsidR="00372329" w:rsidRPr="005D12F7">
        <w:rPr>
          <w:rFonts w:cs="Times New Roman"/>
        </w:rPr>
        <w:t>Per 24 CFR</w:t>
      </w:r>
      <w:r w:rsidR="00372329" w:rsidRPr="005D12F7">
        <w:t xml:space="preserve"> </w:t>
      </w:r>
      <w:r w:rsidR="00372329" w:rsidRPr="005D12F7">
        <w:rPr>
          <w:rFonts w:cs="Times New Roman"/>
        </w:rPr>
        <w:t>§574.330</w:t>
      </w:r>
      <w:r w:rsidR="004B3756">
        <w:rPr>
          <w:rFonts w:cs="Times New Roman"/>
        </w:rPr>
        <w:t>(c)</w:t>
      </w:r>
      <w:r w:rsidR="00372329" w:rsidRPr="005D12F7">
        <w:rPr>
          <w:rFonts w:cs="Times New Roman"/>
        </w:rPr>
        <w:t xml:space="preserve">, Project Sponsors must, to the maximum extent practicable, provide each </w:t>
      </w:r>
      <w:r w:rsidR="00E451BF">
        <w:rPr>
          <w:rFonts w:cs="Times New Roman"/>
        </w:rPr>
        <w:t>STSH-assisted household</w:t>
      </w:r>
      <w:r w:rsidR="00372329" w:rsidRPr="005D12F7">
        <w:rPr>
          <w:rFonts w:cs="Times New Roman"/>
        </w:rPr>
        <w:t xml:space="preserve"> an opportunity for placement in permanent housing or housing appropriate to their assessed needs. </w:t>
      </w:r>
      <w:r w:rsidR="005D12F7" w:rsidRPr="005D12F7">
        <w:rPr>
          <w:rFonts w:cs="Times New Roman"/>
        </w:rPr>
        <w:t xml:space="preserve">Project Sponsors </w:t>
      </w:r>
      <w:r w:rsidR="00814ADA">
        <w:rPr>
          <w:rFonts w:cs="Times New Roman"/>
        </w:rPr>
        <w:t>assess</w:t>
      </w:r>
      <w:r w:rsidR="005D12F7" w:rsidRPr="005D12F7">
        <w:rPr>
          <w:rFonts w:cs="Times New Roman"/>
        </w:rPr>
        <w:t xml:space="preserve"> </w:t>
      </w:r>
      <w:r w:rsidR="005D12F7" w:rsidRPr="00ED208F">
        <w:rPr>
          <w:rFonts w:cs="Times New Roman"/>
        </w:rPr>
        <w:t>each</w:t>
      </w:r>
      <w:r w:rsidR="005D12F7" w:rsidRPr="005D12F7">
        <w:rPr>
          <w:rFonts w:cs="Times New Roman"/>
        </w:rPr>
        <w:t xml:space="preserve"> households</w:t>
      </w:r>
      <w:r w:rsidR="005D12F7" w:rsidRPr="00ED208F">
        <w:rPr>
          <w:rFonts w:cs="Times New Roman"/>
        </w:rPr>
        <w:t>’</w:t>
      </w:r>
      <w:r w:rsidR="005D12F7" w:rsidRPr="005D12F7">
        <w:rPr>
          <w:rFonts w:cs="Times New Roman"/>
        </w:rPr>
        <w:t xml:space="preserve"> housing needs, develo</w:t>
      </w:r>
      <w:r w:rsidR="00814ADA">
        <w:rPr>
          <w:rFonts w:cs="Times New Roman"/>
        </w:rPr>
        <w:t>p</w:t>
      </w:r>
      <w:r w:rsidR="005D12F7" w:rsidRPr="005D12F7">
        <w:rPr>
          <w:rFonts w:cs="Times New Roman"/>
        </w:rPr>
        <w:t xml:space="preserve"> an individualized housing and service plan, and consider </w:t>
      </w:r>
      <w:r w:rsidR="00814ADA">
        <w:rPr>
          <w:rFonts w:cs="Times New Roman"/>
        </w:rPr>
        <w:t>using</w:t>
      </w:r>
      <w:r w:rsidR="005D12F7" w:rsidRPr="005D12F7">
        <w:rPr>
          <w:rFonts w:cs="Times New Roman"/>
        </w:rPr>
        <w:t xml:space="preserve"> </w:t>
      </w:r>
      <w:r w:rsidR="005D12F7" w:rsidRPr="00ED208F">
        <w:rPr>
          <w:rFonts w:cs="Times New Roman"/>
        </w:rPr>
        <w:t>PHP and</w:t>
      </w:r>
      <w:r w:rsidR="005D12F7" w:rsidRPr="005D12F7">
        <w:rPr>
          <w:rFonts w:cs="Times New Roman"/>
        </w:rPr>
        <w:t xml:space="preserve"> rental assistance or other </w:t>
      </w:r>
      <w:r w:rsidR="005D12F7" w:rsidRPr="00ED208F">
        <w:rPr>
          <w:rFonts w:cs="Times New Roman"/>
        </w:rPr>
        <w:t xml:space="preserve">affordable housing programs </w:t>
      </w:r>
      <w:r w:rsidR="005D12F7" w:rsidRPr="005D12F7">
        <w:rPr>
          <w:rFonts w:cs="Times New Roman"/>
        </w:rPr>
        <w:t xml:space="preserve">to promote </w:t>
      </w:r>
      <w:r w:rsidR="007110FF">
        <w:rPr>
          <w:rFonts w:cs="Times New Roman"/>
        </w:rPr>
        <w:t>housing stability</w:t>
      </w:r>
      <w:r w:rsidR="005D12F7" w:rsidRPr="005D12F7">
        <w:rPr>
          <w:rFonts w:cs="Times New Roman"/>
        </w:rPr>
        <w:t xml:space="preserve">. </w:t>
      </w:r>
      <w:r w:rsidR="00433064" w:rsidRPr="005D12F7">
        <w:rPr>
          <w:rFonts w:cs="Times New Roman"/>
        </w:rPr>
        <w:t xml:space="preserve">STSH services </w:t>
      </w:r>
      <w:r w:rsidR="005A200E">
        <w:rPr>
          <w:rFonts w:cs="Times New Roman"/>
        </w:rPr>
        <w:t>might</w:t>
      </w:r>
      <w:r w:rsidR="005A200E" w:rsidRPr="005D12F7">
        <w:rPr>
          <w:rFonts w:cs="Times New Roman"/>
        </w:rPr>
        <w:t xml:space="preserve"> </w:t>
      </w:r>
      <w:r w:rsidR="00433064" w:rsidRPr="005D12F7">
        <w:rPr>
          <w:rFonts w:cs="Times New Roman"/>
        </w:rPr>
        <w:t xml:space="preserve">not </w:t>
      </w:r>
      <w:r w:rsidR="005A200E">
        <w:rPr>
          <w:rFonts w:cs="Times New Roman"/>
        </w:rPr>
        <w:t>result in</w:t>
      </w:r>
      <w:r w:rsidR="00433064" w:rsidRPr="005D12F7">
        <w:rPr>
          <w:rFonts w:cs="Times New Roman"/>
        </w:rPr>
        <w:t xml:space="preserve"> </w:t>
      </w:r>
      <w:r w:rsidR="007110FF">
        <w:rPr>
          <w:rFonts w:cs="Times New Roman"/>
        </w:rPr>
        <w:t>permanent housing arrangements</w:t>
      </w:r>
      <w:r w:rsidR="00433064" w:rsidRPr="005D12F7">
        <w:rPr>
          <w:rFonts w:cs="Times New Roman"/>
        </w:rPr>
        <w:t xml:space="preserve"> and </w:t>
      </w:r>
      <w:r w:rsidR="00A91D4F" w:rsidRPr="005D12F7">
        <w:rPr>
          <w:rFonts w:cs="Times New Roman"/>
        </w:rPr>
        <w:t>service</w:t>
      </w:r>
      <w:r w:rsidR="00DE292B" w:rsidRPr="005D12F7">
        <w:rPr>
          <w:rFonts w:cs="Times New Roman"/>
        </w:rPr>
        <w:t xml:space="preserve"> outcomes </w:t>
      </w:r>
      <w:r w:rsidR="005A200E">
        <w:rPr>
          <w:rFonts w:cs="Times New Roman"/>
        </w:rPr>
        <w:t>might</w:t>
      </w:r>
      <w:r w:rsidR="005A200E" w:rsidRPr="005D12F7">
        <w:rPr>
          <w:rFonts w:cs="Times New Roman"/>
        </w:rPr>
        <w:t xml:space="preserve"> </w:t>
      </w:r>
      <w:r w:rsidR="00DE292B" w:rsidRPr="005D12F7">
        <w:rPr>
          <w:rFonts w:cs="Times New Roman"/>
        </w:rPr>
        <w:t xml:space="preserve">not </w:t>
      </w:r>
      <w:r w:rsidR="00433064" w:rsidRPr="005D12F7">
        <w:rPr>
          <w:rFonts w:cs="Times New Roman"/>
        </w:rPr>
        <w:t>fit into simple categories</w:t>
      </w:r>
      <w:r w:rsidR="00DE292B" w:rsidRPr="005D12F7">
        <w:rPr>
          <w:rFonts w:cs="Times New Roman"/>
        </w:rPr>
        <w:t xml:space="preserve">. While </w:t>
      </w:r>
      <w:r w:rsidR="007E6874" w:rsidRPr="005D12F7">
        <w:rPr>
          <w:rFonts w:cs="Times New Roman"/>
        </w:rPr>
        <w:t xml:space="preserve">households </w:t>
      </w:r>
      <w:r w:rsidR="005A200E">
        <w:rPr>
          <w:rFonts w:cs="Times New Roman"/>
        </w:rPr>
        <w:t>might</w:t>
      </w:r>
      <w:r w:rsidR="005A200E" w:rsidRPr="005D12F7">
        <w:rPr>
          <w:rFonts w:cs="Times New Roman"/>
        </w:rPr>
        <w:t xml:space="preserve"> </w:t>
      </w:r>
      <w:r w:rsidR="007E6874" w:rsidRPr="005D12F7">
        <w:rPr>
          <w:rFonts w:cs="Times New Roman"/>
        </w:rPr>
        <w:t xml:space="preserve">not achieve </w:t>
      </w:r>
      <w:r w:rsidR="00DE292B" w:rsidRPr="005D12F7">
        <w:rPr>
          <w:rFonts w:cs="Times New Roman"/>
        </w:rPr>
        <w:t xml:space="preserve">full </w:t>
      </w:r>
      <w:r w:rsidR="00A91D4F" w:rsidRPr="005D12F7">
        <w:rPr>
          <w:rFonts w:cs="Times New Roman"/>
        </w:rPr>
        <w:t xml:space="preserve">housing </w:t>
      </w:r>
      <w:r w:rsidR="00DE292B" w:rsidRPr="005D12F7">
        <w:rPr>
          <w:rFonts w:cs="Times New Roman"/>
        </w:rPr>
        <w:t xml:space="preserve">stability </w:t>
      </w:r>
      <w:r w:rsidR="007110FF">
        <w:rPr>
          <w:rFonts w:cs="Times New Roman"/>
        </w:rPr>
        <w:t>or</w:t>
      </w:r>
      <w:r w:rsidR="007110FF" w:rsidRPr="005D12F7">
        <w:rPr>
          <w:rFonts w:cs="Times New Roman"/>
        </w:rPr>
        <w:t xml:space="preserve"> </w:t>
      </w:r>
      <w:r w:rsidR="00DE292B" w:rsidRPr="005D12F7">
        <w:rPr>
          <w:rFonts w:cs="Times New Roman"/>
        </w:rPr>
        <w:t xml:space="preserve">independence from future short-term assistance, </w:t>
      </w:r>
      <w:r w:rsidR="00433064" w:rsidRPr="005D12F7">
        <w:rPr>
          <w:rFonts w:cs="Times New Roman"/>
        </w:rPr>
        <w:t>STSH services</w:t>
      </w:r>
      <w:r w:rsidR="00DE292B" w:rsidRPr="005D12F7">
        <w:rPr>
          <w:rFonts w:cs="Times New Roman"/>
        </w:rPr>
        <w:t xml:space="preserve"> </w:t>
      </w:r>
      <w:r w:rsidR="00433064" w:rsidRPr="005D12F7">
        <w:rPr>
          <w:rFonts w:cs="Times New Roman"/>
        </w:rPr>
        <w:t xml:space="preserve">may temporarily </w:t>
      </w:r>
      <w:r w:rsidR="00A46689" w:rsidRPr="005D12F7">
        <w:rPr>
          <w:rFonts w:cs="Times New Roman"/>
        </w:rPr>
        <w:t>mitigate the effects of homelessness</w:t>
      </w:r>
      <w:r w:rsidR="007E6874" w:rsidRPr="005D12F7">
        <w:rPr>
          <w:rFonts w:cs="Times New Roman"/>
        </w:rPr>
        <w:t xml:space="preserve"> or reduce households’ risk for near-term homelessness</w:t>
      </w:r>
      <w:r w:rsidR="00A46689" w:rsidRPr="005D12F7">
        <w:rPr>
          <w:rFonts w:cs="Times New Roman"/>
        </w:rPr>
        <w:t>.</w:t>
      </w:r>
    </w:p>
    <w:p w14:paraId="4AF72967" w14:textId="047FFC9D" w:rsidR="00E605C2" w:rsidRPr="00ED208F" w:rsidRDefault="00E605C2">
      <w:pPr>
        <w:pStyle w:val="NoSpacing"/>
      </w:pPr>
    </w:p>
    <w:p w14:paraId="221E7F65" w14:textId="77777777" w:rsidR="0034655E" w:rsidRPr="00A529E6" w:rsidRDefault="0034655E">
      <w:pPr>
        <w:pStyle w:val="NoSpacing"/>
        <w:numPr>
          <w:ilvl w:val="1"/>
          <w:numId w:val="93"/>
        </w:numPr>
        <w:rPr>
          <w:rFonts w:cs="Times New Roman"/>
          <w:b/>
          <w:u w:val="single"/>
        </w:rPr>
      </w:pPr>
      <w:r w:rsidRPr="00A529E6">
        <w:rPr>
          <w:rFonts w:cs="Times New Roman"/>
          <w:b/>
          <w:u w:val="single"/>
        </w:rPr>
        <w:t>Eligible Costs</w:t>
      </w:r>
    </w:p>
    <w:p w14:paraId="6ADACBF8" w14:textId="23070F94" w:rsidR="00750637" w:rsidRDefault="00750637" w:rsidP="00750637">
      <w:pPr>
        <w:pStyle w:val="NoSpacing"/>
        <w:numPr>
          <w:ilvl w:val="2"/>
          <w:numId w:val="93"/>
        </w:numPr>
        <w:rPr>
          <w:rFonts w:cs="Times New Roman"/>
          <w:b/>
        </w:rPr>
      </w:pPr>
      <w:r>
        <w:rPr>
          <w:rFonts w:cs="Times New Roman"/>
          <w:b/>
        </w:rPr>
        <w:t>Service Delivery Costs</w:t>
      </w:r>
    </w:p>
    <w:p w14:paraId="60ED7090" w14:textId="6289BE31" w:rsidR="00BB3C4D" w:rsidRDefault="00BB3C4D" w:rsidP="00BB3C4D">
      <w:pPr>
        <w:pStyle w:val="NoSpacing"/>
        <w:ind w:left="1440"/>
        <w:rPr>
          <w:rFonts w:cs="Times New Roman"/>
          <w:bCs/>
        </w:rPr>
      </w:pPr>
      <w:r w:rsidRPr="002A61C8">
        <w:rPr>
          <w:rFonts w:cs="Times New Roman"/>
          <w:bCs/>
        </w:rPr>
        <w:t xml:space="preserve">Generally, service delivery costs include personnel, travel, equipment, and supplies. Costs must be </w:t>
      </w:r>
      <w:r w:rsidR="00D47D01">
        <w:rPr>
          <w:rFonts w:cs="Times New Roman"/>
          <w:bCs/>
        </w:rPr>
        <w:t xml:space="preserve">necessary, </w:t>
      </w:r>
      <w:r w:rsidRPr="002A61C8">
        <w:rPr>
          <w:rFonts w:cs="Times New Roman"/>
          <w:bCs/>
        </w:rPr>
        <w:t>reasonable, allowable, documented</w:t>
      </w:r>
      <w:r w:rsidR="0096731F">
        <w:rPr>
          <w:rFonts w:cs="Times New Roman"/>
          <w:bCs/>
        </w:rPr>
        <w:t>,</w:t>
      </w:r>
      <w:r w:rsidRPr="002A61C8">
        <w:rPr>
          <w:rFonts w:cs="Times New Roman"/>
          <w:bCs/>
        </w:rPr>
        <w:t xml:space="preserve"> and allocable to </w:t>
      </w:r>
      <w:r>
        <w:rPr>
          <w:rFonts w:cs="Times New Roman"/>
          <w:bCs/>
        </w:rPr>
        <w:t>STSH</w:t>
      </w:r>
      <w:r w:rsidRPr="002A61C8">
        <w:rPr>
          <w:rFonts w:cs="Times New Roman"/>
          <w:bCs/>
        </w:rPr>
        <w:t xml:space="preserve">. </w:t>
      </w:r>
      <w:r>
        <w:rPr>
          <w:rFonts w:cs="Times New Roman"/>
          <w:bCs/>
        </w:rPr>
        <w:t>STSH</w:t>
      </w:r>
      <w:r w:rsidRPr="002A61C8">
        <w:rPr>
          <w:rFonts w:cs="Times New Roman"/>
          <w:bCs/>
        </w:rPr>
        <w:t xml:space="preserve"> service delivery </w:t>
      </w:r>
      <w:r w:rsidR="0026256B" w:rsidRPr="0026256B">
        <w:rPr>
          <w:rFonts w:cs="Times New Roman"/>
          <w:bCs/>
        </w:rPr>
        <w:t xml:space="preserve">activities </w:t>
      </w:r>
      <w:r w:rsidRPr="002A61C8">
        <w:rPr>
          <w:rFonts w:cs="Times New Roman"/>
          <w:bCs/>
        </w:rPr>
        <w:t>may include:</w:t>
      </w:r>
    </w:p>
    <w:p w14:paraId="79D9DB9A" w14:textId="77777777" w:rsidR="0096731F" w:rsidRDefault="0096731F" w:rsidP="003A5712">
      <w:pPr>
        <w:pStyle w:val="NoSpacing"/>
        <w:numPr>
          <w:ilvl w:val="0"/>
          <w:numId w:val="145"/>
        </w:numPr>
        <w:ind w:left="1890" w:hanging="450"/>
        <w:rPr>
          <w:rFonts w:ascii="Calibri" w:hAnsi="Calibri" w:cs="Calibri"/>
          <w:szCs w:val="20"/>
        </w:rPr>
      </w:pPr>
      <w:r>
        <w:rPr>
          <w:rFonts w:ascii="Calibri" w:hAnsi="Calibri" w:cs="Calibri"/>
          <w:szCs w:val="20"/>
        </w:rPr>
        <w:t>Assessing housing status and needs</w:t>
      </w:r>
    </w:p>
    <w:p w14:paraId="35CA90F1" w14:textId="77777777" w:rsidR="0096731F" w:rsidRPr="005D2A73" w:rsidRDefault="0096731F" w:rsidP="003A5712">
      <w:pPr>
        <w:pStyle w:val="NoSpacing"/>
        <w:numPr>
          <w:ilvl w:val="0"/>
          <w:numId w:val="145"/>
        </w:numPr>
        <w:ind w:left="1890" w:hanging="450"/>
        <w:rPr>
          <w:rFonts w:ascii="Calibri" w:hAnsi="Calibri" w:cs="Calibri"/>
          <w:szCs w:val="20"/>
        </w:rPr>
      </w:pPr>
      <w:r w:rsidRPr="005D2A73">
        <w:rPr>
          <w:rFonts w:ascii="Calibri" w:hAnsi="Calibri" w:cs="Calibri"/>
          <w:szCs w:val="20"/>
        </w:rPr>
        <w:t xml:space="preserve">Collecting program eligibility documentation </w:t>
      </w:r>
      <w:r>
        <w:rPr>
          <w:rFonts w:ascii="Calibri" w:hAnsi="Calibri" w:cs="Calibri"/>
          <w:szCs w:val="20"/>
        </w:rPr>
        <w:t>and qualifying households for</w:t>
      </w:r>
      <w:r w:rsidRPr="005D2A73">
        <w:rPr>
          <w:rFonts w:ascii="Calibri" w:hAnsi="Calibri" w:cs="Calibri"/>
          <w:szCs w:val="20"/>
        </w:rPr>
        <w:t xml:space="preserve"> services</w:t>
      </w:r>
    </w:p>
    <w:p w14:paraId="372739E7" w14:textId="77777777" w:rsidR="0096731F" w:rsidRPr="00164C95" w:rsidRDefault="0096731F" w:rsidP="003A5712">
      <w:pPr>
        <w:pStyle w:val="NoSpacing"/>
        <w:numPr>
          <w:ilvl w:val="0"/>
          <w:numId w:val="145"/>
        </w:numPr>
        <w:ind w:left="1890" w:hanging="450"/>
        <w:rPr>
          <w:rFonts w:ascii="Calibri" w:hAnsi="Calibri" w:cs="Calibri"/>
          <w:szCs w:val="20"/>
        </w:rPr>
      </w:pPr>
      <w:r w:rsidRPr="00164C95">
        <w:rPr>
          <w:rFonts w:ascii="Calibri" w:hAnsi="Calibri" w:cs="Calibri"/>
          <w:szCs w:val="20"/>
        </w:rPr>
        <w:t>Performing initial eligibility certifications and annual</w:t>
      </w:r>
      <w:r>
        <w:rPr>
          <w:rFonts w:ascii="Calibri" w:hAnsi="Calibri" w:cs="Calibri"/>
          <w:szCs w:val="20"/>
        </w:rPr>
        <w:t xml:space="preserve"> and interim</w:t>
      </w:r>
      <w:r w:rsidRPr="00164C95">
        <w:rPr>
          <w:rFonts w:ascii="Calibri" w:hAnsi="Calibri" w:cs="Calibri"/>
          <w:szCs w:val="20"/>
        </w:rPr>
        <w:t xml:space="preserve"> eligibility recertifications</w:t>
      </w:r>
    </w:p>
    <w:p w14:paraId="76E53047" w14:textId="0FD3FBE6" w:rsidR="0096731F" w:rsidRPr="00164C95" w:rsidRDefault="00C9681D" w:rsidP="003A5712">
      <w:pPr>
        <w:pStyle w:val="NoSpacing"/>
        <w:numPr>
          <w:ilvl w:val="0"/>
          <w:numId w:val="145"/>
        </w:numPr>
        <w:ind w:left="1890" w:hanging="450"/>
        <w:rPr>
          <w:rFonts w:ascii="Calibri" w:hAnsi="Calibri" w:cs="Calibri"/>
          <w:szCs w:val="20"/>
        </w:rPr>
      </w:pPr>
      <w:r w:rsidRPr="00C9681D">
        <w:rPr>
          <w:rFonts w:ascii="Calibri" w:hAnsi="Calibri" w:cs="Calibri"/>
          <w:szCs w:val="20"/>
        </w:rPr>
        <w:t>Referring ineligible households to other housing assistance services</w:t>
      </w:r>
      <w:r w:rsidRPr="00C9681D" w:rsidDel="00C9681D">
        <w:rPr>
          <w:rFonts w:ascii="Calibri" w:hAnsi="Calibri" w:cs="Calibri"/>
          <w:szCs w:val="20"/>
        </w:rPr>
        <w:t xml:space="preserve"> </w:t>
      </w:r>
    </w:p>
    <w:p w14:paraId="5179FA12" w14:textId="77777777" w:rsidR="0096731F" w:rsidRDefault="0096731F" w:rsidP="003A5712">
      <w:pPr>
        <w:pStyle w:val="NoSpacing"/>
        <w:numPr>
          <w:ilvl w:val="0"/>
          <w:numId w:val="145"/>
        </w:numPr>
        <w:ind w:left="1890" w:hanging="450"/>
        <w:rPr>
          <w:rFonts w:ascii="Calibri" w:hAnsi="Calibri" w:cs="Calibri"/>
          <w:szCs w:val="20"/>
        </w:rPr>
      </w:pPr>
      <w:r w:rsidRPr="00164C95">
        <w:rPr>
          <w:rFonts w:ascii="Calibri" w:hAnsi="Calibri" w:cs="Calibri"/>
          <w:szCs w:val="20"/>
        </w:rPr>
        <w:t>Completing the File Structure Checklist</w:t>
      </w:r>
      <w:r>
        <w:rPr>
          <w:rFonts w:ascii="Calibri" w:hAnsi="Calibri" w:cs="Calibri"/>
          <w:szCs w:val="20"/>
        </w:rPr>
        <w:t xml:space="preserve"> </w:t>
      </w:r>
      <w:r w:rsidRPr="00164C95">
        <w:rPr>
          <w:rFonts w:ascii="Calibri" w:hAnsi="Calibri" w:cs="Calibri"/>
          <w:szCs w:val="20"/>
        </w:rPr>
        <w:t>and Forms A, B, C, D, E, F, G, K2, O, and P</w:t>
      </w:r>
    </w:p>
    <w:p w14:paraId="4F7B5C21" w14:textId="77777777" w:rsidR="0096731F" w:rsidRPr="00164C95" w:rsidRDefault="0096731F" w:rsidP="003A5712">
      <w:pPr>
        <w:pStyle w:val="NoSpacing"/>
        <w:numPr>
          <w:ilvl w:val="0"/>
          <w:numId w:val="145"/>
        </w:numPr>
        <w:ind w:left="1890" w:hanging="450"/>
        <w:rPr>
          <w:rFonts w:ascii="Calibri" w:hAnsi="Calibri" w:cs="Calibri"/>
          <w:szCs w:val="20"/>
        </w:rPr>
      </w:pPr>
      <w:r>
        <w:rPr>
          <w:rFonts w:ascii="Calibri" w:hAnsi="Calibri" w:cs="Calibri"/>
          <w:szCs w:val="20"/>
        </w:rPr>
        <w:t>Completing and distributing applicable VAWA materials</w:t>
      </w:r>
    </w:p>
    <w:p w14:paraId="4A8A44CA" w14:textId="51747B7C" w:rsidR="0096731F" w:rsidRPr="00164C95" w:rsidRDefault="0096731F" w:rsidP="003A5712">
      <w:pPr>
        <w:pStyle w:val="NoSpacing"/>
        <w:numPr>
          <w:ilvl w:val="0"/>
          <w:numId w:val="145"/>
        </w:numPr>
        <w:ind w:left="1890" w:hanging="450"/>
        <w:rPr>
          <w:rFonts w:ascii="Calibri" w:hAnsi="Calibri" w:cs="Calibri"/>
          <w:szCs w:val="20"/>
        </w:rPr>
      </w:pPr>
      <w:r w:rsidRPr="00164C95">
        <w:rPr>
          <w:rFonts w:ascii="Calibri" w:hAnsi="Calibri" w:cs="Calibri"/>
          <w:szCs w:val="20"/>
        </w:rPr>
        <w:t xml:space="preserve">Collecting supporting documentation </w:t>
      </w:r>
      <w:r>
        <w:rPr>
          <w:rFonts w:ascii="Calibri" w:hAnsi="Calibri" w:cs="Calibri"/>
          <w:szCs w:val="20"/>
        </w:rPr>
        <w:t xml:space="preserve">and attaching it </w:t>
      </w:r>
      <w:r w:rsidRPr="00164C95">
        <w:rPr>
          <w:rFonts w:ascii="Calibri" w:hAnsi="Calibri" w:cs="Calibri"/>
          <w:szCs w:val="20"/>
        </w:rPr>
        <w:t xml:space="preserve">to </w:t>
      </w:r>
      <w:r>
        <w:rPr>
          <w:rFonts w:ascii="Calibri" w:hAnsi="Calibri" w:cs="Calibri"/>
          <w:szCs w:val="20"/>
        </w:rPr>
        <w:t xml:space="preserve">program forms </w:t>
      </w:r>
      <w:r w:rsidR="00FD5ABA">
        <w:rPr>
          <w:rFonts w:ascii="Calibri" w:hAnsi="Calibri" w:cs="Calibri"/>
          <w:szCs w:val="20"/>
        </w:rPr>
        <w:t>if required</w:t>
      </w:r>
      <w:r>
        <w:rPr>
          <w:rFonts w:ascii="Calibri" w:hAnsi="Calibri" w:cs="Calibri"/>
          <w:szCs w:val="20"/>
        </w:rPr>
        <w:t xml:space="preserve"> or</w:t>
      </w:r>
      <w:r w:rsidRPr="00164C95">
        <w:rPr>
          <w:rFonts w:ascii="Calibri" w:hAnsi="Calibri" w:cs="Calibri"/>
          <w:szCs w:val="20"/>
        </w:rPr>
        <w:t xml:space="preserve"> applicable</w:t>
      </w:r>
    </w:p>
    <w:p w14:paraId="357DDB51" w14:textId="52734FD7" w:rsidR="0096731F" w:rsidRPr="00164C95" w:rsidRDefault="0096731F" w:rsidP="003A5712">
      <w:pPr>
        <w:pStyle w:val="NoSpacing"/>
        <w:numPr>
          <w:ilvl w:val="0"/>
          <w:numId w:val="145"/>
        </w:numPr>
        <w:ind w:left="1890" w:hanging="450"/>
        <w:rPr>
          <w:rFonts w:ascii="Calibri" w:hAnsi="Calibri" w:cs="Calibri"/>
          <w:szCs w:val="20"/>
        </w:rPr>
      </w:pPr>
      <w:r w:rsidRPr="00164C95">
        <w:rPr>
          <w:rFonts w:ascii="Calibri" w:hAnsi="Calibri" w:cs="Calibri"/>
          <w:szCs w:val="20"/>
        </w:rPr>
        <w:t xml:space="preserve">Traveling to proposed units </w:t>
      </w:r>
      <w:r>
        <w:rPr>
          <w:rFonts w:ascii="Calibri" w:hAnsi="Calibri" w:cs="Calibri"/>
          <w:szCs w:val="20"/>
        </w:rPr>
        <w:t>to complete</w:t>
      </w:r>
      <w:r w:rsidRPr="00164C95">
        <w:rPr>
          <w:rFonts w:ascii="Calibri" w:hAnsi="Calibri" w:cs="Calibri"/>
          <w:szCs w:val="20"/>
        </w:rPr>
        <w:t xml:space="preserve"> </w:t>
      </w:r>
      <w:r>
        <w:rPr>
          <w:rFonts w:ascii="Calibri" w:hAnsi="Calibri" w:cs="Calibri"/>
          <w:szCs w:val="20"/>
        </w:rPr>
        <w:t xml:space="preserve">HQS </w:t>
      </w:r>
      <w:r w:rsidRPr="00164C95">
        <w:rPr>
          <w:rFonts w:ascii="Calibri" w:hAnsi="Calibri" w:cs="Calibri"/>
          <w:szCs w:val="20"/>
        </w:rPr>
        <w:t>inspections</w:t>
      </w:r>
    </w:p>
    <w:p w14:paraId="3853756A" w14:textId="526E8980" w:rsidR="0096731F" w:rsidRPr="00164C95" w:rsidRDefault="0096731F" w:rsidP="003A5712">
      <w:pPr>
        <w:pStyle w:val="NoSpacing"/>
        <w:numPr>
          <w:ilvl w:val="0"/>
          <w:numId w:val="145"/>
        </w:numPr>
        <w:ind w:left="1890" w:hanging="450"/>
        <w:rPr>
          <w:rFonts w:ascii="Calibri" w:hAnsi="Calibri" w:cs="Calibri"/>
          <w:szCs w:val="20"/>
        </w:rPr>
      </w:pPr>
      <w:r w:rsidRPr="00164C95">
        <w:rPr>
          <w:rFonts w:ascii="Calibri" w:hAnsi="Calibri" w:cs="Calibri"/>
          <w:szCs w:val="20"/>
        </w:rPr>
        <w:t xml:space="preserve">Communicating with </w:t>
      </w:r>
      <w:r w:rsidR="00763409">
        <w:rPr>
          <w:rFonts w:ascii="Calibri" w:hAnsi="Calibri" w:cs="Calibri"/>
          <w:szCs w:val="20"/>
        </w:rPr>
        <w:t>temporary shelter vendors</w:t>
      </w:r>
      <w:r w:rsidRPr="00164C95">
        <w:rPr>
          <w:rFonts w:ascii="Calibri" w:hAnsi="Calibri" w:cs="Calibri"/>
          <w:szCs w:val="20"/>
        </w:rPr>
        <w:t xml:space="preserve"> about program requirements</w:t>
      </w:r>
    </w:p>
    <w:p w14:paraId="74CC25D1" w14:textId="77777777" w:rsidR="0096731F" w:rsidRDefault="0096731F" w:rsidP="003A5712">
      <w:pPr>
        <w:pStyle w:val="NoSpacing"/>
        <w:numPr>
          <w:ilvl w:val="0"/>
          <w:numId w:val="145"/>
        </w:numPr>
        <w:ind w:left="1890" w:hanging="450"/>
        <w:rPr>
          <w:rFonts w:ascii="Calibri" w:hAnsi="Calibri" w:cs="Calibri"/>
          <w:szCs w:val="20"/>
        </w:rPr>
      </w:pPr>
      <w:r w:rsidRPr="00164C95">
        <w:rPr>
          <w:rFonts w:ascii="Calibri" w:hAnsi="Calibri" w:cs="Calibri"/>
          <w:szCs w:val="20"/>
        </w:rPr>
        <w:t>Requesting</w:t>
      </w:r>
      <w:r>
        <w:rPr>
          <w:rFonts w:ascii="Calibri" w:hAnsi="Calibri" w:cs="Calibri"/>
          <w:szCs w:val="20"/>
        </w:rPr>
        <w:t>, issuing, and documenting payments</w:t>
      </w:r>
    </w:p>
    <w:p w14:paraId="56D3B99C" w14:textId="77777777" w:rsidR="0096731F" w:rsidRPr="00164C95" w:rsidRDefault="0096731F" w:rsidP="003A5712">
      <w:pPr>
        <w:pStyle w:val="NoSpacing"/>
        <w:numPr>
          <w:ilvl w:val="0"/>
          <w:numId w:val="145"/>
        </w:numPr>
        <w:ind w:left="1890" w:hanging="450"/>
        <w:rPr>
          <w:rFonts w:ascii="Calibri" w:hAnsi="Calibri" w:cs="Calibri"/>
          <w:szCs w:val="20"/>
        </w:rPr>
      </w:pPr>
      <w:r w:rsidRPr="002428DE">
        <w:rPr>
          <w:rFonts w:ascii="Calibri" w:hAnsi="Calibri" w:cs="Calibri"/>
          <w:szCs w:val="20"/>
        </w:rPr>
        <w:t>Documenting housing assistance and supportive service outcomes</w:t>
      </w:r>
    </w:p>
    <w:p w14:paraId="13848B16" w14:textId="0AC87BA5" w:rsidR="0096731F" w:rsidRDefault="0096731F" w:rsidP="003A5712">
      <w:pPr>
        <w:pStyle w:val="NoSpacing"/>
        <w:numPr>
          <w:ilvl w:val="0"/>
          <w:numId w:val="145"/>
        </w:numPr>
        <w:ind w:left="1890" w:hanging="450"/>
        <w:rPr>
          <w:rFonts w:ascii="Calibri" w:hAnsi="Calibri" w:cs="Calibri"/>
          <w:szCs w:val="20"/>
        </w:rPr>
      </w:pPr>
      <w:r w:rsidRPr="00164C95">
        <w:rPr>
          <w:rFonts w:ascii="Calibri" w:hAnsi="Calibri" w:cs="Calibri"/>
          <w:szCs w:val="20"/>
        </w:rPr>
        <w:t>Recordkeeping</w:t>
      </w:r>
      <w:r>
        <w:rPr>
          <w:rFonts w:ascii="Calibri" w:hAnsi="Calibri" w:cs="Calibri"/>
          <w:szCs w:val="20"/>
        </w:rPr>
        <w:t>, logging time and effort, and maintaining case notes</w:t>
      </w:r>
    </w:p>
    <w:p w14:paraId="483C1872" w14:textId="1F6BE895" w:rsidR="00CA07B7" w:rsidRDefault="00CA07B7" w:rsidP="003A5712">
      <w:pPr>
        <w:pStyle w:val="NoSpacing"/>
        <w:numPr>
          <w:ilvl w:val="0"/>
          <w:numId w:val="145"/>
        </w:numPr>
        <w:ind w:left="1890" w:hanging="450"/>
        <w:rPr>
          <w:rFonts w:ascii="Calibri" w:hAnsi="Calibri" w:cs="Calibri"/>
          <w:szCs w:val="20"/>
        </w:rPr>
      </w:pPr>
      <w:bookmarkStart w:id="33" w:name="_Hlk145590138"/>
      <w:r w:rsidRPr="00CA07B7">
        <w:rPr>
          <w:rFonts w:ascii="Calibri" w:hAnsi="Calibri" w:cs="Calibri"/>
          <w:szCs w:val="20"/>
        </w:rPr>
        <w:t>Translating documents and interpreting speech</w:t>
      </w:r>
      <w:bookmarkEnd w:id="33"/>
    </w:p>
    <w:p w14:paraId="1B01FD9B" w14:textId="77777777" w:rsidR="007110FF" w:rsidRDefault="007110FF" w:rsidP="00DE48B8">
      <w:pPr>
        <w:pStyle w:val="NoSpacing"/>
        <w:ind w:left="1800"/>
        <w:rPr>
          <w:rFonts w:ascii="Calibri" w:hAnsi="Calibri" w:cs="Calibri"/>
          <w:szCs w:val="20"/>
        </w:rPr>
      </w:pPr>
    </w:p>
    <w:p w14:paraId="02A9665E" w14:textId="006B3311" w:rsidR="00750637" w:rsidRDefault="00750637" w:rsidP="00750637">
      <w:pPr>
        <w:pStyle w:val="NoSpacing"/>
        <w:numPr>
          <w:ilvl w:val="2"/>
          <w:numId w:val="93"/>
        </w:numPr>
        <w:rPr>
          <w:rFonts w:cs="Times New Roman"/>
          <w:b/>
        </w:rPr>
      </w:pPr>
      <w:r>
        <w:rPr>
          <w:rFonts w:cs="Times New Roman"/>
          <w:b/>
        </w:rPr>
        <w:t>Housing Assistance Costs</w:t>
      </w:r>
    </w:p>
    <w:p w14:paraId="070A0B87" w14:textId="53F78B83" w:rsidR="0034655E" w:rsidRDefault="0055343E" w:rsidP="002A61C8">
      <w:pPr>
        <w:pStyle w:val="NoSpacing"/>
        <w:ind w:left="1440"/>
        <w:rPr>
          <w:rFonts w:cs="Times New Roman"/>
        </w:rPr>
      </w:pPr>
      <w:r w:rsidRPr="00ED208F">
        <w:rPr>
          <w:rFonts w:cs="Times New Roman"/>
        </w:rPr>
        <w:t>STSH</w:t>
      </w:r>
      <w:r w:rsidR="0034655E" w:rsidRPr="00A529E6">
        <w:rPr>
          <w:rFonts w:cs="Times New Roman"/>
        </w:rPr>
        <w:t xml:space="preserve"> pays</w:t>
      </w:r>
      <w:r w:rsidR="00F804AB">
        <w:rPr>
          <w:rFonts w:cs="Times New Roman"/>
        </w:rPr>
        <w:t xml:space="preserve"> necessary </w:t>
      </w:r>
      <w:r w:rsidR="00282E15">
        <w:rPr>
          <w:rFonts w:cs="Times New Roman"/>
        </w:rPr>
        <w:t xml:space="preserve">minimum </w:t>
      </w:r>
      <w:r w:rsidR="00F804AB">
        <w:rPr>
          <w:rFonts w:cs="Times New Roman"/>
        </w:rPr>
        <w:t>costs</w:t>
      </w:r>
      <w:r w:rsidRPr="00ED208F">
        <w:rPr>
          <w:rFonts w:cs="Times New Roman"/>
        </w:rPr>
        <w:t xml:space="preserve"> </w:t>
      </w:r>
      <w:r w:rsidRPr="00A529E6">
        <w:rPr>
          <w:rFonts w:cs="Times New Roman"/>
        </w:rPr>
        <w:t xml:space="preserve">for </w:t>
      </w:r>
      <w:r w:rsidR="004C315F">
        <w:rPr>
          <w:rFonts w:cs="Times New Roman"/>
        </w:rPr>
        <w:t>temporary shelters</w:t>
      </w:r>
      <w:r w:rsidRPr="00A529E6">
        <w:rPr>
          <w:rFonts w:cs="Times New Roman"/>
        </w:rPr>
        <w:t xml:space="preserve">, </w:t>
      </w:r>
      <w:r w:rsidR="001E4079" w:rsidRPr="00A529E6">
        <w:rPr>
          <w:rFonts w:cs="Times New Roman"/>
        </w:rPr>
        <w:t xml:space="preserve">including post-incarceration re-entry facilities, </w:t>
      </w:r>
      <w:proofErr w:type="gramStart"/>
      <w:r w:rsidRPr="00A529E6">
        <w:rPr>
          <w:rFonts w:cs="Times New Roman"/>
        </w:rPr>
        <w:t>recovery</w:t>
      </w:r>
      <w:proofErr w:type="gramEnd"/>
      <w:r w:rsidRPr="00A529E6">
        <w:rPr>
          <w:rFonts w:cs="Times New Roman"/>
        </w:rPr>
        <w:t xml:space="preserve"> </w:t>
      </w:r>
      <w:r w:rsidR="001E4079" w:rsidRPr="00A529E6">
        <w:rPr>
          <w:rFonts w:cs="Times New Roman"/>
        </w:rPr>
        <w:t>or</w:t>
      </w:r>
      <w:r w:rsidRPr="00A529E6">
        <w:rPr>
          <w:rFonts w:cs="Times New Roman"/>
        </w:rPr>
        <w:t xml:space="preserve"> respite</w:t>
      </w:r>
      <w:r w:rsidR="001E4079" w:rsidRPr="00A529E6">
        <w:rPr>
          <w:rFonts w:cs="Times New Roman"/>
        </w:rPr>
        <w:t xml:space="preserve"> facilities,</w:t>
      </w:r>
      <w:r w:rsidRPr="00A529E6">
        <w:rPr>
          <w:rFonts w:cs="Times New Roman"/>
        </w:rPr>
        <w:t xml:space="preserve"> </w:t>
      </w:r>
      <w:r w:rsidR="00896512" w:rsidRPr="00A529E6">
        <w:rPr>
          <w:rFonts w:cs="Times New Roman"/>
        </w:rPr>
        <w:t xml:space="preserve">sober </w:t>
      </w:r>
      <w:r w:rsidR="001E4079" w:rsidRPr="00A529E6">
        <w:rPr>
          <w:rFonts w:cs="Times New Roman"/>
        </w:rPr>
        <w:t>or detoxification facilities</w:t>
      </w:r>
      <w:r w:rsidR="00A529E6" w:rsidRPr="00A529E6">
        <w:rPr>
          <w:rFonts w:cs="Times New Roman"/>
        </w:rPr>
        <w:t>, and other non-traditional housing arrangements</w:t>
      </w:r>
      <w:r w:rsidRPr="00A529E6">
        <w:rPr>
          <w:rFonts w:cs="Times New Roman"/>
        </w:rPr>
        <w:t xml:space="preserve"> on a</w:t>
      </w:r>
      <w:r w:rsidR="00BC43EB" w:rsidRPr="00A529E6">
        <w:rPr>
          <w:rFonts w:cs="Times New Roman"/>
        </w:rPr>
        <w:t xml:space="preserve"> nightly</w:t>
      </w:r>
      <w:r w:rsidRPr="00A529E6">
        <w:rPr>
          <w:rFonts w:cs="Times New Roman"/>
        </w:rPr>
        <w:t xml:space="preserve"> </w:t>
      </w:r>
      <w:r w:rsidR="007110FF">
        <w:rPr>
          <w:rFonts w:cs="Times New Roman"/>
        </w:rPr>
        <w:t>or</w:t>
      </w:r>
      <w:r w:rsidR="001E4079" w:rsidRPr="00A529E6">
        <w:rPr>
          <w:rFonts w:cs="Times New Roman"/>
        </w:rPr>
        <w:t xml:space="preserve"> </w:t>
      </w:r>
      <w:r w:rsidRPr="00A529E6">
        <w:rPr>
          <w:rFonts w:cs="Times New Roman"/>
        </w:rPr>
        <w:t>bed-rate basis</w:t>
      </w:r>
      <w:r w:rsidRPr="00BD0B00">
        <w:rPr>
          <w:rFonts w:cs="Times New Roman"/>
        </w:rPr>
        <w:t xml:space="preserve">. </w:t>
      </w:r>
      <w:r w:rsidR="006C0D71" w:rsidRPr="00BD0B00">
        <w:rPr>
          <w:rFonts w:cs="Times New Roman"/>
        </w:rPr>
        <w:t xml:space="preserve">Alternatively, </w:t>
      </w:r>
      <w:r w:rsidR="00896512" w:rsidRPr="00BD0B00">
        <w:rPr>
          <w:rFonts w:cs="Times New Roman"/>
        </w:rPr>
        <w:t xml:space="preserve">STSH also pays for the </w:t>
      </w:r>
      <w:r w:rsidR="00F804AB" w:rsidRPr="00BD0B00">
        <w:rPr>
          <w:rFonts w:cs="Times New Roman"/>
        </w:rPr>
        <w:t xml:space="preserve">necessary </w:t>
      </w:r>
      <w:r w:rsidR="00282E15" w:rsidRPr="00BD0B00">
        <w:rPr>
          <w:rFonts w:cs="Times New Roman"/>
        </w:rPr>
        <w:t xml:space="preserve">minimum </w:t>
      </w:r>
      <w:r w:rsidR="001E4079" w:rsidRPr="00BD0B00">
        <w:rPr>
          <w:rFonts w:cs="Times New Roman"/>
        </w:rPr>
        <w:t>cost</w:t>
      </w:r>
      <w:r w:rsidR="00F804AB" w:rsidRPr="00BD0B00">
        <w:rPr>
          <w:rFonts w:cs="Times New Roman"/>
        </w:rPr>
        <w:t>s</w:t>
      </w:r>
      <w:r w:rsidR="001E4079" w:rsidRPr="00BD0B00">
        <w:rPr>
          <w:rFonts w:cs="Times New Roman"/>
        </w:rPr>
        <w:t xml:space="preserve"> of hotel or motel stays </w:t>
      </w:r>
      <w:r w:rsidR="00817C01" w:rsidRPr="00BD0B00">
        <w:rPr>
          <w:rFonts w:cs="Times New Roman"/>
        </w:rPr>
        <w:t xml:space="preserve">when households cannot access </w:t>
      </w:r>
      <w:r w:rsidR="001E4079" w:rsidRPr="00BD0B00">
        <w:rPr>
          <w:rFonts w:cs="Times New Roman"/>
        </w:rPr>
        <w:t xml:space="preserve">appropriate </w:t>
      </w:r>
      <w:r w:rsidR="009D39DB" w:rsidRPr="00BD0B00">
        <w:rPr>
          <w:rFonts w:cs="Times New Roman"/>
        </w:rPr>
        <w:t>temporary</w:t>
      </w:r>
      <w:r w:rsidR="001E4079" w:rsidRPr="00BD0B00">
        <w:rPr>
          <w:rFonts w:cs="Times New Roman"/>
        </w:rPr>
        <w:t xml:space="preserve"> shelter</w:t>
      </w:r>
      <w:r w:rsidR="00817C01" w:rsidRPr="00BD0B00">
        <w:rPr>
          <w:rFonts w:cs="Times New Roman"/>
        </w:rPr>
        <w:t xml:space="preserve">s </w:t>
      </w:r>
      <w:r w:rsidR="00817C01" w:rsidRPr="00BD0B00">
        <w:rPr>
          <w:rFonts w:cs="Times New Roman"/>
        </w:rPr>
        <w:lastRenderedPageBreak/>
        <w:t xml:space="preserve">or </w:t>
      </w:r>
      <w:r w:rsidR="00987842" w:rsidRPr="00DE48B8">
        <w:rPr>
          <w:rFonts w:cs="Times New Roman"/>
        </w:rPr>
        <w:t>they have identified</w:t>
      </w:r>
      <w:r w:rsidR="00817C01" w:rsidRPr="00BD0B00">
        <w:rPr>
          <w:rFonts w:cs="Times New Roman"/>
        </w:rPr>
        <w:t xml:space="preserve"> subsequent rental housing</w:t>
      </w:r>
      <w:r w:rsidR="00FB1CF2">
        <w:rPr>
          <w:rFonts w:cs="Times New Roman"/>
        </w:rPr>
        <w:t xml:space="preserve"> </w:t>
      </w:r>
      <w:r w:rsidR="00BD0B00" w:rsidRPr="00DE48B8">
        <w:rPr>
          <w:rFonts w:cs="Times New Roman"/>
        </w:rPr>
        <w:t>not immediately available for move-in</w:t>
      </w:r>
      <w:r w:rsidR="00BD0B00" w:rsidRPr="00BD0B00">
        <w:rPr>
          <w:rFonts w:cs="Times New Roman"/>
        </w:rPr>
        <w:t>.</w:t>
      </w:r>
      <w:r w:rsidR="00BC43EB" w:rsidRPr="00BD0B00">
        <w:rPr>
          <w:rFonts w:cs="Times New Roman"/>
        </w:rPr>
        <w:t xml:space="preserve"> </w:t>
      </w:r>
      <w:r w:rsidR="00CB3AAD" w:rsidRPr="00BD0B00">
        <w:rPr>
          <w:rFonts w:cs="Times New Roman"/>
        </w:rPr>
        <w:t xml:space="preserve">In this context, necessary </w:t>
      </w:r>
      <w:r w:rsidR="00282E15" w:rsidRPr="00BD0B00">
        <w:rPr>
          <w:rFonts w:cs="Times New Roman"/>
        </w:rPr>
        <w:t xml:space="preserve">minimum </w:t>
      </w:r>
      <w:r w:rsidR="00CB3AAD" w:rsidRPr="00BD0B00">
        <w:rPr>
          <w:rFonts w:cs="Times New Roman"/>
        </w:rPr>
        <w:t xml:space="preserve">costs </w:t>
      </w:r>
      <w:proofErr w:type="gramStart"/>
      <w:r w:rsidR="00817C01" w:rsidRPr="00BD0B00">
        <w:rPr>
          <w:rFonts w:cs="Times New Roman"/>
        </w:rPr>
        <w:t>means</w:t>
      </w:r>
      <w:proofErr w:type="gramEnd"/>
      <w:r w:rsidR="00CB3AAD" w:rsidRPr="00BD0B00">
        <w:rPr>
          <w:rFonts w:cs="Times New Roman"/>
        </w:rPr>
        <w:t xml:space="preserve"> those that </w:t>
      </w:r>
      <w:r w:rsidR="005A200E">
        <w:rPr>
          <w:rFonts w:cs="Times New Roman"/>
        </w:rPr>
        <w:t>a household must pay</w:t>
      </w:r>
      <w:r w:rsidR="00CB3AAD" w:rsidRPr="00BD0B00">
        <w:rPr>
          <w:rFonts w:cs="Times New Roman"/>
        </w:rPr>
        <w:t xml:space="preserve"> to access and occupy</w:t>
      </w:r>
      <w:r w:rsidR="00CB3AAD">
        <w:rPr>
          <w:rFonts w:cs="Times New Roman"/>
        </w:rPr>
        <w:t xml:space="preserve"> a temporary </w:t>
      </w:r>
      <w:r w:rsidR="00282E15">
        <w:rPr>
          <w:rFonts w:cs="Times New Roman"/>
        </w:rPr>
        <w:t>shelter</w:t>
      </w:r>
      <w:r w:rsidR="00CB3AAD">
        <w:rPr>
          <w:rFonts w:cs="Times New Roman"/>
        </w:rPr>
        <w:t>.</w:t>
      </w:r>
      <w:r w:rsidR="00987842" w:rsidRPr="00987842">
        <w:t xml:space="preserve"> </w:t>
      </w:r>
      <w:r w:rsidR="00987842" w:rsidRPr="00987842">
        <w:rPr>
          <w:rFonts w:cs="Times New Roman"/>
        </w:rPr>
        <w:t xml:space="preserve">Per 24 CFR §574.330(a)(1), </w:t>
      </w:r>
      <w:r w:rsidR="00987842">
        <w:rPr>
          <w:rFonts w:cs="Times New Roman"/>
        </w:rPr>
        <w:t>STSH</w:t>
      </w:r>
      <w:r w:rsidR="00987842" w:rsidRPr="00987842">
        <w:rPr>
          <w:rFonts w:cs="Times New Roman"/>
        </w:rPr>
        <w:t xml:space="preserve"> </w:t>
      </w:r>
      <w:r w:rsidR="00310DF2" w:rsidRPr="00310DF2">
        <w:rPr>
          <w:rFonts w:cs="Times New Roman"/>
        </w:rPr>
        <w:t>may provide residence to a household for up to 60 days of accrued costs in a six-month period</w:t>
      </w:r>
      <w:r w:rsidR="00987842" w:rsidRPr="00987842">
        <w:rPr>
          <w:rFonts w:cs="Times New Roman"/>
        </w:rPr>
        <w:t>.</w:t>
      </w:r>
      <w:r w:rsidR="00900482">
        <w:rPr>
          <w:rFonts w:cs="Times New Roman"/>
        </w:rPr>
        <w:t xml:space="preserve"> </w:t>
      </w:r>
      <w:r w:rsidR="0034655E" w:rsidRPr="00A529E6">
        <w:rPr>
          <w:rFonts w:cs="Times New Roman"/>
        </w:rPr>
        <w:t>Unlike TBRA and TSH services,</w:t>
      </w:r>
      <w:r w:rsidR="00BD0B00" w:rsidRPr="00BD0B00">
        <w:rPr>
          <w:rFonts w:cs="Times New Roman"/>
        </w:rPr>
        <w:t xml:space="preserve"> the amount of </w:t>
      </w:r>
      <w:r w:rsidR="00BD0B00">
        <w:rPr>
          <w:rFonts w:cs="Times New Roman"/>
        </w:rPr>
        <w:t>STSH</w:t>
      </w:r>
      <w:r w:rsidR="00BD0B00" w:rsidRPr="00BD0B00">
        <w:rPr>
          <w:rFonts w:cs="Times New Roman"/>
        </w:rPr>
        <w:t xml:space="preserve"> assistance a household receives depends on the household’s assessed needs and negotiation. </w:t>
      </w:r>
      <w:r w:rsidR="00BD0B00">
        <w:rPr>
          <w:rFonts w:cs="Times New Roman"/>
        </w:rPr>
        <w:t>STSH</w:t>
      </w:r>
      <w:r w:rsidR="00BD0B00" w:rsidRPr="00BD0B00">
        <w:rPr>
          <w:rFonts w:cs="Times New Roman"/>
        </w:rPr>
        <w:t xml:space="preserve"> does not require a rent standard or rent reasonableness examination and households do not have to pay a calculated portion of their income toward </w:t>
      </w:r>
      <w:r w:rsidR="0034655E" w:rsidRPr="00BD0B00">
        <w:rPr>
          <w:rFonts w:cs="Times New Roman"/>
        </w:rPr>
        <w:t xml:space="preserve">the </w:t>
      </w:r>
      <w:r w:rsidR="00BC43EB" w:rsidRPr="00BD0B00">
        <w:rPr>
          <w:rFonts w:cs="Times New Roman"/>
        </w:rPr>
        <w:t>use of the facility</w:t>
      </w:r>
      <w:r w:rsidR="0034655E" w:rsidRPr="00BD0B00">
        <w:rPr>
          <w:rFonts w:cs="Times New Roman"/>
        </w:rPr>
        <w:t xml:space="preserve">. However, if able, households </w:t>
      </w:r>
      <w:r w:rsidR="006C0D71" w:rsidRPr="00BD0B00">
        <w:rPr>
          <w:rFonts w:cs="Times New Roman"/>
        </w:rPr>
        <w:t>may</w:t>
      </w:r>
      <w:r w:rsidR="0034655E" w:rsidRPr="00BD0B00">
        <w:rPr>
          <w:rFonts w:cs="Times New Roman"/>
        </w:rPr>
        <w:t xml:space="preserve"> pay a portion of their </w:t>
      </w:r>
      <w:r w:rsidR="00191625" w:rsidRPr="00BD0B00">
        <w:rPr>
          <w:rFonts w:cs="Times New Roman"/>
        </w:rPr>
        <w:t>necessary minimum</w:t>
      </w:r>
      <w:r w:rsidR="0034655E" w:rsidRPr="00BD0B00">
        <w:rPr>
          <w:rFonts w:cs="Times New Roman"/>
        </w:rPr>
        <w:t xml:space="preserve"> costs as any portion </w:t>
      </w:r>
      <w:r w:rsidR="00BD0B00" w:rsidRPr="00DE48B8">
        <w:rPr>
          <w:rFonts w:cs="Times New Roman"/>
        </w:rPr>
        <w:t>contributed</w:t>
      </w:r>
      <w:r w:rsidR="00BD0B00" w:rsidRPr="00BD0B00">
        <w:rPr>
          <w:rFonts w:cs="Times New Roman"/>
        </w:rPr>
        <w:t xml:space="preserve"> </w:t>
      </w:r>
      <w:r w:rsidR="0034655E" w:rsidRPr="00BD0B00">
        <w:rPr>
          <w:rFonts w:cs="Times New Roman"/>
        </w:rPr>
        <w:t xml:space="preserve">by the </w:t>
      </w:r>
      <w:r w:rsidR="00F804AB" w:rsidRPr="00BD0B00">
        <w:rPr>
          <w:rFonts w:cs="Times New Roman"/>
        </w:rPr>
        <w:t>household</w:t>
      </w:r>
      <w:r w:rsidR="0034655E" w:rsidRPr="00BD0B00">
        <w:rPr>
          <w:rFonts w:cs="Times New Roman"/>
        </w:rPr>
        <w:t xml:space="preserve"> does not count against the </w:t>
      </w:r>
      <w:r w:rsidR="00A529E6" w:rsidRPr="00BD0B00">
        <w:rPr>
          <w:rFonts w:cs="Times New Roman"/>
        </w:rPr>
        <w:t>60</w:t>
      </w:r>
      <w:r w:rsidR="0034655E" w:rsidRPr="00BD0B00">
        <w:rPr>
          <w:rFonts w:cs="Times New Roman"/>
        </w:rPr>
        <w:t>-</w:t>
      </w:r>
      <w:r w:rsidR="00BB65F1" w:rsidRPr="00BD0B00">
        <w:rPr>
          <w:rFonts w:cs="Times New Roman"/>
        </w:rPr>
        <w:t xml:space="preserve">day </w:t>
      </w:r>
      <w:r w:rsidR="00A529E6" w:rsidRPr="00BD0B00">
        <w:rPr>
          <w:rFonts w:cs="Times New Roman"/>
        </w:rPr>
        <w:t>STSH</w:t>
      </w:r>
      <w:r w:rsidR="0034655E" w:rsidRPr="00BD0B00">
        <w:rPr>
          <w:rFonts w:cs="Times New Roman"/>
        </w:rPr>
        <w:t xml:space="preserve"> </w:t>
      </w:r>
      <w:r w:rsidR="00BD0B00" w:rsidRPr="00DE48B8">
        <w:rPr>
          <w:rFonts w:cs="Times New Roman"/>
        </w:rPr>
        <w:t>limit</w:t>
      </w:r>
      <w:r w:rsidR="0034655E" w:rsidRPr="00BD0B00">
        <w:rPr>
          <w:rFonts w:cs="Times New Roman"/>
        </w:rPr>
        <w:t>.</w:t>
      </w:r>
      <w:r w:rsidR="00B47B7E" w:rsidRPr="00BD0B00">
        <w:rPr>
          <w:rFonts w:cs="Times New Roman"/>
        </w:rPr>
        <w:t xml:space="preserve"> </w:t>
      </w:r>
      <w:r w:rsidR="00956116" w:rsidRPr="00BD0B00">
        <w:rPr>
          <w:rFonts w:cs="Times New Roman"/>
        </w:rPr>
        <w:t>STSH pays operating or leasing costs, including</w:t>
      </w:r>
      <w:r w:rsidR="00B47B7E" w:rsidRPr="00BD0B00">
        <w:rPr>
          <w:rFonts w:cs="Times New Roman"/>
        </w:rPr>
        <w:t xml:space="preserve"> payments to independent temporary shelter vendors.</w:t>
      </w:r>
    </w:p>
    <w:p w14:paraId="324D4288" w14:textId="525DE458" w:rsidR="00E9219E" w:rsidRPr="002A61C8" w:rsidRDefault="00E9219E" w:rsidP="003A5712">
      <w:pPr>
        <w:pStyle w:val="NoSpacing"/>
        <w:numPr>
          <w:ilvl w:val="2"/>
          <w:numId w:val="157"/>
        </w:numPr>
        <w:ind w:left="1890" w:hanging="450"/>
        <w:rPr>
          <w:rFonts w:cs="Times New Roman"/>
          <w:bCs/>
        </w:rPr>
      </w:pPr>
      <w:r w:rsidRPr="002A61C8">
        <w:rPr>
          <w:rFonts w:cs="Times New Roman"/>
          <w:bCs/>
          <w:i/>
          <w:iCs/>
        </w:rPr>
        <w:t>Operating Costs</w:t>
      </w:r>
      <w:r w:rsidR="00E67CCA" w:rsidRPr="00E67CCA">
        <w:rPr>
          <w:rFonts w:cs="Times New Roman"/>
          <w:bCs/>
          <w:i/>
          <w:iCs/>
        </w:rPr>
        <w:t>.</w:t>
      </w:r>
      <w:r w:rsidR="00E67CCA" w:rsidRPr="0027287B">
        <w:rPr>
          <w:rFonts w:cs="Times New Roman"/>
          <w:bCs/>
        </w:rPr>
        <w:t xml:space="preserve"> </w:t>
      </w:r>
      <w:r w:rsidRPr="005538E2">
        <w:rPr>
          <w:rFonts w:cs="Times New Roman"/>
          <w:bCs/>
        </w:rPr>
        <w:t>If a Project Sponsor owns</w:t>
      </w:r>
      <w:r w:rsidR="008319F7" w:rsidRPr="002A61C8">
        <w:rPr>
          <w:rFonts w:cs="Times New Roman"/>
          <w:bCs/>
        </w:rPr>
        <w:t xml:space="preserve"> or leases</w:t>
      </w:r>
      <w:r w:rsidRPr="002A61C8">
        <w:rPr>
          <w:rFonts w:cs="Times New Roman"/>
          <w:bCs/>
        </w:rPr>
        <w:t xml:space="preserve"> single-site or scattered-site facilities and will provide </w:t>
      </w:r>
      <w:r w:rsidR="009A0FC7" w:rsidRPr="002A61C8">
        <w:rPr>
          <w:rFonts w:cs="Times New Roman"/>
          <w:bCs/>
        </w:rPr>
        <w:t>STSH services</w:t>
      </w:r>
      <w:r w:rsidRPr="002A61C8">
        <w:rPr>
          <w:rFonts w:cs="Times New Roman"/>
          <w:bCs/>
        </w:rPr>
        <w:t xml:space="preserve"> to households, </w:t>
      </w:r>
      <w:r w:rsidR="009A0FC7" w:rsidRPr="002A61C8">
        <w:rPr>
          <w:rFonts w:cs="Times New Roman"/>
          <w:bCs/>
        </w:rPr>
        <w:t>STSH pay</w:t>
      </w:r>
      <w:r w:rsidR="00970CEA" w:rsidRPr="002A61C8">
        <w:rPr>
          <w:rFonts w:cs="Times New Roman"/>
          <w:bCs/>
        </w:rPr>
        <w:t>s</w:t>
      </w:r>
      <w:r w:rsidRPr="002A61C8">
        <w:rPr>
          <w:rFonts w:cs="Times New Roman"/>
          <w:bCs/>
        </w:rPr>
        <w:t xml:space="preserve"> facility operating costs. Project Sponsors may own </w:t>
      </w:r>
      <w:r w:rsidR="005F673A" w:rsidRPr="002A61C8">
        <w:rPr>
          <w:rFonts w:cs="Times New Roman"/>
          <w:bCs/>
        </w:rPr>
        <w:t xml:space="preserve">or lease </w:t>
      </w:r>
      <w:r w:rsidRPr="002A61C8">
        <w:rPr>
          <w:rFonts w:cs="Times New Roman"/>
          <w:bCs/>
        </w:rPr>
        <w:t xml:space="preserve">individual units or all or part of structures. </w:t>
      </w:r>
      <w:r w:rsidR="00AC10C5" w:rsidRPr="002A61C8">
        <w:rPr>
          <w:rFonts w:cs="Times New Roman"/>
          <w:bCs/>
        </w:rPr>
        <w:t xml:space="preserve">The Project Sponsor provides residence to a household through an occupancy agreement. </w:t>
      </w:r>
      <w:r w:rsidR="00555B6E">
        <w:rPr>
          <w:rFonts w:cs="Times New Roman"/>
          <w:bCs/>
        </w:rPr>
        <w:t xml:space="preserve">Optionally, </w:t>
      </w:r>
      <w:r w:rsidR="009A0FC7" w:rsidRPr="002A61C8">
        <w:rPr>
          <w:rFonts w:cs="Times New Roman"/>
          <w:bCs/>
        </w:rPr>
        <w:t xml:space="preserve">Project Sponsors may </w:t>
      </w:r>
      <w:r w:rsidR="00555B6E">
        <w:rPr>
          <w:rFonts w:cs="Times New Roman"/>
          <w:bCs/>
        </w:rPr>
        <w:t>levy an occupancy charge</w:t>
      </w:r>
      <w:r w:rsidR="009A0FC7" w:rsidRPr="002A61C8">
        <w:rPr>
          <w:rFonts w:cs="Times New Roman"/>
          <w:bCs/>
        </w:rPr>
        <w:t xml:space="preserve"> and collect any household payments (program income). </w:t>
      </w:r>
      <w:bookmarkStart w:id="34" w:name="_Hlk104303677"/>
      <w:r w:rsidRPr="00C9153E">
        <w:rPr>
          <w:rFonts w:cs="Times New Roman"/>
          <w:bCs/>
        </w:rPr>
        <w:t xml:space="preserve">Operating costs include </w:t>
      </w:r>
      <w:r w:rsidR="00CE6C05" w:rsidRPr="00C9153E">
        <w:rPr>
          <w:rFonts w:cs="Times New Roman"/>
          <w:bCs/>
        </w:rPr>
        <w:t xml:space="preserve">interior and exterior </w:t>
      </w:r>
      <w:r w:rsidRPr="005538E2">
        <w:rPr>
          <w:rFonts w:cs="Times New Roman"/>
          <w:bCs/>
        </w:rPr>
        <w:t>maintenance</w:t>
      </w:r>
      <w:r w:rsidR="00EC7A17" w:rsidRPr="002A61C8">
        <w:rPr>
          <w:rFonts w:cs="Times New Roman"/>
          <w:bCs/>
        </w:rPr>
        <w:t xml:space="preserve"> (for example, repairing and cleaning a unit</w:t>
      </w:r>
      <w:r w:rsidR="00BA723C" w:rsidRPr="002A61C8">
        <w:rPr>
          <w:rFonts w:cs="Times New Roman"/>
          <w:bCs/>
        </w:rPr>
        <w:t xml:space="preserve"> when an assisted household vacates </w:t>
      </w:r>
      <w:r w:rsidR="00C9153E">
        <w:rPr>
          <w:rFonts w:cs="Times New Roman"/>
          <w:bCs/>
        </w:rPr>
        <w:t>it</w:t>
      </w:r>
      <w:r w:rsidR="00BA723C" w:rsidRPr="002A61C8">
        <w:rPr>
          <w:rFonts w:cs="Times New Roman"/>
          <w:bCs/>
        </w:rPr>
        <w:t>)</w:t>
      </w:r>
      <w:r w:rsidRPr="005538E2">
        <w:rPr>
          <w:rFonts w:cs="Times New Roman"/>
          <w:bCs/>
        </w:rPr>
        <w:t>, security</w:t>
      </w:r>
      <w:r w:rsidR="00F12AA7" w:rsidRPr="00C9153E">
        <w:rPr>
          <w:rFonts w:cs="Times New Roman"/>
          <w:bCs/>
        </w:rPr>
        <w:t xml:space="preserve"> measures</w:t>
      </w:r>
      <w:r w:rsidRPr="005538E2">
        <w:rPr>
          <w:rFonts w:cs="Times New Roman"/>
          <w:bCs/>
        </w:rPr>
        <w:t xml:space="preserve">, </w:t>
      </w:r>
      <w:r w:rsidRPr="002A61C8">
        <w:rPr>
          <w:rFonts w:cs="Times New Roman"/>
          <w:bCs/>
        </w:rPr>
        <w:t>insurance, utilities</w:t>
      </w:r>
      <w:r w:rsidR="00F12AA7" w:rsidRPr="00C9153E">
        <w:rPr>
          <w:rFonts w:cs="Times New Roman"/>
          <w:bCs/>
        </w:rPr>
        <w:t xml:space="preserve"> for the facility and units</w:t>
      </w:r>
      <w:r w:rsidRPr="005538E2">
        <w:rPr>
          <w:rFonts w:cs="Times New Roman"/>
          <w:bCs/>
        </w:rPr>
        <w:t>, furnishings</w:t>
      </w:r>
      <w:r w:rsidR="00F12AA7" w:rsidRPr="00C9153E">
        <w:rPr>
          <w:rFonts w:cs="Times New Roman"/>
          <w:bCs/>
        </w:rPr>
        <w:t xml:space="preserve"> for the facility an</w:t>
      </w:r>
      <w:r w:rsidR="00CE6C05" w:rsidRPr="002A61C8">
        <w:rPr>
          <w:rFonts w:cs="Times New Roman"/>
          <w:bCs/>
        </w:rPr>
        <w:t xml:space="preserve">d </w:t>
      </w:r>
      <w:r w:rsidR="00F12AA7" w:rsidRPr="00C9153E">
        <w:rPr>
          <w:rFonts w:cs="Times New Roman"/>
          <w:bCs/>
        </w:rPr>
        <w:t xml:space="preserve">units (that remain in the unit when </w:t>
      </w:r>
      <w:r w:rsidR="00CE6C05" w:rsidRPr="002A61C8">
        <w:rPr>
          <w:rFonts w:cs="Times New Roman"/>
          <w:bCs/>
        </w:rPr>
        <w:t>an</w:t>
      </w:r>
      <w:r w:rsidR="00F12AA7" w:rsidRPr="00C9153E">
        <w:rPr>
          <w:rFonts w:cs="Times New Roman"/>
          <w:bCs/>
        </w:rPr>
        <w:t xml:space="preserve"> assisted household vacates</w:t>
      </w:r>
      <w:r w:rsidR="00EC7A17" w:rsidRPr="002A61C8">
        <w:rPr>
          <w:rFonts w:cs="Times New Roman"/>
          <w:bCs/>
        </w:rPr>
        <w:t xml:space="preserve"> </w:t>
      </w:r>
      <w:r w:rsidR="00BA723C" w:rsidRPr="002A61C8">
        <w:rPr>
          <w:rFonts w:cs="Times New Roman"/>
          <w:bCs/>
        </w:rPr>
        <w:t>it</w:t>
      </w:r>
      <w:r w:rsidR="00F12AA7" w:rsidRPr="00C9153E">
        <w:rPr>
          <w:rFonts w:cs="Times New Roman"/>
          <w:bCs/>
        </w:rPr>
        <w:t>)</w:t>
      </w:r>
      <w:r w:rsidR="00323BEA" w:rsidRPr="00C9153E">
        <w:rPr>
          <w:rFonts w:cs="Times New Roman"/>
          <w:bCs/>
        </w:rPr>
        <w:t xml:space="preserve">, </w:t>
      </w:r>
      <w:r w:rsidR="00CE6C05" w:rsidRPr="00C9153E">
        <w:rPr>
          <w:rFonts w:cs="Times New Roman"/>
          <w:bCs/>
        </w:rPr>
        <w:t xml:space="preserve">salary and fringe </w:t>
      </w:r>
      <w:r w:rsidR="008207FF" w:rsidRPr="00C9153E">
        <w:rPr>
          <w:rFonts w:cs="Times New Roman"/>
          <w:bCs/>
        </w:rPr>
        <w:t>(</w:t>
      </w:r>
      <w:r w:rsidR="00CE6C05" w:rsidRPr="00C9153E">
        <w:rPr>
          <w:rFonts w:cs="Times New Roman"/>
          <w:bCs/>
        </w:rPr>
        <w:t>for staff directly related to the facility</w:t>
      </w:r>
      <w:r w:rsidR="008207FF" w:rsidRPr="00C9153E">
        <w:rPr>
          <w:rFonts w:cs="Times New Roman"/>
          <w:bCs/>
        </w:rPr>
        <w:t>, such as property managers, front desk managers, house managers, etc., but not for staff delivering Supportive Services, such as housing case managers)</w:t>
      </w:r>
      <w:r w:rsidR="00CE6C05" w:rsidRPr="00C9153E">
        <w:rPr>
          <w:rFonts w:cs="Times New Roman"/>
          <w:bCs/>
        </w:rPr>
        <w:t xml:space="preserve">, </w:t>
      </w:r>
      <w:r w:rsidRPr="005538E2">
        <w:rPr>
          <w:rFonts w:cs="Times New Roman"/>
          <w:bCs/>
        </w:rPr>
        <w:t xml:space="preserve">equipment, supplies, </w:t>
      </w:r>
      <w:r w:rsidR="00CE6C05" w:rsidRPr="00C9153E">
        <w:rPr>
          <w:rFonts w:cs="Times New Roman"/>
          <w:bCs/>
        </w:rPr>
        <w:t xml:space="preserve">and </w:t>
      </w:r>
      <w:r w:rsidRPr="005538E2">
        <w:rPr>
          <w:rFonts w:cs="Times New Roman"/>
          <w:bCs/>
        </w:rPr>
        <w:t>other incidental costs</w:t>
      </w:r>
      <w:r w:rsidR="00CE6C05" w:rsidRPr="00C9153E">
        <w:rPr>
          <w:rFonts w:cs="Times New Roman"/>
          <w:bCs/>
        </w:rPr>
        <w:t xml:space="preserve"> (for example, certain legal costs)</w:t>
      </w:r>
      <w:r w:rsidRPr="002A61C8">
        <w:rPr>
          <w:rFonts w:cs="Times New Roman"/>
          <w:bCs/>
        </w:rPr>
        <w:t>.</w:t>
      </w:r>
      <w:bookmarkEnd w:id="34"/>
      <w:r w:rsidRPr="002A61C8">
        <w:rPr>
          <w:rFonts w:cs="Times New Roman"/>
          <w:bCs/>
        </w:rPr>
        <w:t xml:space="preserve"> </w:t>
      </w:r>
      <w:hyperlink r:id="rId95" w:history="1">
        <w:r w:rsidRPr="005538E2">
          <w:rPr>
            <w:rStyle w:val="Hyperlink"/>
            <w:rFonts w:cs="Times New Roman"/>
            <w:bCs/>
          </w:rPr>
          <w:t>Maintenance</w:t>
        </w:r>
      </w:hyperlink>
      <w:r w:rsidRPr="0027287B">
        <w:rPr>
          <w:rFonts w:cs="Times New Roman"/>
          <w:bCs/>
        </w:rPr>
        <w:t xml:space="preserve"> costs </w:t>
      </w:r>
      <w:r w:rsidR="008E1E9A">
        <w:rPr>
          <w:rFonts w:cs="Times New Roman"/>
          <w:bCs/>
        </w:rPr>
        <w:t xml:space="preserve">mean </w:t>
      </w:r>
      <w:r w:rsidRPr="0027287B">
        <w:rPr>
          <w:rFonts w:cs="Times New Roman"/>
          <w:bCs/>
        </w:rPr>
        <w:t xml:space="preserve">protective or preventative measures to keep a </w:t>
      </w:r>
      <w:r w:rsidRPr="005538E2">
        <w:rPr>
          <w:rFonts w:cs="Times New Roman"/>
          <w:bCs/>
        </w:rPr>
        <w:t>facility, its systems, and its grounds in working order; or repair or</w:t>
      </w:r>
      <w:r w:rsidRPr="002A61C8">
        <w:rPr>
          <w:rFonts w:cs="Times New Roman"/>
          <w:bCs/>
        </w:rPr>
        <w:t xml:space="preserve"> replacement of appliances or objects </w:t>
      </w:r>
      <w:r w:rsidR="00557AB3">
        <w:rPr>
          <w:rFonts w:cs="Times New Roman"/>
          <w:bCs/>
        </w:rPr>
        <w:t>not affixed to</w:t>
      </w:r>
      <w:r w:rsidRPr="002A61C8">
        <w:rPr>
          <w:rFonts w:cs="Times New Roman"/>
          <w:bCs/>
        </w:rPr>
        <w:t xml:space="preserve"> or part of the building.</w:t>
      </w:r>
      <w:r w:rsidR="005F673A" w:rsidRPr="002A61C8">
        <w:rPr>
          <w:rFonts w:cs="Times New Roman"/>
          <w:bCs/>
        </w:rPr>
        <w:t xml:space="preserve"> If a Project Sponsor leases a facility, </w:t>
      </w:r>
      <w:r w:rsidR="00557AB3">
        <w:rPr>
          <w:rFonts w:cs="Times New Roman"/>
          <w:bCs/>
        </w:rPr>
        <w:t xml:space="preserve">STSH limits </w:t>
      </w:r>
      <w:r w:rsidR="005F673A" w:rsidRPr="002A61C8">
        <w:rPr>
          <w:rFonts w:cs="Times New Roman"/>
          <w:bCs/>
        </w:rPr>
        <w:t xml:space="preserve">operating costs to those not </w:t>
      </w:r>
      <w:r w:rsidR="00E07A56" w:rsidRPr="002A61C8">
        <w:rPr>
          <w:rFonts w:cs="Times New Roman"/>
          <w:bCs/>
        </w:rPr>
        <w:t>covered by the owner in the rental agreement</w:t>
      </w:r>
      <w:r w:rsidR="00116C0F" w:rsidRPr="002A61C8">
        <w:rPr>
          <w:rFonts w:cs="Times New Roman"/>
          <w:bCs/>
        </w:rPr>
        <w:t>.</w:t>
      </w:r>
    </w:p>
    <w:p w14:paraId="5DEDFEF5" w14:textId="47C0F4EB" w:rsidR="00E9219E" w:rsidRDefault="00E9219E" w:rsidP="003A5712">
      <w:pPr>
        <w:pStyle w:val="NoSpacing"/>
        <w:numPr>
          <w:ilvl w:val="2"/>
          <w:numId w:val="157"/>
        </w:numPr>
        <w:ind w:left="1890" w:hanging="450"/>
        <w:rPr>
          <w:rFonts w:cs="Times New Roman"/>
        </w:rPr>
      </w:pPr>
      <w:r w:rsidRPr="002A61C8">
        <w:rPr>
          <w:rFonts w:cs="Times New Roman"/>
          <w:bCs/>
          <w:i/>
          <w:iCs/>
        </w:rPr>
        <w:t>Leasing Costs</w:t>
      </w:r>
      <w:r w:rsidR="00E67CCA" w:rsidRPr="00E67CCA">
        <w:rPr>
          <w:rFonts w:cs="Times New Roman"/>
          <w:bCs/>
          <w:i/>
          <w:iCs/>
        </w:rPr>
        <w:t>.</w:t>
      </w:r>
      <w:r w:rsidR="00E67CCA">
        <w:rPr>
          <w:rFonts w:cs="Times New Roman"/>
        </w:rPr>
        <w:t xml:space="preserve"> </w:t>
      </w:r>
      <w:r w:rsidRPr="00E67CCA">
        <w:rPr>
          <w:rFonts w:cs="Times New Roman"/>
        </w:rPr>
        <w:t xml:space="preserve">If a Project Sponsor leases single-site or scattered-site facilities and will provide </w:t>
      </w:r>
      <w:r w:rsidR="009A0FC7" w:rsidRPr="00E67CCA">
        <w:rPr>
          <w:rFonts w:cs="Times New Roman"/>
        </w:rPr>
        <w:t>STSH services to</w:t>
      </w:r>
      <w:r w:rsidRPr="00E67CCA">
        <w:rPr>
          <w:rFonts w:cs="Times New Roman"/>
        </w:rPr>
        <w:t xml:space="preserve"> households, </w:t>
      </w:r>
      <w:r w:rsidR="009A0FC7" w:rsidRPr="00E67CCA">
        <w:rPr>
          <w:rFonts w:cs="Times New Roman"/>
        </w:rPr>
        <w:t>STSH pay</w:t>
      </w:r>
      <w:r w:rsidR="00970CEA" w:rsidRPr="00E67CCA">
        <w:rPr>
          <w:rFonts w:cs="Times New Roman"/>
        </w:rPr>
        <w:t>s</w:t>
      </w:r>
      <w:r w:rsidRPr="00E67CCA">
        <w:rPr>
          <w:rFonts w:cs="Times New Roman"/>
        </w:rPr>
        <w:t xml:space="preserve"> facility leasing costs. Project Sponsors may lease individual units or all or part of structures. </w:t>
      </w:r>
      <w:r w:rsidR="00AC10C5" w:rsidRPr="00E67CCA">
        <w:rPr>
          <w:rFonts w:cs="Times New Roman"/>
        </w:rPr>
        <w:t xml:space="preserve">In this arrangement, the Project Sponsor is the tenant and pays the total monthly rent for the facility. The Project Sponsor provides residence to a household through an occupancy agreement. </w:t>
      </w:r>
      <w:r w:rsidR="002D5DB0">
        <w:rPr>
          <w:rFonts w:cs="Times New Roman"/>
        </w:rPr>
        <w:t xml:space="preserve">Optionally, </w:t>
      </w:r>
      <w:r w:rsidR="009A0FC7" w:rsidRPr="00E67CCA">
        <w:rPr>
          <w:rFonts w:cs="Times New Roman"/>
        </w:rPr>
        <w:t>Project</w:t>
      </w:r>
      <w:r w:rsidRPr="00E67CCA">
        <w:rPr>
          <w:rFonts w:cs="Times New Roman"/>
        </w:rPr>
        <w:t xml:space="preserve"> Sponsors may</w:t>
      </w:r>
      <w:r w:rsidR="002D5DB0">
        <w:rPr>
          <w:rFonts w:cs="Times New Roman"/>
        </w:rPr>
        <w:t xml:space="preserve"> levy</w:t>
      </w:r>
      <w:r w:rsidRPr="00E67CCA">
        <w:rPr>
          <w:rFonts w:cs="Times New Roman"/>
        </w:rPr>
        <w:t xml:space="preserve"> an occupancy charge and collect any household payments (program income). Project Sponsors </w:t>
      </w:r>
      <w:r w:rsidR="00AA7986">
        <w:rPr>
          <w:rFonts w:cs="Times New Roman"/>
        </w:rPr>
        <w:t>cannot</w:t>
      </w:r>
      <w:r w:rsidRPr="00E67CCA">
        <w:rPr>
          <w:rFonts w:cs="Times New Roman"/>
        </w:rPr>
        <w:t xml:space="preserve"> use leasing funds for facilities owned by the Project Sponsor, their parent organization(s), any other related organization(s), or organizations that are members of a partnership where the partnership owns the structure without a HUD-authorized exception</w:t>
      </w:r>
      <w:r w:rsidRPr="002D5DB0">
        <w:rPr>
          <w:rFonts w:cs="Times New Roman"/>
        </w:rPr>
        <w:t>.</w:t>
      </w:r>
      <w:r w:rsidR="00116C0F" w:rsidRPr="00DE48B8">
        <w:rPr>
          <w:rFonts w:cs="Times New Roman"/>
        </w:rPr>
        <w:t xml:space="preserve"> </w:t>
      </w:r>
      <w:r w:rsidR="002D5DB0" w:rsidRPr="00DE48B8">
        <w:rPr>
          <w:rFonts w:cs="Times New Roman"/>
        </w:rPr>
        <w:t xml:space="preserve">Leasing costs also include </w:t>
      </w:r>
      <w:r w:rsidR="00116C0F" w:rsidRPr="002D5DB0">
        <w:rPr>
          <w:rFonts w:cs="Times New Roman"/>
        </w:rPr>
        <w:t xml:space="preserve">payments </w:t>
      </w:r>
      <w:r w:rsidR="00116C0F" w:rsidRPr="00E67CCA">
        <w:rPr>
          <w:rFonts w:cs="Times New Roman"/>
        </w:rPr>
        <w:t>to independent temporary shelter vendors (i.e., payments to facilities a Project Sponsor does not own or lease).</w:t>
      </w:r>
    </w:p>
    <w:p w14:paraId="4CCF83A4" w14:textId="77777777" w:rsidR="004C546D" w:rsidRPr="004C546D" w:rsidRDefault="004C546D" w:rsidP="002A61C8">
      <w:pPr>
        <w:pStyle w:val="NoSpacing"/>
        <w:ind w:left="1800"/>
        <w:rPr>
          <w:rFonts w:cs="Times New Roman"/>
        </w:rPr>
      </w:pPr>
    </w:p>
    <w:p w14:paraId="2768F89C" w14:textId="5848D9CC" w:rsidR="0034655E" w:rsidRPr="00E232FE" w:rsidRDefault="0034655E">
      <w:pPr>
        <w:pStyle w:val="NoSpacing"/>
        <w:numPr>
          <w:ilvl w:val="1"/>
          <w:numId w:val="93"/>
        </w:numPr>
        <w:rPr>
          <w:rFonts w:cs="Times New Roman"/>
          <w:b/>
          <w:u w:val="single"/>
        </w:rPr>
      </w:pPr>
      <w:r w:rsidRPr="00E232FE">
        <w:rPr>
          <w:rFonts w:cs="Times New Roman"/>
          <w:b/>
          <w:u w:val="single"/>
        </w:rPr>
        <w:t>Ineligible Costs</w:t>
      </w:r>
    </w:p>
    <w:p w14:paraId="64039C1B" w14:textId="3852F2BC" w:rsidR="0034655E" w:rsidRDefault="00BB227A">
      <w:pPr>
        <w:pStyle w:val="NoSpacing"/>
        <w:ind w:left="720"/>
        <w:rPr>
          <w:rFonts w:cs="Times New Roman"/>
        </w:rPr>
      </w:pPr>
      <w:r>
        <w:rPr>
          <w:rFonts w:cs="Times New Roman"/>
        </w:rPr>
        <w:t xml:space="preserve">While not an exhaustive list, </w:t>
      </w:r>
      <w:r w:rsidR="00C22157" w:rsidRPr="00C22157">
        <w:rPr>
          <w:rFonts w:cs="Times New Roman"/>
        </w:rPr>
        <w:t xml:space="preserve">STSH </w:t>
      </w:r>
      <w:r w:rsidR="002D6013">
        <w:rPr>
          <w:rFonts w:cs="Times New Roman"/>
        </w:rPr>
        <w:t>cannot</w:t>
      </w:r>
      <w:r w:rsidR="00C22157" w:rsidRPr="00C22157">
        <w:rPr>
          <w:rFonts w:cs="Times New Roman"/>
        </w:rPr>
        <w:t xml:space="preserve"> provide long-term or continuous assistance in temporary shelters</w:t>
      </w:r>
      <w:r w:rsidR="002D6013">
        <w:rPr>
          <w:rFonts w:cs="Times New Roman"/>
        </w:rPr>
        <w:t>.</w:t>
      </w:r>
      <w:r w:rsidR="00C22157" w:rsidRPr="00C22157">
        <w:rPr>
          <w:rFonts w:cs="Times New Roman"/>
        </w:rPr>
        <w:t xml:space="preserve"> </w:t>
      </w:r>
      <w:r w:rsidR="00BC43EB" w:rsidRPr="00ED208F">
        <w:rPr>
          <w:rFonts w:cs="Times New Roman"/>
        </w:rPr>
        <w:t>STSH</w:t>
      </w:r>
      <w:r w:rsidR="0034655E" w:rsidRPr="00E232FE">
        <w:rPr>
          <w:rFonts w:cs="Times New Roman"/>
        </w:rPr>
        <w:t xml:space="preserve"> cannot </w:t>
      </w:r>
      <w:r w:rsidR="00BC43EB" w:rsidRPr="00ED208F">
        <w:rPr>
          <w:rFonts w:cs="Times New Roman"/>
        </w:rPr>
        <w:t xml:space="preserve">pay rental, mortgage, or utility debts and dues. </w:t>
      </w:r>
      <w:r w:rsidR="00E232FE" w:rsidRPr="00E232FE">
        <w:rPr>
          <w:rFonts w:cs="Times New Roman"/>
        </w:rPr>
        <w:t>STSH cannot pay late or reconnect fees.</w:t>
      </w:r>
      <w:r w:rsidR="00E232FE" w:rsidRPr="00ED208F">
        <w:rPr>
          <w:rFonts w:cs="Times New Roman"/>
        </w:rPr>
        <w:t xml:space="preserve"> </w:t>
      </w:r>
      <w:r w:rsidR="002D6013" w:rsidRPr="002D6013">
        <w:rPr>
          <w:rFonts w:cs="Times New Roman"/>
        </w:rPr>
        <w:t xml:space="preserve">While </w:t>
      </w:r>
      <w:r w:rsidR="002D6013">
        <w:rPr>
          <w:rFonts w:cs="Times New Roman"/>
        </w:rPr>
        <w:t>STSH</w:t>
      </w:r>
      <w:r w:rsidR="002D6013" w:rsidRPr="002D6013">
        <w:rPr>
          <w:rFonts w:cs="Times New Roman"/>
        </w:rPr>
        <w:t xml:space="preserve"> cannot pay initial move-in costs (e.g., application and administrative fees, </w:t>
      </w:r>
      <w:proofErr w:type="gramStart"/>
      <w:r w:rsidR="002D6013" w:rsidRPr="002D6013">
        <w:rPr>
          <w:rFonts w:cs="Times New Roman"/>
        </w:rPr>
        <w:t>security</w:t>
      </w:r>
      <w:proofErr w:type="gramEnd"/>
      <w:r w:rsidR="002D6013" w:rsidRPr="002D6013">
        <w:rPr>
          <w:rFonts w:cs="Times New Roman"/>
        </w:rPr>
        <w:t xml:space="preserve"> and utility deposits, etc.), Project Sponsors </w:t>
      </w:r>
      <w:r w:rsidR="00BE7A03">
        <w:rPr>
          <w:rFonts w:cs="Times New Roman"/>
        </w:rPr>
        <w:t>can</w:t>
      </w:r>
      <w:r w:rsidR="002D6013" w:rsidRPr="002D6013">
        <w:rPr>
          <w:rFonts w:cs="Times New Roman"/>
        </w:rPr>
        <w:t xml:space="preserve"> pay such costs using PHP.</w:t>
      </w:r>
      <w:r w:rsidR="00B904D2" w:rsidRPr="00ED208F">
        <w:rPr>
          <w:rFonts w:cs="Times New Roman"/>
        </w:rPr>
        <w:t xml:space="preserve"> </w:t>
      </w:r>
      <w:r w:rsidR="00E232FE" w:rsidRPr="00ED208F">
        <w:rPr>
          <w:rFonts w:cs="Times New Roman"/>
        </w:rPr>
        <w:t>STSH cannot pay for any cost</w:t>
      </w:r>
      <w:r w:rsidR="002D6013">
        <w:rPr>
          <w:rFonts w:cs="Times New Roman"/>
        </w:rPr>
        <w:t>s</w:t>
      </w:r>
      <w:r w:rsidR="00E232FE" w:rsidRPr="00ED208F">
        <w:rPr>
          <w:rFonts w:cs="Times New Roman"/>
        </w:rPr>
        <w:t xml:space="preserve"> </w:t>
      </w:r>
      <w:r w:rsidR="002D6013">
        <w:rPr>
          <w:rFonts w:cs="Times New Roman"/>
        </w:rPr>
        <w:t>beyond those necessary</w:t>
      </w:r>
      <w:r w:rsidR="00E232FE" w:rsidRPr="00ED208F">
        <w:rPr>
          <w:rFonts w:cs="Times New Roman"/>
        </w:rPr>
        <w:t xml:space="preserve"> to access</w:t>
      </w:r>
      <w:r w:rsidR="00FE5101">
        <w:rPr>
          <w:rFonts w:cs="Times New Roman"/>
        </w:rPr>
        <w:t>ing</w:t>
      </w:r>
      <w:r w:rsidR="00E232FE" w:rsidRPr="00ED208F">
        <w:rPr>
          <w:rFonts w:cs="Times New Roman"/>
        </w:rPr>
        <w:t xml:space="preserve"> and occupy</w:t>
      </w:r>
      <w:r w:rsidR="00FE5101">
        <w:rPr>
          <w:rFonts w:cs="Times New Roman"/>
        </w:rPr>
        <w:t>ing</w:t>
      </w:r>
      <w:r w:rsidR="00E232FE" w:rsidRPr="00ED208F">
        <w:rPr>
          <w:rFonts w:cs="Times New Roman"/>
        </w:rPr>
        <w:t xml:space="preserve"> a temporary shelter (e.g., hotel room service).</w:t>
      </w:r>
    </w:p>
    <w:p w14:paraId="0F0ACD4F" w14:textId="77777777" w:rsidR="00C9153E" w:rsidRDefault="00C9153E">
      <w:pPr>
        <w:pStyle w:val="NoSpacing"/>
        <w:ind w:left="720"/>
        <w:rPr>
          <w:rFonts w:cs="Times New Roman"/>
        </w:rPr>
      </w:pPr>
    </w:p>
    <w:p w14:paraId="79C8E268" w14:textId="6136DCBA" w:rsidR="0034655E" w:rsidRPr="000418F7" w:rsidRDefault="0034655E">
      <w:pPr>
        <w:pStyle w:val="NoSpacing"/>
        <w:numPr>
          <w:ilvl w:val="1"/>
          <w:numId w:val="93"/>
        </w:numPr>
        <w:rPr>
          <w:rFonts w:cs="Times New Roman"/>
          <w:b/>
          <w:u w:val="single"/>
        </w:rPr>
      </w:pPr>
      <w:r w:rsidRPr="000418F7">
        <w:rPr>
          <w:rFonts w:cs="Times New Roman"/>
          <w:b/>
          <w:u w:val="single"/>
        </w:rPr>
        <w:t xml:space="preserve">Establishing Additional Service </w:t>
      </w:r>
      <w:r w:rsidR="008647B6">
        <w:rPr>
          <w:rFonts w:cs="Times New Roman"/>
          <w:b/>
          <w:u w:val="single"/>
        </w:rPr>
        <w:t>Requirements</w:t>
      </w:r>
    </w:p>
    <w:p w14:paraId="2AA2A160" w14:textId="36708C0E" w:rsidR="0034655E" w:rsidRDefault="00F60BE9">
      <w:pPr>
        <w:pStyle w:val="NoSpacing"/>
        <w:ind w:left="720"/>
        <w:rPr>
          <w:rFonts w:cs="Times New Roman"/>
        </w:rPr>
      </w:pPr>
      <w:r w:rsidRPr="00AA771E">
        <w:rPr>
          <w:rFonts w:cs="Times New Roman"/>
        </w:rPr>
        <w:t xml:space="preserve">HUD permits </w:t>
      </w:r>
      <w:r w:rsidR="0034655E" w:rsidRPr="000418F7">
        <w:rPr>
          <w:rFonts w:cs="Times New Roman"/>
        </w:rPr>
        <w:t xml:space="preserve">Project Sponsors </w:t>
      </w:r>
      <w:r>
        <w:rPr>
          <w:rFonts w:cs="Times New Roman"/>
        </w:rPr>
        <w:t>to</w:t>
      </w:r>
      <w:r w:rsidRPr="000418F7">
        <w:rPr>
          <w:rFonts w:cs="Times New Roman"/>
        </w:rPr>
        <w:t xml:space="preserve"> </w:t>
      </w:r>
      <w:r w:rsidR="0034655E" w:rsidRPr="000418F7">
        <w:rPr>
          <w:rFonts w:cs="Times New Roman"/>
        </w:rPr>
        <w:t xml:space="preserve">establish additional </w:t>
      </w:r>
      <w:r w:rsidR="006919D0">
        <w:rPr>
          <w:rFonts w:cs="Times New Roman"/>
        </w:rPr>
        <w:t xml:space="preserve">STSH </w:t>
      </w:r>
      <w:r w:rsidR="0034655E" w:rsidRPr="000418F7">
        <w:rPr>
          <w:rFonts w:cs="Times New Roman"/>
        </w:rPr>
        <w:t xml:space="preserve">service </w:t>
      </w:r>
      <w:r w:rsidR="008647B6">
        <w:rPr>
          <w:rFonts w:cs="Times New Roman"/>
        </w:rPr>
        <w:t>requirements</w:t>
      </w:r>
      <w:r w:rsidR="0034655E" w:rsidRPr="000418F7">
        <w:rPr>
          <w:rFonts w:cs="Times New Roman"/>
        </w:rPr>
        <w:t xml:space="preserve"> </w:t>
      </w:r>
      <w:r w:rsidR="00D34186" w:rsidRPr="00AA771E">
        <w:rPr>
          <w:rFonts w:cs="Times New Roman"/>
        </w:rPr>
        <w:t xml:space="preserve">as a means of prioritizing benefits to those </w:t>
      </w:r>
      <w:r w:rsidR="00D34186">
        <w:rPr>
          <w:rFonts w:cs="Times New Roman"/>
        </w:rPr>
        <w:t>with the greatest need</w:t>
      </w:r>
      <w:r w:rsidR="0034655E" w:rsidRPr="000418F7">
        <w:rPr>
          <w:rFonts w:cs="Times New Roman"/>
        </w:rPr>
        <w:t xml:space="preserve">. </w:t>
      </w:r>
      <w:r w:rsidR="00D120C7">
        <w:rPr>
          <w:rFonts w:cs="Times New Roman"/>
        </w:rPr>
        <w:t>H</w:t>
      </w:r>
      <w:r w:rsidR="00D22435" w:rsidRPr="00D22435">
        <w:rPr>
          <w:rFonts w:cs="Times New Roman"/>
        </w:rPr>
        <w:t>UD's Office of Fair Housing and Equal Opportunity (FHEO) must approve local preferences to ensure such practices do not discriminate or inadvertently exclude any persons by design or omission.</w:t>
      </w:r>
      <w:r w:rsidR="0034655E" w:rsidRPr="000418F7">
        <w:rPr>
          <w:rFonts w:cs="Times New Roman"/>
        </w:rPr>
        <w:t xml:space="preserve"> If a Project Sponsor establishes additional </w:t>
      </w:r>
      <w:r w:rsidR="008647B6">
        <w:rPr>
          <w:rFonts w:cs="Times New Roman"/>
        </w:rPr>
        <w:t>service requirements</w:t>
      </w:r>
      <w:r w:rsidR="0034655E" w:rsidRPr="000418F7">
        <w:rPr>
          <w:rFonts w:cs="Times New Roman"/>
        </w:rPr>
        <w:t xml:space="preserve">, they must collaborate with </w:t>
      </w:r>
      <w:r w:rsidR="00570DA0">
        <w:rPr>
          <w:rFonts w:cs="Times New Roman"/>
        </w:rPr>
        <w:t>their AA</w:t>
      </w:r>
      <w:r w:rsidR="0034655E" w:rsidRPr="000418F7">
        <w:rPr>
          <w:rFonts w:cs="Times New Roman"/>
        </w:rPr>
        <w:t xml:space="preserve"> to develop a local program policy. </w:t>
      </w:r>
      <w:r w:rsidR="00570DA0">
        <w:rPr>
          <w:rFonts w:cs="Times New Roman"/>
        </w:rPr>
        <w:t>Their AA</w:t>
      </w:r>
      <w:r w:rsidR="0034655E" w:rsidRPr="000418F7">
        <w:rPr>
          <w:rFonts w:cs="Times New Roman"/>
        </w:rPr>
        <w:t xml:space="preserve"> must consult with DSHS and DSHS must consult with HUD before </w:t>
      </w:r>
      <w:r w:rsidR="008C271C">
        <w:rPr>
          <w:rFonts w:cs="Times New Roman"/>
        </w:rPr>
        <w:t>DSHS approves the policy</w:t>
      </w:r>
      <w:r w:rsidR="0034655E" w:rsidRPr="000418F7">
        <w:rPr>
          <w:rFonts w:cs="Times New Roman"/>
        </w:rPr>
        <w:t xml:space="preserve">. For example, a Project Sponsor could </w:t>
      </w:r>
      <w:r w:rsidR="008647B6">
        <w:rPr>
          <w:rFonts w:cs="Times New Roman"/>
        </w:rPr>
        <w:t>prioritize</w:t>
      </w:r>
      <w:r w:rsidR="008647B6" w:rsidRPr="000418F7">
        <w:rPr>
          <w:rFonts w:cs="Times New Roman"/>
        </w:rPr>
        <w:t xml:space="preserve"> </w:t>
      </w:r>
      <w:r w:rsidR="000418F7" w:rsidRPr="00ED208F">
        <w:rPr>
          <w:rFonts w:cs="Times New Roman"/>
        </w:rPr>
        <w:t>STSH</w:t>
      </w:r>
      <w:r w:rsidR="0034655E" w:rsidRPr="000418F7">
        <w:rPr>
          <w:rFonts w:cs="Times New Roman"/>
        </w:rPr>
        <w:t xml:space="preserve"> services to households experiencing specific types of emergencies or </w:t>
      </w:r>
      <w:r w:rsidR="00CF2F22" w:rsidRPr="00CF2F22">
        <w:rPr>
          <w:rFonts w:cs="Times New Roman"/>
        </w:rPr>
        <w:t>households with members who are unemployed, discharging from a hospital, persons with special needs, or presenting with some other specific situation</w:t>
      </w:r>
      <w:r w:rsidR="0034655E" w:rsidRPr="000418F7">
        <w:rPr>
          <w:rFonts w:cs="Times New Roman"/>
        </w:rPr>
        <w:t>.</w:t>
      </w:r>
    </w:p>
    <w:p w14:paraId="2178274C" w14:textId="3D39A2AF" w:rsidR="00495AE2" w:rsidRDefault="00495AE2">
      <w:pPr>
        <w:rPr>
          <w:rFonts w:cs="Times New Roman"/>
          <w:b/>
        </w:rPr>
      </w:pPr>
      <w:r>
        <w:rPr>
          <w:rFonts w:cs="Times New Roman"/>
          <w:b/>
        </w:rPr>
        <w:br w:type="page"/>
      </w:r>
    </w:p>
    <w:p w14:paraId="3C15A170" w14:textId="77777777" w:rsidR="0034655E" w:rsidRPr="00EC7194" w:rsidRDefault="0034655E">
      <w:pPr>
        <w:pStyle w:val="NoSpacing"/>
        <w:numPr>
          <w:ilvl w:val="1"/>
          <w:numId w:val="93"/>
        </w:numPr>
        <w:rPr>
          <w:rFonts w:cs="Times New Roman"/>
          <w:b/>
          <w:u w:val="single"/>
        </w:rPr>
      </w:pPr>
      <w:r w:rsidRPr="008B0F3E">
        <w:rPr>
          <w:rFonts w:cs="Times New Roman"/>
          <w:b/>
          <w:u w:val="single"/>
        </w:rPr>
        <w:lastRenderedPageBreak/>
        <w:t>Housing Status</w:t>
      </w:r>
    </w:p>
    <w:p w14:paraId="24DF1D0E" w14:textId="1DB25595" w:rsidR="0034655E" w:rsidRDefault="001568AD">
      <w:pPr>
        <w:pStyle w:val="NoSpacing"/>
        <w:ind w:left="720"/>
        <w:rPr>
          <w:rFonts w:cs="Times New Roman"/>
        </w:rPr>
      </w:pPr>
      <w:r w:rsidRPr="001568AD">
        <w:rPr>
          <w:rFonts w:cs="Times New Roman"/>
        </w:rPr>
        <w:t xml:space="preserve">Households </w:t>
      </w:r>
      <w:r>
        <w:rPr>
          <w:rFonts w:cs="Times New Roman"/>
        </w:rPr>
        <w:t xml:space="preserve">must be </w:t>
      </w:r>
      <w:hyperlink r:id="rId96" w:history="1">
        <w:r w:rsidRPr="00F64899">
          <w:rPr>
            <w:rStyle w:val="Hyperlink"/>
            <w:rFonts w:cs="Times New Roman"/>
          </w:rPr>
          <w:t>homeless</w:t>
        </w:r>
      </w:hyperlink>
      <w:r>
        <w:rPr>
          <w:rFonts w:cs="Times New Roman"/>
        </w:rPr>
        <w:t xml:space="preserve"> as defined by HUD</w:t>
      </w:r>
      <w:r w:rsidRPr="001568AD">
        <w:rPr>
          <w:rFonts w:cs="Times New Roman"/>
        </w:rPr>
        <w:t>.</w:t>
      </w:r>
      <w:r w:rsidR="00A9464D">
        <w:rPr>
          <w:rFonts w:cs="Times New Roman"/>
        </w:rPr>
        <w:t xml:space="preserve"> </w:t>
      </w:r>
      <w:r w:rsidR="0019001D" w:rsidRPr="0019001D">
        <w:rPr>
          <w:rFonts w:cs="Times New Roman"/>
        </w:rPr>
        <w:t>If a household informs a Project Sponsor they are homeless</w:t>
      </w:r>
      <w:r w:rsidR="0019001D">
        <w:rPr>
          <w:rFonts w:cs="Times New Roman"/>
        </w:rPr>
        <w:t>, a</w:t>
      </w:r>
      <w:r w:rsidR="002B32C6">
        <w:rPr>
          <w:rFonts w:cs="Times New Roman"/>
        </w:rPr>
        <w:t>ll</w:t>
      </w:r>
      <w:r w:rsidR="00A9464D" w:rsidRPr="00271B89">
        <w:rPr>
          <w:rFonts w:cs="Times New Roman"/>
        </w:rPr>
        <w:t xml:space="preserve"> household member</w:t>
      </w:r>
      <w:r w:rsidR="002B32C6">
        <w:rPr>
          <w:rFonts w:cs="Times New Roman"/>
        </w:rPr>
        <w:t>s</w:t>
      </w:r>
      <w:r w:rsidR="00A9464D" w:rsidRPr="00271B89">
        <w:rPr>
          <w:rFonts w:cs="Times New Roman"/>
        </w:rPr>
        <w:t xml:space="preserve"> </w:t>
      </w:r>
      <w:r w:rsidR="00903020">
        <w:rPr>
          <w:rFonts w:cs="Times New Roman"/>
        </w:rPr>
        <w:t xml:space="preserve">aged </w:t>
      </w:r>
      <w:r w:rsidR="00A9464D" w:rsidRPr="00271B89">
        <w:rPr>
          <w:rFonts w:cs="Times New Roman"/>
        </w:rPr>
        <w:t xml:space="preserve">18 years </w:t>
      </w:r>
      <w:r w:rsidR="00903020">
        <w:rPr>
          <w:rFonts w:cs="Times New Roman"/>
        </w:rPr>
        <w:t>old or</w:t>
      </w:r>
      <w:r w:rsidR="00A9464D" w:rsidRPr="00271B89">
        <w:rPr>
          <w:rFonts w:cs="Times New Roman"/>
        </w:rPr>
        <w:t xml:space="preserve"> older </w:t>
      </w:r>
      <w:r w:rsidR="00A9464D">
        <w:rPr>
          <w:rFonts w:cs="Times New Roman"/>
        </w:rPr>
        <w:t>complete and sign</w:t>
      </w:r>
      <w:r w:rsidR="00A9464D" w:rsidRPr="00271B89">
        <w:rPr>
          <w:rFonts w:cs="Times New Roman"/>
        </w:rPr>
        <w:t xml:space="preserve"> </w:t>
      </w:r>
      <w:r w:rsidR="00A9464D" w:rsidRPr="003F5DA4">
        <w:rPr>
          <w:rFonts w:cs="Times New Roman"/>
          <w:b/>
          <w:color w:val="5B9BD5" w:themeColor="accent1"/>
        </w:rPr>
        <w:t>Form B: Self-Declaration of Residency</w:t>
      </w:r>
      <w:r w:rsidR="00BE7A03">
        <w:rPr>
          <w:rFonts w:cs="Times New Roman"/>
        </w:rPr>
        <w:t xml:space="preserve">, indicate they do not have a fixed address, </w:t>
      </w:r>
      <w:r w:rsidR="00A9464D">
        <w:rPr>
          <w:rFonts w:cs="Times New Roman"/>
        </w:rPr>
        <w:t xml:space="preserve">and select their homeless category. </w:t>
      </w:r>
      <w:r w:rsidR="00E8163A" w:rsidRPr="00555AFB">
        <w:rPr>
          <w:rFonts w:cs="Times New Roman"/>
        </w:rPr>
        <w:t xml:space="preserve">STSH provides temporary shelter </w:t>
      </w:r>
      <w:r w:rsidR="00E8163A">
        <w:rPr>
          <w:rFonts w:cs="Times New Roman"/>
        </w:rPr>
        <w:t>for</w:t>
      </w:r>
      <w:r w:rsidR="00E8163A" w:rsidRPr="00555AFB">
        <w:rPr>
          <w:rFonts w:cs="Times New Roman"/>
        </w:rPr>
        <w:t xml:space="preserve"> households </w:t>
      </w:r>
      <w:r w:rsidR="00E8163A">
        <w:rPr>
          <w:rFonts w:cs="Times New Roman"/>
        </w:rPr>
        <w:t>experiencing</w:t>
      </w:r>
      <w:r w:rsidR="00E8163A" w:rsidRPr="00555AFB">
        <w:rPr>
          <w:rFonts w:cs="Times New Roman"/>
        </w:rPr>
        <w:t xml:space="preserve"> homeless</w:t>
      </w:r>
      <w:r w:rsidR="00E8163A">
        <w:rPr>
          <w:rFonts w:cs="Times New Roman"/>
        </w:rPr>
        <w:t>ness</w:t>
      </w:r>
      <w:r w:rsidRPr="00EC7194">
        <w:rPr>
          <w:rFonts w:cs="Times New Roman"/>
        </w:rPr>
        <w:t>.</w:t>
      </w:r>
      <w:r w:rsidR="0034655E" w:rsidRPr="00EC7194">
        <w:rPr>
          <w:rFonts w:cs="Times New Roman"/>
        </w:rPr>
        <w:t xml:space="preserve"> As such, </w:t>
      </w:r>
      <w:r w:rsidRPr="00ED208F">
        <w:rPr>
          <w:rFonts w:cs="Times New Roman"/>
        </w:rPr>
        <w:t>STSH</w:t>
      </w:r>
      <w:r w:rsidR="0034655E" w:rsidRPr="008B0F3E">
        <w:rPr>
          <w:rFonts w:cs="Times New Roman"/>
        </w:rPr>
        <w:t xml:space="preserve"> </w:t>
      </w:r>
      <w:r w:rsidR="00B70170">
        <w:rPr>
          <w:rFonts w:cs="Times New Roman"/>
        </w:rPr>
        <w:t>cannot</w:t>
      </w:r>
      <w:r w:rsidR="0034655E" w:rsidRPr="00EC7194">
        <w:rPr>
          <w:rFonts w:cs="Times New Roman"/>
        </w:rPr>
        <w:t xml:space="preserve"> assist </w:t>
      </w:r>
      <w:r w:rsidR="004F63F0" w:rsidRPr="00ED208F">
        <w:rPr>
          <w:rFonts w:cs="Times New Roman"/>
        </w:rPr>
        <w:t>household</w:t>
      </w:r>
      <w:r w:rsidR="00E26C31" w:rsidRPr="00ED208F">
        <w:rPr>
          <w:rFonts w:cs="Times New Roman"/>
        </w:rPr>
        <w:t>s</w:t>
      </w:r>
      <w:r w:rsidR="004F63F0" w:rsidRPr="00ED208F">
        <w:rPr>
          <w:rFonts w:cs="Times New Roman"/>
        </w:rPr>
        <w:t xml:space="preserve"> that </w:t>
      </w:r>
      <w:r w:rsidR="00E8163A">
        <w:rPr>
          <w:rFonts w:cs="Times New Roman"/>
        </w:rPr>
        <w:t>already have housing</w:t>
      </w:r>
      <w:r w:rsidR="00163DA5" w:rsidRPr="008B0F3E">
        <w:rPr>
          <w:rFonts w:cs="Times New Roman"/>
        </w:rPr>
        <w:t>.</w:t>
      </w:r>
    </w:p>
    <w:p w14:paraId="4F17CE9E" w14:textId="77777777" w:rsidR="00FD70DB" w:rsidRDefault="00FD70DB">
      <w:pPr>
        <w:pStyle w:val="NoSpacing"/>
        <w:ind w:left="720"/>
        <w:rPr>
          <w:rFonts w:cs="Times New Roman"/>
        </w:rPr>
      </w:pPr>
    </w:p>
    <w:p w14:paraId="56D4AB67" w14:textId="1877E4C8" w:rsidR="0034655E" w:rsidRPr="008B0F3E" w:rsidRDefault="00E45104">
      <w:pPr>
        <w:pStyle w:val="NoSpacing"/>
        <w:numPr>
          <w:ilvl w:val="1"/>
          <w:numId w:val="93"/>
        </w:numPr>
        <w:rPr>
          <w:rFonts w:cs="Times New Roman"/>
          <w:b/>
          <w:u w:val="single"/>
        </w:rPr>
      </w:pPr>
      <w:r w:rsidRPr="00ED208F">
        <w:rPr>
          <w:rFonts w:cs="Times New Roman"/>
          <w:b/>
          <w:u w:val="single"/>
        </w:rPr>
        <w:t>Facility Requirements</w:t>
      </w:r>
    </w:p>
    <w:p w14:paraId="4239080C" w14:textId="5D8A02FA" w:rsidR="0034655E" w:rsidRDefault="00803EA2">
      <w:pPr>
        <w:pStyle w:val="NoSpacing"/>
        <w:ind w:left="720"/>
        <w:rPr>
          <w:rFonts w:cs="Times New Roman"/>
        </w:rPr>
      </w:pPr>
      <w:r w:rsidRPr="00ED208F">
        <w:rPr>
          <w:rFonts w:cs="Times New Roman"/>
        </w:rPr>
        <w:t xml:space="preserve">Per 24 CFR </w:t>
      </w:r>
      <w:r w:rsidRPr="008B0F3E">
        <w:rPr>
          <w:rFonts w:cs="Times New Roman"/>
        </w:rPr>
        <w:t>§574.330</w:t>
      </w:r>
      <w:r w:rsidRPr="00BC77EB">
        <w:rPr>
          <w:rFonts w:cs="Times New Roman"/>
        </w:rPr>
        <w:t xml:space="preserve">(b)(1), STSH facilities </w:t>
      </w:r>
      <w:r w:rsidR="00B70170">
        <w:rPr>
          <w:rFonts w:cs="Times New Roman"/>
        </w:rPr>
        <w:t>cannot</w:t>
      </w:r>
      <w:r w:rsidRPr="00BC77EB">
        <w:rPr>
          <w:rFonts w:cs="Times New Roman"/>
        </w:rPr>
        <w:t xml:space="preserve"> provide shelter or housing at any single ti</w:t>
      </w:r>
      <w:r w:rsidR="00BC77EB" w:rsidRPr="00BC77EB">
        <w:rPr>
          <w:rFonts w:cs="Times New Roman"/>
        </w:rPr>
        <w:t>me for more than 50 households.</w:t>
      </w:r>
    </w:p>
    <w:p w14:paraId="478CFBC4" w14:textId="77777777" w:rsidR="00FF1903" w:rsidRPr="00DE48B8" w:rsidRDefault="00FF1903" w:rsidP="00DE48B8">
      <w:pPr>
        <w:pStyle w:val="NoSpacing"/>
        <w:ind w:left="720"/>
        <w:rPr>
          <w:rFonts w:cs="Times New Roman"/>
          <w:b/>
          <w:u w:val="single"/>
        </w:rPr>
      </w:pPr>
    </w:p>
    <w:p w14:paraId="20F67A32" w14:textId="1A22E3E1" w:rsidR="0034655E" w:rsidRPr="000418F7" w:rsidRDefault="008C3534">
      <w:pPr>
        <w:pStyle w:val="NoSpacing"/>
        <w:numPr>
          <w:ilvl w:val="1"/>
          <w:numId w:val="93"/>
        </w:numPr>
        <w:rPr>
          <w:rFonts w:cs="Times New Roman"/>
          <w:b/>
          <w:u w:val="single"/>
        </w:rPr>
      </w:pPr>
      <w:r w:rsidRPr="00ED208F">
        <w:rPr>
          <w:rFonts w:cs="Times New Roman"/>
          <w:b/>
          <w:u w:val="single"/>
        </w:rPr>
        <w:t>STSH</w:t>
      </w:r>
      <w:r w:rsidR="0034655E" w:rsidRPr="000418F7">
        <w:rPr>
          <w:rFonts w:cs="Times New Roman"/>
          <w:b/>
          <w:u w:val="single"/>
        </w:rPr>
        <w:t xml:space="preserve"> Caps</w:t>
      </w:r>
    </w:p>
    <w:p w14:paraId="2ABA8EBB" w14:textId="5EDB8555" w:rsidR="0034655E" w:rsidRDefault="0034655E">
      <w:pPr>
        <w:pStyle w:val="NoSpacing"/>
        <w:ind w:left="720"/>
        <w:rPr>
          <w:rFonts w:cs="Times New Roman"/>
        </w:rPr>
      </w:pPr>
      <w:r w:rsidRPr="000418F7">
        <w:rPr>
          <w:rFonts w:cs="Times New Roman"/>
        </w:rPr>
        <w:t xml:space="preserve">Project Sponsors may choose to implement </w:t>
      </w:r>
      <w:r w:rsidR="000418F7" w:rsidRPr="00ED208F">
        <w:rPr>
          <w:rFonts w:cs="Times New Roman"/>
        </w:rPr>
        <w:t>six-month</w:t>
      </w:r>
      <w:r w:rsidRPr="000418F7">
        <w:rPr>
          <w:rFonts w:cs="Times New Roman"/>
        </w:rPr>
        <w:t xml:space="preserve"> </w:t>
      </w:r>
      <w:r w:rsidR="000418F7" w:rsidRPr="00ED208F">
        <w:rPr>
          <w:rFonts w:cs="Times New Roman"/>
        </w:rPr>
        <w:t>STSH</w:t>
      </w:r>
      <w:r w:rsidR="00C4028F">
        <w:rPr>
          <w:rFonts w:cs="Times New Roman"/>
        </w:rPr>
        <w:t xml:space="preserve"> </w:t>
      </w:r>
      <w:r w:rsidR="00C31010">
        <w:rPr>
          <w:rFonts w:cs="Times New Roman"/>
        </w:rPr>
        <w:t>p</w:t>
      </w:r>
      <w:r w:rsidR="00C4028F">
        <w:rPr>
          <w:rFonts w:cs="Times New Roman"/>
        </w:rPr>
        <w:t>ayment and/</w:t>
      </w:r>
      <w:r w:rsidRPr="000418F7">
        <w:rPr>
          <w:rFonts w:cs="Times New Roman"/>
        </w:rPr>
        <w:t xml:space="preserve">or </w:t>
      </w:r>
      <w:r w:rsidR="00C31010">
        <w:rPr>
          <w:rFonts w:cs="Times New Roman"/>
        </w:rPr>
        <w:t>t</w:t>
      </w:r>
      <w:r w:rsidRPr="000418F7">
        <w:rPr>
          <w:rFonts w:cs="Times New Roman"/>
        </w:rPr>
        <w:t xml:space="preserve">ime </w:t>
      </w:r>
      <w:r w:rsidR="00C31010">
        <w:rPr>
          <w:rFonts w:cs="Times New Roman"/>
        </w:rPr>
        <w:t>c</w:t>
      </w:r>
      <w:r w:rsidRPr="000418F7">
        <w:rPr>
          <w:rFonts w:cs="Times New Roman"/>
        </w:rPr>
        <w:t xml:space="preserve">aps as needed based on availability of HOPWA funds, clients’ needs, and waitlists. The </w:t>
      </w:r>
      <w:r w:rsidR="00C31010">
        <w:rPr>
          <w:rFonts w:cs="Times New Roman"/>
        </w:rPr>
        <w:t>p</w:t>
      </w:r>
      <w:r w:rsidR="00C4028F">
        <w:rPr>
          <w:rFonts w:cs="Times New Roman"/>
        </w:rPr>
        <w:t>ayment</w:t>
      </w:r>
      <w:r w:rsidRPr="000418F7">
        <w:rPr>
          <w:rFonts w:cs="Times New Roman"/>
        </w:rPr>
        <w:t xml:space="preserve"> </w:t>
      </w:r>
      <w:r w:rsidR="00C31010">
        <w:rPr>
          <w:rFonts w:cs="Times New Roman"/>
        </w:rPr>
        <w:t>c</w:t>
      </w:r>
      <w:r w:rsidRPr="000418F7">
        <w:rPr>
          <w:rFonts w:cs="Times New Roman"/>
        </w:rPr>
        <w:t xml:space="preserve">ap </w:t>
      </w:r>
      <w:r w:rsidR="00BB57D1">
        <w:rPr>
          <w:rFonts w:cs="Times New Roman"/>
        </w:rPr>
        <w:t>means</w:t>
      </w:r>
      <w:r w:rsidRPr="000418F7">
        <w:rPr>
          <w:rFonts w:cs="Times New Roman"/>
        </w:rPr>
        <w:t xml:space="preserve"> a specific dollar limit and the </w:t>
      </w:r>
      <w:r w:rsidR="00C31010">
        <w:rPr>
          <w:rFonts w:cs="Times New Roman"/>
        </w:rPr>
        <w:t>t</w:t>
      </w:r>
      <w:r w:rsidRPr="000418F7">
        <w:rPr>
          <w:rFonts w:cs="Times New Roman"/>
        </w:rPr>
        <w:t xml:space="preserve">ime </w:t>
      </w:r>
      <w:r w:rsidR="00C31010">
        <w:rPr>
          <w:rFonts w:cs="Times New Roman"/>
        </w:rPr>
        <w:t>c</w:t>
      </w:r>
      <w:r w:rsidRPr="000418F7">
        <w:rPr>
          <w:rFonts w:cs="Times New Roman"/>
        </w:rPr>
        <w:t xml:space="preserve">ap </w:t>
      </w:r>
      <w:r w:rsidR="00BB57D1">
        <w:rPr>
          <w:rFonts w:cs="Times New Roman"/>
        </w:rPr>
        <w:t>means</w:t>
      </w:r>
      <w:r w:rsidRPr="000418F7">
        <w:rPr>
          <w:rFonts w:cs="Times New Roman"/>
        </w:rPr>
        <w:t xml:space="preserve"> a specific </w:t>
      </w:r>
      <w:r w:rsidR="00C4028F">
        <w:rPr>
          <w:rFonts w:cs="Times New Roman"/>
        </w:rPr>
        <w:t xml:space="preserve">alternate </w:t>
      </w:r>
      <w:r w:rsidRPr="000418F7">
        <w:rPr>
          <w:rFonts w:cs="Times New Roman"/>
        </w:rPr>
        <w:t xml:space="preserve">number of </w:t>
      </w:r>
      <w:r w:rsidR="000418F7" w:rsidRPr="00ED208F">
        <w:rPr>
          <w:rFonts w:cs="Times New Roman"/>
        </w:rPr>
        <w:t>nights</w:t>
      </w:r>
      <w:r w:rsidRPr="000418F7">
        <w:rPr>
          <w:rFonts w:cs="Times New Roman"/>
        </w:rPr>
        <w:t xml:space="preserve">. Project Sponsors must collaborate with </w:t>
      </w:r>
      <w:r w:rsidR="00570DA0">
        <w:rPr>
          <w:rFonts w:cs="Times New Roman"/>
        </w:rPr>
        <w:t>their AA</w:t>
      </w:r>
      <w:r w:rsidRPr="000418F7">
        <w:rPr>
          <w:rFonts w:cs="Times New Roman"/>
        </w:rPr>
        <w:t xml:space="preserve"> to develop a</w:t>
      </w:r>
      <w:r w:rsidR="0099293F">
        <w:rPr>
          <w:rFonts w:cs="Times New Roman"/>
        </w:rPr>
        <w:t>n</w:t>
      </w:r>
      <w:r w:rsidRPr="000418F7">
        <w:rPr>
          <w:rFonts w:cs="Times New Roman"/>
        </w:rPr>
        <w:t xml:space="preserve"> </w:t>
      </w:r>
      <w:r w:rsidR="000418F7" w:rsidRPr="00ED208F">
        <w:rPr>
          <w:rFonts w:cs="Times New Roman"/>
        </w:rPr>
        <w:t>STSH</w:t>
      </w:r>
      <w:r w:rsidRPr="000418F7">
        <w:rPr>
          <w:rFonts w:cs="Times New Roman"/>
        </w:rPr>
        <w:t xml:space="preserve"> </w:t>
      </w:r>
      <w:r w:rsidR="00C31010">
        <w:rPr>
          <w:rFonts w:cs="Times New Roman"/>
        </w:rPr>
        <w:t>c</w:t>
      </w:r>
      <w:r w:rsidRPr="000418F7">
        <w:rPr>
          <w:rFonts w:cs="Times New Roman"/>
        </w:rPr>
        <w:t xml:space="preserve">ap policy. Project Sponsors must apply the </w:t>
      </w:r>
      <w:r w:rsidR="008647B6">
        <w:rPr>
          <w:rFonts w:cs="Times New Roman"/>
        </w:rPr>
        <w:t>c</w:t>
      </w:r>
      <w:r w:rsidRPr="000418F7">
        <w:rPr>
          <w:rFonts w:cs="Times New Roman"/>
        </w:rPr>
        <w:t xml:space="preserve">ap in a uniform, consistent, and non-discriminatory manner. If a Project Sponsor establishes a cap, </w:t>
      </w:r>
      <w:r w:rsidR="00570DA0">
        <w:rPr>
          <w:rFonts w:cs="Times New Roman"/>
        </w:rPr>
        <w:t>their AA</w:t>
      </w:r>
      <w:r w:rsidR="00A95162" w:rsidRPr="00A95162">
        <w:rPr>
          <w:rFonts w:cs="Times New Roman"/>
        </w:rPr>
        <w:t xml:space="preserve"> must approve it and it must </w:t>
      </w:r>
      <w:r w:rsidRPr="000418F7">
        <w:rPr>
          <w:rFonts w:cs="Times New Roman"/>
        </w:rPr>
        <w:t>comply wi</w:t>
      </w:r>
      <w:r w:rsidR="000418F7" w:rsidRPr="00ED208F">
        <w:rPr>
          <w:rFonts w:cs="Times New Roman"/>
        </w:rPr>
        <w:t>th the DSHS six-month STSH</w:t>
      </w:r>
      <w:r w:rsidRPr="000418F7">
        <w:rPr>
          <w:rFonts w:cs="Times New Roman"/>
        </w:rPr>
        <w:t xml:space="preserve"> </w:t>
      </w:r>
      <w:r w:rsidR="00C31010">
        <w:rPr>
          <w:rFonts w:cs="Times New Roman"/>
        </w:rPr>
        <w:t>c</w:t>
      </w:r>
      <w:r w:rsidRPr="000418F7">
        <w:rPr>
          <w:rFonts w:cs="Times New Roman"/>
        </w:rPr>
        <w:t xml:space="preserve">ap formula (no less than one month of the rent standard for the unit size per the household’s county of residence and no more than the Project Sponsor’s budgeted </w:t>
      </w:r>
      <w:r w:rsidR="000418F7" w:rsidRPr="00ED208F">
        <w:rPr>
          <w:rFonts w:cs="Times New Roman"/>
        </w:rPr>
        <w:t>STSH</w:t>
      </w:r>
      <w:r w:rsidRPr="000418F7">
        <w:rPr>
          <w:rFonts w:cs="Times New Roman"/>
        </w:rPr>
        <w:t xml:space="preserve"> funds per household per year). If a Project Sponsor establishes </w:t>
      </w:r>
      <w:r w:rsidR="000418F7" w:rsidRPr="000418F7">
        <w:rPr>
          <w:rFonts w:cs="Times New Roman"/>
        </w:rPr>
        <w:t xml:space="preserve">a </w:t>
      </w:r>
      <w:r w:rsidR="008647B6">
        <w:rPr>
          <w:rFonts w:cs="Times New Roman"/>
        </w:rPr>
        <w:t>c</w:t>
      </w:r>
      <w:r w:rsidRPr="000418F7">
        <w:rPr>
          <w:rFonts w:cs="Times New Roman"/>
        </w:rPr>
        <w:t xml:space="preserve">ap, the total </w:t>
      </w:r>
      <w:r w:rsidR="000418F7" w:rsidRPr="00ED208F">
        <w:rPr>
          <w:rFonts w:cs="Times New Roman"/>
        </w:rPr>
        <w:t>STSH</w:t>
      </w:r>
      <w:r w:rsidRPr="000418F7">
        <w:rPr>
          <w:rFonts w:cs="Times New Roman"/>
        </w:rPr>
        <w:t xml:space="preserve"> assistance provided to a household cannot exceed the </w:t>
      </w:r>
      <w:r w:rsidR="008647B6">
        <w:rPr>
          <w:rFonts w:cs="Times New Roman"/>
        </w:rPr>
        <w:t>c</w:t>
      </w:r>
      <w:r w:rsidRPr="000418F7">
        <w:rPr>
          <w:rFonts w:cs="Times New Roman"/>
        </w:rPr>
        <w:t xml:space="preserve">ap. If a household reaches a </w:t>
      </w:r>
      <w:r w:rsidR="008647B6">
        <w:rPr>
          <w:rFonts w:cs="Times New Roman"/>
        </w:rPr>
        <w:t>c</w:t>
      </w:r>
      <w:r w:rsidRPr="000418F7">
        <w:rPr>
          <w:rFonts w:cs="Times New Roman"/>
        </w:rPr>
        <w:t xml:space="preserve">ap, the assistance </w:t>
      </w:r>
      <w:r w:rsidR="00BB57D1">
        <w:rPr>
          <w:rFonts w:cs="Times New Roman"/>
        </w:rPr>
        <w:t>attributes</w:t>
      </w:r>
      <w:r w:rsidRPr="000418F7">
        <w:rPr>
          <w:rFonts w:cs="Times New Roman"/>
        </w:rPr>
        <w:t xml:space="preserve"> to the entire </w:t>
      </w:r>
      <w:r w:rsidR="000418F7" w:rsidRPr="00ED208F">
        <w:rPr>
          <w:rFonts w:cs="Times New Roman"/>
        </w:rPr>
        <w:t>60</w:t>
      </w:r>
      <w:r w:rsidRPr="000418F7">
        <w:rPr>
          <w:rFonts w:cs="Times New Roman"/>
        </w:rPr>
        <w:t>-</w:t>
      </w:r>
      <w:r w:rsidR="00310DF2">
        <w:rPr>
          <w:rFonts w:cs="Times New Roman"/>
        </w:rPr>
        <w:t>day</w:t>
      </w:r>
      <w:r w:rsidR="00310DF2" w:rsidRPr="000418F7">
        <w:rPr>
          <w:rFonts w:cs="Times New Roman"/>
        </w:rPr>
        <w:t xml:space="preserve"> </w:t>
      </w:r>
      <w:r w:rsidR="00C31010">
        <w:rPr>
          <w:rFonts w:cs="Times New Roman"/>
        </w:rPr>
        <w:t>limit</w:t>
      </w:r>
      <w:r w:rsidRPr="000418F7">
        <w:rPr>
          <w:rFonts w:cs="Times New Roman"/>
        </w:rPr>
        <w:t xml:space="preserve">. The </w:t>
      </w:r>
      <w:r w:rsidR="000418F7" w:rsidRPr="00ED208F">
        <w:rPr>
          <w:rFonts w:cs="Times New Roman"/>
        </w:rPr>
        <w:t>60-</w:t>
      </w:r>
      <w:r w:rsidR="00310DF2">
        <w:rPr>
          <w:rFonts w:cs="Times New Roman"/>
        </w:rPr>
        <w:t>day</w:t>
      </w:r>
      <w:r w:rsidR="00310DF2" w:rsidRPr="000418F7">
        <w:rPr>
          <w:rFonts w:cs="Times New Roman"/>
        </w:rPr>
        <w:t xml:space="preserve"> </w:t>
      </w:r>
      <w:r w:rsidRPr="000418F7">
        <w:rPr>
          <w:rFonts w:cs="Times New Roman"/>
        </w:rPr>
        <w:t xml:space="preserve">limit </w:t>
      </w:r>
      <w:r w:rsidRPr="00DE48B8">
        <w:rPr>
          <w:rFonts w:cs="Times New Roman"/>
          <w:iCs/>
        </w:rPr>
        <w:t>always</w:t>
      </w:r>
      <w:r w:rsidRPr="000418F7">
        <w:rPr>
          <w:rFonts w:cs="Times New Roman"/>
        </w:rPr>
        <w:t xml:space="preserve"> supersedes an established </w:t>
      </w:r>
      <w:r w:rsidR="008647B6">
        <w:rPr>
          <w:rFonts w:cs="Times New Roman"/>
        </w:rPr>
        <w:t>c</w:t>
      </w:r>
      <w:r w:rsidRPr="000418F7">
        <w:rPr>
          <w:rFonts w:cs="Times New Roman"/>
        </w:rPr>
        <w:t>ap.</w:t>
      </w:r>
    </w:p>
    <w:p w14:paraId="4C5FF598" w14:textId="77777777" w:rsidR="00063667" w:rsidRPr="000418F7" w:rsidRDefault="00063667">
      <w:pPr>
        <w:pStyle w:val="NoSpacing"/>
        <w:ind w:left="720"/>
        <w:rPr>
          <w:rFonts w:cs="Times New Roman"/>
        </w:rPr>
      </w:pPr>
    </w:p>
    <w:p w14:paraId="5202691C" w14:textId="6CCDF151" w:rsidR="0034655E" w:rsidRPr="003133DA" w:rsidRDefault="008C3534">
      <w:pPr>
        <w:pStyle w:val="NoSpacing"/>
        <w:numPr>
          <w:ilvl w:val="1"/>
          <w:numId w:val="93"/>
        </w:numPr>
        <w:rPr>
          <w:rFonts w:cs="Times New Roman"/>
          <w:b/>
          <w:u w:val="single"/>
        </w:rPr>
      </w:pPr>
      <w:r w:rsidRPr="00ED208F">
        <w:rPr>
          <w:rFonts w:cs="Times New Roman"/>
          <w:b/>
          <w:u w:val="single"/>
        </w:rPr>
        <w:t>STSH</w:t>
      </w:r>
      <w:r w:rsidR="0034655E" w:rsidRPr="003133DA">
        <w:rPr>
          <w:rFonts w:cs="Times New Roman"/>
          <w:b/>
          <w:u w:val="single"/>
        </w:rPr>
        <w:t xml:space="preserve"> </w:t>
      </w:r>
      <w:r w:rsidRPr="00ED208F">
        <w:rPr>
          <w:rFonts w:cs="Times New Roman"/>
          <w:b/>
          <w:u w:val="single"/>
        </w:rPr>
        <w:t>Six</w:t>
      </w:r>
      <w:r w:rsidR="0034655E" w:rsidRPr="003133DA">
        <w:rPr>
          <w:rFonts w:cs="Times New Roman"/>
          <w:b/>
          <w:u w:val="single"/>
        </w:rPr>
        <w:t>-</w:t>
      </w:r>
      <w:r w:rsidRPr="00ED208F">
        <w:rPr>
          <w:rFonts w:cs="Times New Roman"/>
          <w:b/>
          <w:u w:val="single"/>
        </w:rPr>
        <w:t>Month</w:t>
      </w:r>
      <w:r w:rsidR="0034655E" w:rsidRPr="003133DA">
        <w:rPr>
          <w:rFonts w:cs="Times New Roman"/>
          <w:b/>
          <w:u w:val="single"/>
        </w:rPr>
        <w:t xml:space="preserve"> Period</w:t>
      </w:r>
    </w:p>
    <w:p w14:paraId="090D4634" w14:textId="1A833499" w:rsidR="0034655E" w:rsidRDefault="0034655E">
      <w:pPr>
        <w:pStyle w:val="NoSpacing"/>
        <w:ind w:left="720"/>
        <w:rPr>
          <w:rFonts w:cs="Times New Roman"/>
        </w:rPr>
      </w:pPr>
      <w:r w:rsidRPr="003133DA">
        <w:rPr>
          <w:rFonts w:cs="Times New Roman"/>
        </w:rPr>
        <w:t>Per 24 CFR §574.330</w:t>
      </w:r>
      <w:r w:rsidR="000418F7" w:rsidRPr="00ED208F">
        <w:rPr>
          <w:rFonts w:cs="Times New Roman"/>
        </w:rPr>
        <w:t>(a)(1)</w:t>
      </w:r>
      <w:r w:rsidRPr="003133DA">
        <w:rPr>
          <w:rFonts w:cs="Times New Roman"/>
        </w:rPr>
        <w:t xml:space="preserve">, </w:t>
      </w:r>
      <w:r w:rsidR="003133DA" w:rsidRPr="00ED208F">
        <w:rPr>
          <w:rFonts w:cs="Times New Roman"/>
        </w:rPr>
        <w:t>STSH</w:t>
      </w:r>
      <w:r w:rsidRPr="003133DA">
        <w:t xml:space="preserve"> </w:t>
      </w:r>
      <w:r w:rsidR="00C31010">
        <w:rPr>
          <w:rFonts w:cs="Times New Roman"/>
        </w:rPr>
        <w:t>may</w:t>
      </w:r>
      <w:r w:rsidR="003133DA" w:rsidRPr="003133DA">
        <w:rPr>
          <w:rFonts w:cs="Times New Roman"/>
        </w:rPr>
        <w:t xml:space="preserve"> provide residence to </w:t>
      </w:r>
      <w:r w:rsidR="00C31010">
        <w:rPr>
          <w:rFonts w:cs="Times New Roman"/>
        </w:rPr>
        <w:t>a</w:t>
      </w:r>
      <w:r w:rsidR="00C31010" w:rsidRPr="003133DA">
        <w:rPr>
          <w:rFonts w:cs="Times New Roman"/>
        </w:rPr>
        <w:t xml:space="preserve"> </w:t>
      </w:r>
      <w:r w:rsidR="003133DA" w:rsidRPr="003133DA">
        <w:rPr>
          <w:rFonts w:cs="Times New Roman"/>
        </w:rPr>
        <w:t xml:space="preserve">household for </w:t>
      </w:r>
      <w:r w:rsidR="00C31010">
        <w:rPr>
          <w:rFonts w:cs="Times New Roman"/>
        </w:rPr>
        <w:t>up to</w:t>
      </w:r>
      <w:r w:rsidR="003133DA" w:rsidRPr="003133DA">
        <w:rPr>
          <w:rFonts w:cs="Times New Roman"/>
        </w:rPr>
        <w:t xml:space="preserve"> 60 days</w:t>
      </w:r>
      <w:r w:rsidR="00AC4C62">
        <w:rPr>
          <w:rFonts w:cs="Times New Roman"/>
        </w:rPr>
        <w:t xml:space="preserve"> of accrued costs</w:t>
      </w:r>
      <w:r w:rsidR="003133DA" w:rsidRPr="003133DA">
        <w:rPr>
          <w:rFonts w:cs="Times New Roman"/>
        </w:rPr>
        <w:t xml:space="preserve"> </w:t>
      </w:r>
      <w:r w:rsidR="00C31010">
        <w:rPr>
          <w:rFonts w:cs="Times New Roman"/>
        </w:rPr>
        <w:t>in</w:t>
      </w:r>
      <w:r w:rsidR="003133DA" w:rsidRPr="003133DA">
        <w:rPr>
          <w:rFonts w:cs="Times New Roman"/>
        </w:rPr>
        <w:t xml:space="preserve"> </w:t>
      </w:r>
      <w:r w:rsidR="008E6EE9">
        <w:rPr>
          <w:rFonts w:cs="Times New Roman"/>
        </w:rPr>
        <w:t>a</w:t>
      </w:r>
      <w:r w:rsidR="008E6EE9" w:rsidRPr="003133DA">
        <w:rPr>
          <w:rFonts w:cs="Times New Roman"/>
        </w:rPr>
        <w:t xml:space="preserve"> </w:t>
      </w:r>
      <w:r w:rsidR="00C53A77" w:rsidRPr="003133DA">
        <w:rPr>
          <w:rFonts w:cs="Times New Roman"/>
        </w:rPr>
        <w:t>six-month</w:t>
      </w:r>
      <w:r w:rsidR="003133DA" w:rsidRPr="003133DA">
        <w:rPr>
          <w:rFonts w:cs="Times New Roman"/>
        </w:rPr>
        <w:t xml:space="preserve"> period.</w:t>
      </w:r>
      <w:r w:rsidRPr="003133DA">
        <w:rPr>
          <w:rFonts w:cs="Times New Roman"/>
        </w:rPr>
        <w:t xml:space="preserve"> </w:t>
      </w:r>
      <w:r w:rsidR="00AC4C62">
        <w:rPr>
          <w:rFonts w:cs="Times New Roman"/>
        </w:rPr>
        <w:t>Project Sponsors must</w:t>
      </w:r>
      <w:r w:rsidRPr="003133DA">
        <w:rPr>
          <w:rFonts w:cs="Times New Roman"/>
        </w:rPr>
        <w:t xml:space="preserve"> examine the </w:t>
      </w:r>
      <w:r w:rsidR="00AC4C62">
        <w:rPr>
          <w:rFonts w:cs="Times New Roman"/>
        </w:rPr>
        <w:t>time periods associated with</w:t>
      </w:r>
      <w:r w:rsidRPr="003133DA">
        <w:rPr>
          <w:rFonts w:cs="Times New Roman"/>
        </w:rPr>
        <w:t xml:space="preserve"> </w:t>
      </w:r>
      <w:r w:rsidR="003133DA" w:rsidRPr="00ED208F">
        <w:rPr>
          <w:rFonts w:cs="Times New Roman"/>
        </w:rPr>
        <w:t>temporary shelter</w:t>
      </w:r>
      <w:r w:rsidRPr="003133DA">
        <w:rPr>
          <w:rFonts w:cs="Times New Roman"/>
        </w:rPr>
        <w:t xml:space="preserve"> costs to assure that </w:t>
      </w:r>
      <w:r w:rsidR="00AC4C62">
        <w:rPr>
          <w:rFonts w:cs="Times New Roman"/>
        </w:rPr>
        <w:t xml:space="preserve">STSH assistance does not exceed this limit. </w:t>
      </w:r>
      <w:r w:rsidRPr="004C315F">
        <w:rPr>
          <w:rFonts w:cs="Times New Roman"/>
        </w:rPr>
        <w:t xml:space="preserve">Project Sponsors use </w:t>
      </w:r>
      <w:r w:rsidR="003133DA" w:rsidRPr="00ED208F">
        <w:rPr>
          <w:rFonts w:cs="Times New Roman"/>
          <w:b/>
          <w:color w:val="5B9BD5" w:themeColor="accent1"/>
        </w:rPr>
        <w:t>Form K2</w:t>
      </w:r>
      <w:r w:rsidRPr="004C315F">
        <w:rPr>
          <w:rFonts w:cs="Times New Roman"/>
          <w:b/>
          <w:color w:val="5B9BD5" w:themeColor="accent1"/>
        </w:rPr>
        <w:t>: ST</w:t>
      </w:r>
      <w:r w:rsidR="003133DA" w:rsidRPr="00ED208F">
        <w:rPr>
          <w:rFonts w:cs="Times New Roman"/>
          <w:b/>
          <w:color w:val="5B9BD5" w:themeColor="accent1"/>
        </w:rPr>
        <w:t>SH</w:t>
      </w:r>
      <w:r w:rsidRPr="004C315F">
        <w:rPr>
          <w:rFonts w:cs="Times New Roman"/>
          <w:b/>
          <w:color w:val="5B9BD5" w:themeColor="accent1"/>
        </w:rPr>
        <w:t xml:space="preserve"> Tracking Worksheet</w:t>
      </w:r>
      <w:r w:rsidRPr="004C315F">
        <w:rPr>
          <w:rFonts w:cs="Times New Roman"/>
        </w:rPr>
        <w:t xml:space="preserve"> to </w:t>
      </w:r>
      <w:r w:rsidR="00AC4C62">
        <w:rPr>
          <w:rFonts w:cs="Times New Roman"/>
        </w:rPr>
        <w:t>assign</w:t>
      </w:r>
      <w:r w:rsidRPr="004C315F">
        <w:rPr>
          <w:rFonts w:cs="Times New Roman"/>
        </w:rPr>
        <w:t xml:space="preserve"> a unique </w:t>
      </w:r>
      <w:r w:rsidR="00AC4C62">
        <w:rPr>
          <w:rFonts w:cs="Times New Roman"/>
        </w:rPr>
        <w:t>six-month period to</w:t>
      </w:r>
      <w:r w:rsidRPr="004C315F">
        <w:rPr>
          <w:rFonts w:cs="Times New Roman"/>
        </w:rPr>
        <w:t xml:space="preserve"> each </w:t>
      </w:r>
      <w:r w:rsidR="00AC4C62">
        <w:rPr>
          <w:rFonts w:cs="Times New Roman"/>
        </w:rPr>
        <w:t xml:space="preserve">STSH-assisted </w:t>
      </w:r>
      <w:r w:rsidRPr="004C315F">
        <w:rPr>
          <w:rFonts w:cs="Times New Roman"/>
        </w:rPr>
        <w:t>household based on the time period</w:t>
      </w:r>
      <w:r w:rsidR="00AC4C62">
        <w:rPr>
          <w:rFonts w:cs="Times New Roman"/>
        </w:rPr>
        <w:t>s</w:t>
      </w:r>
      <w:r w:rsidRPr="004C315F">
        <w:rPr>
          <w:rFonts w:cs="Times New Roman"/>
        </w:rPr>
        <w:t xml:space="preserve"> paid by </w:t>
      </w:r>
      <w:r w:rsidR="003133DA" w:rsidRPr="00ED208F">
        <w:rPr>
          <w:rFonts w:cs="Times New Roman"/>
        </w:rPr>
        <w:t>STSH</w:t>
      </w:r>
      <w:r w:rsidRPr="004C315F">
        <w:rPr>
          <w:rFonts w:cs="Times New Roman"/>
        </w:rPr>
        <w:t xml:space="preserve">. Using this method, the </w:t>
      </w:r>
      <w:r w:rsidR="00AC4C62">
        <w:rPr>
          <w:rFonts w:cs="Times New Roman"/>
        </w:rPr>
        <w:t>six-month</w:t>
      </w:r>
      <w:r w:rsidRPr="004C315F">
        <w:rPr>
          <w:rFonts w:cs="Times New Roman"/>
        </w:rPr>
        <w:t xml:space="preserve"> period begins on the </w:t>
      </w:r>
      <w:r w:rsidR="00AC4C62">
        <w:rPr>
          <w:rFonts w:cs="Times New Roman"/>
        </w:rPr>
        <w:t>first day of accrued costs paid by STSH</w:t>
      </w:r>
      <w:r w:rsidRPr="004C315F">
        <w:rPr>
          <w:rFonts w:cs="Times New Roman"/>
        </w:rPr>
        <w:t xml:space="preserve">. </w:t>
      </w:r>
      <w:r w:rsidR="00C97037" w:rsidRPr="00C97037">
        <w:rPr>
          <w:rFonts w:cs="Times New Roman"/>
        </w:rPr>
        <w:t xml:space="preserve">At the end of this </w:t>
      </w:r>
      <w:r w:rsidR="00C97037">
        <w:rPr>
          <w:rFonts w:cs="Times New Roman"/>
        </w:rPr>
        <w:t>six</w:t>
      </w:r>
      <w:r w:rsidR="00C97037" w:rsidRPr="00C97037">
        <w:rPr>
          <w:rFonts w:cs="Times New Roman"/>
        </w:rPr>
        <w:t>-</w:t>
      </w:r>
      <w:r w:rsidR="00C97037">
        <w:rPr>
          <w:rFonts w:cs="Times New Roman"/>
        </w:rPr>
        <w:t>month</w:t>
      </w:r>
      <w:r w:rsidR="00C97037" w:rsidRPr="00C97037">
        <w:rPr>
          <w:rFonts w:cs="Times New Roman"/>
        </w:rPr>
        <w:t xml:space="preserve"> period, the next </w:t>
      </w:r>
      <w:r w:rsidR="00C97037">
        <w:rPr>
          <w:rFonts w:cs="Times New Roman"/>
        </w:rPr>
        <w:t>six</w:t>
      </w:r>
      <w:r w:rsidR="00C97037" w:rsidRPr="00C97037">
        <w:rPr>
          <w:rFonts w:cs="Times New Roman"/>
        </w:rPr>
        <w:t>-</w:t>
      </w:r>
      <w:r w:rsidR="00C97037">
        <w:rPr>
          <w:rFonts w:cs="Times New Roman"/>
        </w:rPr>
        <w:t>month</w:t>
      </w:r>
      <w:r w:rsidR="00C97037" w:rsidRPr="00C97037">
        <w:rPr>
          <w:rFonts w:cs="Times New Roman"/>
        </w:rPr>
        <w:t xml:space="preserve"> period may begin for that household.</w:t>
      </w:r>
      <w:r w:rsidR="00C97037" w:rsidRPr="00C97037" w:rsidDel="00C97037">
        <w:rPr>
          <w:rFonts w:cs="Times New Roman"/>
        </w:rPr>
        <w:t xml:space="preserve"> </w:t>
      </w:r>
      <w:r w:rsidRPr="00C97037">
        <w:rPr>
          <w:rFonts w:cs="Times New Roman"/>
        </w:rPr>
        <w:t xml:space="preserve">For example, the </w:t>
      </w:r>
      <w:r w:rsidR="00C97037" w:rsidRPr="00DE48B8">
        <w:rPr>
          <w:rFonts w:cs="Times New Roman"/>
        </w:rPr>
        <w:t>six-month</w:t>
      </w:r>
      <w:r w:rsidRPr="00C97037">
        <w:rPr>
          <w:rFonts w:cs="Times New Roman"/>
        </w:rPr>
        <w:t xml:space="preserve"> period for a household</w:t>
      </w:r>
      <w:r w:rsidR="00097AD1" w:rsidRPr="00C97037">
        <w:rPr>
          <w:rFonts w:cs="Times New Roman"/>
        </w:rPr>
        <w:t xml:space="preserve"> that receive</w:t>
      </w:r>
      <w:r w:rsidR="00C97037" w:rsidRPr="00DE48B8">
        <w:rPr>
          <w:rFonts w:cs="Times New Roman"/>
        </w:rPr>
        <w:t>s</w:t>
      </w:r>
      <w:r w:rsidRPr="00C97037">
        <w:rPr>
          <w:rFonts w:cs="Times New Roman"/>
        </w:rPr>
        <w:t xml:space="preserve"> </w:t>
      </w:r>
      <w:r w:rsidR="00097AD1" w:rsidRPr="00C97037">
        <w:rPr>
          <w:rFonts w:cs="Times New Roman"/>
        </w:rPr>
        <w:t>STSH</w:t>
      </w:r>
      <w:r w:rsidRPr="00C97037">
        <w:rPr>
          <w:rFonts w:cs="Times New Roman"/>
        </w:rPr>
        <w:t xml:space="preserve"> assistance for the full </w:t>
      </w:r>
      <w:r w:rsidR="00C97037" w:rsidRPr="00DE48B8">
        <w:rPr>
          <w:rFonts w:cs="Times New Roman"/>
        </w:rPr>
        <w:t>cost</w:t>
      </w:r>
      <w:r w:rsidR="00097AD1" w:rsidRPr="00C97037">
        <w:rPr>
          <w:rFonts w:cs="Times New Roman"/>
        </w:rPr>
        <w:t xml:space="preserve"> of a stay that began on November 9</w:t>
      </w:r>
      <w:r w:rsidRPr="00C97037">
        <w:rPr>
          <w:rFonts w:cs="Times New Roman"/>
        </w:rPr>
        <w:t xml:space="preserve"> </w:t>
      </w:r>
      <w:r w:rsidR="00097AD1" w:rsidRPr="00C97037">
        <w:rPr>
          <w:rFonts w:cs="Times New Roman"/>
        </w:rPr>
        <w:t>would begin on November 9</w:t>
      </w:r>
      <w:r w:rsidRPr="00C97037">
        <w:rPr>
          <w:rFonts w:cs="Times New Roman"/>
        </w:rPr>
        <w:t xml:space="preserve"> and end on </w:t>
      </w:r>
      <w:r w:rsidR="00097AD1" w:rsidRPr="00C97037">
        <w:rPr>
          <w:rFonts w:cs="Times New Roman"/>
        </w:rPr>
        <w:t>May</w:t>
      </w:r>
      <w:r w:rsidRPr="00C97037">
        <w:rPr>
          <w:rFonts w:cs="Times New Roman"/>
        </w:rPr>
        <w:t xml:space="preserve"> </w:t>
      </w:r>
      <w:r w:rsidR="00097AD1" w:rsidRPr="00C97037">
        <w:rPr>
          <w:rFonts w:cs="Times New Roman"/>
        </w:rPr>
        <w:t>8</w:t>
      </w:r>
      <w:r w:rsidR="004C315F" w:rsidRPr="00C97037">
        <w:rPr>
          <w:rFonts w:cs="Times New Roman"/>
        </w:rPr>
        <w:t>.</w:t>
      </w:r>
    </w:p>
    <w:p w14:paraId="55CA4904" w14:textId="77777777" w:rsidR="00063667" w:rsidRPr="004C315F" w:rsidRDefault="00063667">
      <w:pPr>
        <w:pStyle w:val="NoSpacing"/>
        <w:ind w:left="720"/>
        <w:rPr>
          <w:rFonts w:cs="Times New Roman"/>
        </w:rPr>
      </w:pPr>
    </w:p>
    <w:p w14:paraId="1F3519FE" w14:textId="10885C03" w:rsidR="0034655E" w:rsidRPr="004C315F" w:rsidRDefault="008C3534">
      <w:pPr>
        <w:pStyle w:val="NoSpacing"/>
        <w:numPr>
          <w:ilvl w:val="1"/>
          <w:numId w:val="93"/>
        </w:numPr>
        <w:rPr>
          <w:rFonts w:cs="Times New Roman"/>
          <w:b/>
          <w:u w:val="single"/>
        </w:rPr>
      </w:pPr>
      <w:r w:rsidRPr="00ED208F">
        <w:rPr>
          <w:rFonts w:cs="Times New Roman"/>
          <w:b/>
          <w:u w:val="single"/>
        </w:rPr>
        <w:t>STSH</w:t>
      </w:r>
      <w:r w:rsidR="0034655E" w:rsidRPr="004C315F">
        <w:rPr>
          <w:rFonts w:cs="Times New Roman"/>
          <w:b/>
          <w:u w:val="single"/>
        </w:rPr>
        <w:t xml:space="preserve"> </w:t>
      </w:r>
      <w:r w:rsidRPr="00ED208F">
        <w:rPr>
          <w:rFonts w:cs="Times New Roman"/>
          <w:b/>
          <w:u w:val="single"/>
        </w:rPr>
        <w:t>60</w:t>
      </w:r>
      <w:r w:rsidR="0034655E" w:rsidRPr="004C315F">
        <w:rPr>
          <w:rFonts w:cs="Times New Roman"/>
          <w:b/>
          <w:u w:val="single"/>
        </w:rPr>
        <w:t>-</w:t>
      </w:r>
      <w:r w:rsidRPr="00ED208F">
        <w:rPr>
          <w:rFonts w:cs="Times New Roman"/>
          <w:b/>
          <w:u w:val="single"/>
        </w:rPr>
        <w:t>Night</w:t>
      </w:r>
      <w:r w:rsidR="0034655E" w:rsidRPr="004C315F">
        <w:rPr>
          <w:rFonts w:cs="Times New Roman"/>
          <w:b/>
          <w:u w:val="single"/>
        </w:rPr>
        <w:t xml:space="preserve"> Tracking</w:t>
      </w:r>
    </w:p>
    <w:p w14:paraId="5332F85E" w14:textId="29908144" w:rsidR="0034655E" w:rsidRPr="004C315F" w:rsidRDefault="0034655E">
      <w:pPr>
        <w:pStyle w:val="NoSpacing"/>
        <w:ind w:left="720"/>
        <w:rPr>
          <w:rFonts w:cs="Times New Roman"/>
        </w:rPr>
      </w:pPr>
      <w:r w:rsidRPr="004C315F">
        <w:rPr>
          <w:rFonts w:cs="Times New Roman"/>
        </w:rPr>
        <w:t>T</w:t>
      </w:r>
      <w:r w:rsidR="00097AD1" w:rsidRPr="00ED208F">
        <w:rPr>
          <w:rFonts w:cs="Times New Roman"/>
        </w:rPr>
        <w:t>he DSHS HOPWA Program uses a 60</w:t>
      </w:r>
      <w:r w:rsidRPr="004C315F">
        <w:rPr>
          <w:rFonts w:cs="Times New Roman"/>
        </w:rPr>
        <w:t>-</w:t>
      </w:r>
      <w:r w:rsidR="004806D4">
        <w:rPr>
          <w:rFonts w:cs="Times New Roman"/>
        </w:rPr>
        <w:t>n</w:t>
      </w:r>
      <w:r w:rsidR="00097AD1" w:rsidRPr="00ED208F">
        <w:rPr>
          <w:rFonts w:cs="Times New Roman"/>
        </w:rPr>
        <w:t>ight</w:t>
      </w:r>
      <w:r w:rsidRPr="004C315F">
        <w:rPr>
          <w:rFonts w:cs="Times New Roman"/>
        </w:rPr>
        <w:t xml:space="preserve"> </w:t>
      </w:r>
      <w:r w:rsidR="004806D4">
        <w:rPr>
          <w:rFonts w:cs="Times New Roman"/>
        </w:rPr>
        <w:t>c</w:t>
      </w:r>
      <w:r w:rsidR="00E45104">
        <w:rPr>
          <w:rFonts w:cs="Times New Roman"/>
        </w:rPr>
        <w:t>heck-</w:t>
      </w:r>
      <w:r w:rsidR="004806D4">
        <w:rPr>
          <w:rFonts w:cs="Times New Roman"/>
        </w:rPr>
        <w:t>i</w:t>
      </w:r>
      <w:r w:rsidR="00E45104">
        <w:rPr>
          <w:rFonts w:cs="Times New Roman"/>
        </w:rPr>
        <w:t>n/</w:t>
      </w:r>
      <w:r w:rsidR="004806D4">
        <w:rPr>
          <w:rFonts w:cs="Times New Roman"/>
        </w:rPr>
        <w:t>c</w:t>
      </w:r>
      <w:r w:rsidR="0016424A">
        <w:rPr>
          <w:rFonts w:cs="Times New Roman"/>
        </w:rPr>
        <w:t>heck-</w:t>
      </w:r>
      <w:r w:rsidR="004806D4">
        <w:rPr>
          <w:rFonts w:cs="Times New Roman"/>
        </w:rPr>
        <w:t>o</w:t>
      </w:r>
      <w:r w:rsidR="0016424A">
        <w:rPr>
          <w:rFonts w:cs="Times New Roman"/>
        </w:rPr>
        <w:t xml:space="preserve">ut </w:t>
      </w:r>
      <w:r w:rsidR="004806D4">
        <w:rPr>
          <w:rFonts w:cs="Times New Roman"/>
        </w:rPr>
        <w:t>m</w:t>
      </w:r>
      <w:r w:rsidRPr="004C315F">
        <w:rPr>
          <w:rFonts w:cs="Times New Roman"/>
        </w:rPr>
        <w:t>ethodology</w:t>
      </w:r>
      <w:r w:rsidR="004806D4">
        <w:rPr>
          <w:rFonts w:cs="Times New Roman"/>
        </w:rPr>
        <w:t>, which</w:t>
      </w:r>
      <w:r w:rsidRPr="004C315F">
        <w:rPr>
          <w:rFonts w:cs="Times New Roman"/>
        </w:rPr>
        <w:t xml:space="preserve"> count</w:t>
      </w:r>
      <w:r w:rsidR="004806D4">
        <w:rPr>
          <w:rFonts w:cs="Times New Roman"/>
        </w:rPr>
        <w:t>s</w:t>
      </w:r>
      <w:r w:rsidRPr="004C315F">
        <w:rPr>
          <w:rFonts w:cs="Times New Roman"/>
        </w:rPr>
        <w:t xml:space="preserve"> the </w:t>
      </w:r>
      <w:r w:rsidR="004C315F" w:rsidRPr="00ED208F">
        <w:rPr>
          <w:rFonts w:cs="Times New Roman"/>
        </w:rPr>
        <w:t>nights</w:t>
      </w:r>
      <w:r w:rsidRPr="004C315F">
        <w:rPr>
          <w:rFonts w:cs="Times New Roman"/>
        </w:rPr>
        <w:t xml:space="preserve"> </w:t>
      </w:r>
      <w:r w:rsidR="004806D4">
        <w:rPr>
          <w:rFonts w:cs="Times New Roman"/>
        </w:rPr>
        <w:t>of accrued costs paid by STSH</w:t>
      </w:r>
      <w:r w:rsidRPr="004C315F">
        <w:rPr>
          <w:rFonts w:cs="Times New Roman"/>
        </w:rPr>
        <w:t xml:space="preserve">. Project Sponsors use </w:t>
      </w:r>
      <w:r w:rsidRPr="004C315F">
        <w:rPr>
          <w:rFonts w:cs="Times New Roman"/>
          <w:b/>
          <w:color w:val="5B9BD5" w:themeColor="accent1"/>
        </w:rPr>
        <w:t>Form K</w:t>
      </w:r>
      <w:r w:rsidR="004C315F" w:rsidRPr="00ED208F">
        <w:rPr>
          <w:rFonts w:cs="Times New Roman"/>
          <w:b/>
          <w:color w:val="5B9BD5" w:themeColor="accent1"/>
        </w:rPr>
        <w:t>2</w:t>
      </w:r>
      <w:r w:rsidRPr="004C315F">
        <w:rPr>
          <w:rFonts w:cs="Times New Roman"/>
          <w:b/>
          <w:color w:val="5B9BD5" w:themeColor="accent1"/>
        </w:rPr>
        <w:t>: ST</w:t>
      </w:r>
      <w:r w:rsidR="004C315F" w:rsidRPr="00ED208F">
        <w:rPr>
          <w:rFonts w:cs="Times New Roman"/>
          <w:b/>
          <w:color w:val="5B9BD5" w:themeColor="accent1"/>
        </w:rPr>
        <w:t>SH</w:t>
      </w:r>
      <w:r w:rsidRPr="004C315F">
        <w:rPr>
          <w:rFonts w:cs="Times New Roman"/>
          <w:b/>
          <w:color w:val="5B9BD5" w:themeColor="accent1"/>
        </w:rPr>
        <w:t xml:space="preserve"> Tracking Worksheet</w:t>
      </w:r>
      <w:r w:rsidRPr="004C315F">
        <w:rPr>
          <w:rFonts w:cs="Times New Roman"/>
        </w:rPr>
        <w:t xml:space="preserve"> to comply with this methodology. </w:t>
      </w:r>
      <w:r w:rsidR="004C315F" w:rsidRPr="00ED208F">
        <w:rPr>
          <w:rFonts w:cs="Times New Roman"/>
        </w:rPr>
        <w:t>STSH</w:t>
      </w:r>
      <w:r w:rsidRPr="004C315F">
        <w:rPr>
          <w:rFonts w:cs="Times New Roman"/>
        </w:rPr>
        <w:t xml:space="preserve"> </w:t>
      </w:r>
      <w:r w:rsidR="00310DF2" w:rsidRPr="00310DF2">
        <w:rPr>
          <w:rFonts w:cs="Times New Roman"/>
        </w:rPr>
        <w:t>may provide residence to a household for up to 60 days of accrued costs in a six-month period</w:t>
      </w:r>
      <w:r w:rsidRPr="004C315F">
        <w:rPr>
          <w:rFonts w:cs="Times New Roman"/>
        </w:rPr>
        <w:t xml:space="preserve">. If a Project Sponsor establishes </w:t>
      </w:r>
      <w:r w:rsidR="004C315F" w:rsidRPr="00ED208F">
        <w:rPr>
          <w:rFonts w:cs="Times New Roman"/>
        </w:rPr>
        <w:t>a six-month STSH</w:t>
      </w:r>
      <w:r w:rsidRPr="004C315F">
        <w:rPr>
          <w:rFonts w:cs="Times New Roman"/>
        </w:rPr>
        <w:t xml:space="preserve"> </w:t>
      </w:r>
      <w:r w:rsidR="00310DF2">
        <w:rPr>
          <w:rFonts w:cs="Times New Roman"/>
        </w:rPr>
        <w:t>p</w:t>
      </w:r>
      <w:r w:rsidR="008647B6">
        <w:rPr>
          <w:rFonts w:cs="Times New Roman"/>
        </w:rPr>
        <w:t>ayment and/</w:t>
      </w:r>
      <w:r w:rsidRPr="004C315F">
        <w:rPr>
          <w:rFonts w:cs="Times New Roman"/>
        </w:rPr>
        <w:t xml:space="preserve">or </w:t>
      </w:r>
      <w:r w:rsidR="00310DF2">
        <w:rPr>
          <w:rFonts w:cs="Times New Roman"/>
        </w:rPr>
        <w:t>t</w:t>
      </w:r>
      <w:r w:rsidRPr="004C315F">
        <w:rPr>
          <w:rFonts w:cs="Times New Roman"/>
        </w:rPr>
        <w:t xml:space="preserve">ime </w:t>
      </w:r>
      <w:r w:rsidR="00310DF2">
        <w:rPr>
          <w:rFonts w:cs="Times New Roman"/>
        </w:rPr>
        <w:t>c</w:t>
      </w:r>
      <w:r w:rsidRPr="004C315F">
        <w:rPr>
          <w:rFonts w:cs="Times New Roman"/>
        </w:rPr>
        <w:t xml:space="preserve">ap, the total </w:t>
      </w:r>
      <w:r w:rsidR="004C315F" w:rsidRPr="00ED208F">
        <w:rPr>
          <w:rFonts w:cs="Times New Roman"/>
        </w:rPr>
        <w:t>STSH</w:t>
      </w:r>
      <w:r w:rsidRPr="004C315F">
        <w:rPr>
          <w:rFonts w:cs="Times New Roman"/>
        </w:rPr>
        <w:t xml:space="preserve"> assistance provided to a household cannot exceed the </w:t>
      </w:r>
      <w:r w:rsidR="008647B6">
        <w:rPr>
          <w:rFonts w:cs="Times New Roman"/>
        </w:rPr>
        <w:t>c</w:t>
      </w:r>
      <w:r w:rsidRPr="004C315F">
        <w:rPr>
          <w:rFonts w:cs="Times New Roman"/>
        </w:rPr>
        <w:t xml:space="preserve">ap. If a household reaches a </w:t>
      </w:r>
      <w:r w:rsidR="008647B6">
        <w:rPr>
          <w:rFonts w:cs="Times New Roman"/>
        </w:rPr>
        <w:t>c</w:t>
      </w:r>
      <w:r w:rsidRPr="004C315F">
        <w:rPr>
          <w:rFonts w:cs="Times New Roman"/>
        </w:rPr>
        <w:t>ap, the assistance</w:t>
      </w:r>
      <w:r w:rsidR="00310DF2">
        <w:rPr>
          <w:rFonts w:cs="Times New Roman"/>
        </w:rPr>
        <w:t xml:space="preserve"> </w:t>
      </w:r>
      <w:r w:rsidRPr="004C315F">
        <w:rPr>
          <w:rFonts w:cs="Times New Roman"/>
        </w:rPr>
        <w:t>attribu</w:t>
      </w:r>
      <w:r w:rsidR="00310DF2">
        <w:rPr>
          <w:rFonts w:cs="Times New Roman"/>
        </w:rPr>
        <w:t>tes</w:t>
      </w:r>
      <w:r w:rsidRPr="004C315F">
        <w:rPr>
          <w:rFonts w:cs="Times New Roman"/>
        </w:rPr>
        <w:t xml:space="preserve"> to the entire </w:t>
      </w:r>
      <w:r w:rsidR="004C315F" w:rsidRPr="00ED208F">
        <w:rPr>
          <w:rFonts w:cs="Times New Roman"/>
        </w:rPr>
        <w:t>60</w:t>
      </w:r>
      <w:r w:rsidRPr="004C315F">
        <w:rPr>
          <w:rFonts w:cs="Times New Roman"/>
        </w:rPr>
        <w:t>-</w:t>
      </w:r>
      <w:r w:rsidR="004C315F" w:rsidRPr="00ED208F">
        <w:rPr>
          <w:rFonts w:cs="Times New Roman"/>
        </w:rPr>
        <w:t>night</w:t>
      </w:r>
      <w:r w:rsidRPr="004C315F">
        <w:rPr>
          <w:rFonts w:cs="Times New Roman"/>
        </w:rPr>
        <w:t xml:space="preserve"> period. The </w:t>
      </w:r>
      <w:r w:rsidR="004C315F" w:rsidRPr="00ED208F">
        <w:rPr>
          <w:rFonts w:cs="Times New Roman"/>
        </w:rPr>
        <w:t>60</w:t>
      </w:r>
      <w:r w:rsidRPr="004C315F">
        <w:rPr>
          <w:rFonts w:cs="Times New Roman"/>
        </w:rPr>
        <w:t>-</w:t>
      </w:r>
      <w:r w:rsidR="004C315F" w:rsidRPr="00ED208F">
        <w:rPr>
          <w:rFonts w:cs="Times New Roman"/>
        </w:rPr>
        <w:t>night</w:t>
      </w:r>
      <w:r w:rsidRPr="004C315F">
        <w:rPr>
          <w:rFonts w:cs="Times New Roman"/>
        </w:rPr>
        <w:t xml:space="preserve"> limit </w:t>
      </w:r>
      <w:r w:rsidRPr="00DE48B8">
        <w:rPr>
          <w:rFonts w:cs="Times New Roman"/>
          <w:iCs/>
        </w:rPr>
        <w:t>always</w:t>
      </w:r>
      <w:r w:rsidRPr="004C315F">
        <w:rPr>
          <w:rFonts w:cs="Times New Roman"/>
        </w:rPr>
        <w:t xml:space="preserve"> supersedes an established </w:t>
      </w:r>
      <w:r w:rsidR="008647B6">
        <w:rPr>
          <w:rFonts w:cs="Times New Roman"/>
        </w:rPr>
        <w:t>c</w:t>
      </w:r>
      <w:r w:rsidRPr="004C315F">
        <w:rPr>
          <w:rFonts w:cs="Times New Roman"/>
        </w:rPr>
        <w:t>ap.</w:t>
      </w:r>
    </w:p>
    <w:p w14:paraId="656F18D8" w14:textId="77777777" w:rsidR="0034655E" w:rsidRPr="000A7695" w:rsidRDefault="0034655E">
      <w:pPr>
        <w:pStyle w:val="NoSpacing"/>
        <w:numPr>
          <w:ilvl w:val="2"/>
          <w:numId w:val="93"/>
        </w:numPr>
        <w:rPr>
          <w:rFonts w:cs="Times New Roman"/>
          <w:b/>
        </w:rPr>
      </w:pPr>
      <w:r w:rsidRPr="000A7695">
        <w:rPr>
          <w:rFonts w:cs="Times New Roman"/>
          <w:b/>
        </w:rPr>
        <w:t>Example 1</w:t>
      </w:r>
    </w:p>
    <w:p w14:paraId="7219097B" w14:textId="1191231D" w:rsidR="0034655E" w:rsidRDefault="008221B7">
      <w:pPr>
        <w:pStyle w:val="NoSpacing"/>
        <w:ind w:left="1440"/>
        <w:rPr>
          <w:rFonts w:cs="Times New Roman"/>
        </w:rPr>
      </w:pPr>
      <w:r>
        <w:rPr>
          <w:rFonts w:cs="Times New Roman"/>
        </w:rPr>
        <w:t>A household’s</w:t>
      </w:r>
      <w:r w:rsidRPr="00ED208F">
        <w:rPr>
          <w:rFonts w:cs="Times New Roman"/>
        </w:rPr>
        <w:t xml:space="preserve"> check-in/check-out dates</w:t>
      </w:r>
      <w:r>
        <w:rPr>
          <w:rFonts w:cs="Times New Roman"/>
        </w:rPr>
        <w:t xml:space="preserve"> for a motel </w:t>
      </w:r>
      <w:r w:rsidR="00A24B34">
        <w:rPr>
          <w:rFonts w:cs="Times New Roman"/>
        </w:rPr>
        <w:t xml:space="preserve">stay </w:t>
      </w:r>
      <w:r w:rsidRPr="00ED208F">
        <w:rPr>
          <w:rFonts w:cs="Times New Roman"/>
        </w:rPr>
        <w:t>ranged</w:t>
      </w:r>
      <w:r w:rsidRPr="000A7695">
        <w:rPr>
          <w:rFonts w:cs="Times New Roman"/>
        </w:rPr>
        <w:t xml:space="preserve"> </w:t>
      </w:r>
      <w:r w:rsidRPr="00ED208F">
        <w:rPr>
          <w:rFonts w:cs="Times New Roman"/>
        </w:rPr>
        <w:t>from September 3 to October 14</w:t>
      </w:r>
      <w:r w:rsidR="000B36D3">
        <w:rPr>
          <w:rFonts w:cs="Times New Roman"/>
        </w:rPr>
        <w:t xml:space="preserve"> (41 nights). </w:t>
      </w:r>
      <w:r w:rsidR="0034655E" w:rsidRPr="000A7695">
        <w:rPr>
          <w:rFonts w:cs="Times New Roman"/>
        </w:rPr>
        <w:t xml:space="preserve">If a </w:t>
      </w:r>
      <w:r w:rsidR="0016424A" w:rsidRPr="00ED208F">
        <w:rPr>
          <w:rFonts w:cs="Times New Roman"/>
        </w:rPr>
        <w:t xml:space="preserve">Project Sponsor </w:t>
      </w:r>
      <w:r w:rsidR="000B36D3">
        <w:rPr>
          <w:rFonts w:cs="Times New Roman"/>
        </w:rPr>
        <w:t>pays the whole cost</w:t>
      </w:r>
      <w:r w:rsidR="0016424A" w:rsidRPr="00ED208F">
        <w:rPr>
          <w:rFonts w:cs="Times New Roman"/>
        </w:rPr>
        <w:t>,</w:t>
      </w:r>
      <w:r w:rsidR="0034655E" w:rsidRPr="000A7695">
        <w:rPr>
          <w:rFonts w:cs="Times New Roman"/>
        </w:rPr>
        <w:t xml:space="preserve"> the Project Sponsor count</w:t>
      </w:r>
      <w:r w:rsidR="000B36D3">
        <w:rPr>
          <w:rFonts w:cs="Times New Roman"/>
        </w:rPr>
        <w:t>s</w:t>
      </w:r>
      <w:r w:rsidR="0034655E" w:rsidRPr="000A7695">
        <w:rPr>
          <w:rFonts w:cs="Times New Roman"/>
        </w:rPr>
        <w:t xml:space="preserve"> this as </w:t>
      </w:r>
      <w:r w:rsidR="0016424A" w:rsidRPr="00ED208F">
        <w:rPr>
          <w:rFonts w:cs="Times New Roman"/>
        </w:rPr>
        <w:t>41</w:t>
      </w:r>
      <w:r w:rsidR="0034655E" w:rsidRPr="000A7695">
        <w:rPr>
          <w:rFonts w:cs="Times New Roman"/>
        </w:rPr>
        <w:t xml:space="preserve"> </w:t>
      </w:r>
      <w:r w:rsidR="0016424A" w:rsidRPr="00ED208F">
        <w:rPr>
          <w:rFonts w:cs="Times New Roman"/>
        </w:rPr>
        <w:t>nights</w:t>
      </w:r>
      <w:r w:rsidR="0034655E" w:rsidRPr="000A7695">
        <w:rPr>
          <w:rFonts w:cs="Times New Roman"/>
        </w:rPr>
        <w:t xml:space="preserve"> of assistance.</w:t>
      </w:r>
    </w:p>
    <w:p w14:paraId="0F96EF97" w14:textId="77777777" w:rsidR="00A06610" w:rsidRPr="000A7695" w:rsidRDefault="00A06610">
      <w:pPr>
        <w:pStyle w:val="NoSpacing"/>
        <w:ind w:left="1440"/>
        <w:rPr>
          <w:rFonts w:cs="Times New Roman"/>
        </w:rPr>
      </w:pPr>
    </w:p>
    <w:p w14:paraId="458DACEB" w14:textId="77777777" w:rsidR="0034655E" w:rsidRPr="000A7695" w:rsidRDefault="0034655E">
      <w:pPr>
        <w:pStyle w:val="NoSpacing"/>
        <w:numPr>
          <w:ilvl w:val="2"/>
          <w:numId w:val="93"/>
        </w:numPr>
        <w:rPr>
          <w:rFonts w:cs="Times New Roman"/>
          <w:b/>
        </w:rPr>
      </w:pPr>
      <w:r w:rsidRPr="000A7695">
        <w:rPr>
          <w:rFonts w:cs="Times New Roman"/>
          <w:b/>
        </w:rPr>
        <w:t>Example 2</w:t>
      </w:r>
    </w:p>
    <w:p w14:paraId="672F8950" w14:textId="1D7EDA23" w:rsidR="0034655E" w:rsidRPr="000A7695" w:rsidRDefault="000B36D3">
      <w:pPr>
        <w:pStyle w:val="NoSpacing"/>
        <w:ind w:left="1440"/>
        <w:rPr>
          <w:rFonts w:cs="Times New Roman"/>
        </w:rPr>
      </w:pPr>
      <w:r>
        <w:rPr>
          <w:rFonts w:cs="Times New Roman"/>
        </w:rPr>
        <w:t>Using the example above, i</w:t>
      </w:r>
      <w:r w:rsidR="0034655E" w:rsidRPr="000A7695">
        <w:rPr>
          <w:rFonts w:cs="Times New Roman"/>
        </w:rPr>
        <w:t xml:space="preserve">f a </w:t>
      </w:r>
      <w:r w:rsidR="0016424A" w:rsidRPr="00ED208F">
        <w:rPr>
          <w:rFonts w:cs="Times New Roman"/>
        </w:rPr>
        <w:t xml:space="preserve">Project Sponsor </w:t>
      </w:r>
      <w:r>
        <w:rPr>
          <w:rFonts w:cs="Times New Roman"/>
        </w:rPr>
        <w:t>pays</w:t>
      </w:r>
      <w:r w:rsidR="0016424A" w:rsidRPr="00ED208F">
        <w:rPr>
          <w:rFonts w:cs="Times New Roman"/>
        </w:rPr>
        <w:t xml:space="preserve"> a portion of the cost</w:t>
      </w:r>
      <w:r w:rsidR="0034655E" w:rsidRPr="000A7695">
        <w:rPr>
          <w:rFonts w:cs="Times New Roman"/>
        </w:rPr>
        <w:t xml:space="preserve">, the </w:t>
      </w:r>
      <w:r>
        <w:rPr>
          <w:rFonts w:cs="Times New Roman"/>
        </w:rPr>
        <w:t xml:space="preserve">Project Sponsor only counts the </w:t>
      </w:r>
      <w:r w:rsidR="0016424A" w:rsidRPr="00ED208F">
        <w:rPr>
          <w:rFonts w:cs="Times New Roman"/>
        </w:rPr>
        <w:t>nights</w:t>
      </w:r>
      <w:r w:rsidR="0034655E" w:rsidRPr="000A7695">
        <w:rPr>
          <w:rFonts w:cs="Times New Roman"/>
        </w:rPr>
        <w:t xml:space="preserve"> paid by </w:t>
      </w:r>
      <w:r w:rsidR="0016424A" w:rsidRPr="00ED208F">
        <w:rPr>
          <w:rFonts w:cs="Times New Roman"/>
        </w:rPr>
        <w:t>STSH</w:t>
      </w:r>
      <w:r w:rsidR="0034655E" w:rsidRPr="000A7695">
        <w:rPr>
          <w:rFonts w:cs="Times New Roman"/>
        </w:rPr>
        <w:t xml:space="preserve">. For example, </w:t>
      </w:r>
      <w:r>
        <w:rPr>
          <w:rFonts w:cs="Times New Roman"/>
        </w:rPr>
        <w:t xml:space="preserve">say the cost equals </w:t>
      </w:r>
      <w:r w:rsidR="0034655E" w:rsidRPr="000A7695">
        <w:rPr>
          <w:rFonts w:cs="Times New Roman"/>
        </w:rPr>
        <w:t>$</w:t>
      </w:r>
      <w:r w:rsidR="00F15A50" w:rsidRPr="00ED208F">
        <w:rPr>
          <w:rFonts w:cs="Times New Roman"/>
        </w:rPr>
        <w:t>2,583</w:t>
      </w:r>
      <w:r w:rsidR="0034655E" w:rsidRPr="000A7695">
        <w:rPr>
          <w:rFonts w:cs="Times New Roman"/>
        </w:rPr>
        <w:t>.</w:t>
      </w:r>
      <w:r w:rsidR="00F15A50" w:rsidRPr="00ED208F">
        <w:rPr>
          <w:rFonts w:cs="Times New Roman"/>
        </w:rPr>
        <w:t>65</w:t>
      </w:r>
      <w:r w:rsidR="0034655E" w:rsidRPr="000A7695">
        <w:rPr>
          <w:rFonts w:cs="Times New Roman"/>
        </w:rPr>
        <w:t xml:space="preserve"> and the </w:t>
      </w:r>
      <w:r>
        <w:rPr>
          <w:rFonts w:cs="Times New Roman"/>
        </w:rPr>
        <w:t xml:space="preserve">household and </w:t>
      </w:r>
      <w:r w:rsidR="0034655E" w:rsidRPr="000A7695">
        <w:rPr>
          <w:rFonts w:cs="Times New Roman"/>
        </w:rPr>
        <w:t xml:space="preserve">Project Sponsor </w:t>
      </w:r>
      <w:r>
        <w:rPr>
          <w:rFonts w:cs="Times New Roman"/>
        </w:rPr>
        <w:t xml:space="preserve">will </w:t>
      </w:r>
      <w:r w:rsidR="0034655E" w:rsidRPr="000A7695">
        <w:rPr>
          <w:rFonts w:cs="Times New Roman"/>
        </w:rPr>
        <w:t xml:space="preserve">pay </w:t>
      </w:r>
      <w:r>
        <w:rPr>
          <w:rFonts w:cs="Times New Roman"/>
        </w:rPr>
        <w:t xml:space="preserve">$608.65 and </w:t>
      </w:r>
      <w:r w:rsidR="0034655E" w:rsidRPr="000A7695">
        <w:rPr>
          <w:rFonts w:cs="Times New Roman"/>
        </w:rPr>
        <w:t>$1</w:t>
      </w:r>
      <w:r w:rsidR="00F15A50" w:rsidRPr="00ED208F">
        <w:rPr>
          <w:rFonts w:cs="Times New Roman"/>
        </w:rPr>
        <w:t>,975.00</w:t>
      </w:r>
      <w:r w:rsidR="0034655E" w:rsidRPr="000A7695">
        <w:rPr>
          <w:rFonts w:cs="Times New Roman"/>
        </w:rPr>
        <w:t xml:space="preserve"> </w:t>
      </w:r>
      <w:r>
        <w:rPr>
          <w:rFonts w:cs="Times New Roman"/>
        </w:rPr>
        <w:t>respectively</w:t>
      </w:r>
      <w:r w:rsidR="0034655E" w:rsidRPr="000A7695">
        <w:rPr>
          <w:rFonts w:cs="Times New Roman"/>
        </w:rPr>
        <w:t xml:space="preserve">. To calculate the </w:t>
      </w:r>
      <w:r w:rsidR="000A7695">
        <w:rPr>
          <w:rFonts w:cs="Times New Roman"/>
        </w:rPr>
        <w:t>nights</w:t>
      </w:r>
      <w:r w:rsidR="0034655E" w:rsidRPr="000A7695">
        <w:rPr>
          <w:rFonts w:cs="Times New Roman"/>
        </w:rPr>
        <w:t xml:space="preserve"> of assistance, divide </w:t>
      </w:r>
      <w:r w:rsidR="00F15A50" w:rsidRPr="00ED208F">
        <w:rPr>
          <w:rFonts w:cs="Times New Roman"/>
        </w:rPr>
        <w:t>$2,583.65</w:t>
      </w:r>
      <w:r w:rsidR="0034655E" w:rsidRPr="000A7695">
        <w:rPr>
          <w:rFonts w:cs="Times New Roman"/>
        </w:rPr>
        <w:t xml:space="preserve"> by </w:t>
      </w:r>
      <w:r w:rsidR="00F15A50" w:rsidRPr="00ED208F">
        <w:rPr>
          <w:rFonts w:cs="Times New Roman"/>
        </w:rPr>
        <w:t>41</w:t>
      </w:r>
      <w:r w:rsidR="0034655E" w:rsidRPr="000A7695">
        <w:rPr>
          <w:rFonts w:cs="Times New Roman"/>
        </w:rPr>
        <w:t xml:space="preserve"> </w:t>
      </w:r>
      <w:r w:rsidR="00F15A50" w:rsidRPr="00ED208F">
        <w:rPr>
          <w:rFonts w:cs="Times New Roman"/>
        </w:rPr>
        <w:t>nights</w:t>
      </w:r>
      <w:r w:rsidR="0034655E" w:rsidRPr="000A7695">
        <w:rPr>
          <w:rFonts w:cs="Times New Roman"/>
        </w:rPr>
        <w:t>, which equals $</w:t>
      </w:r>
      <w:r w:rsidR="00F15A50" w:rsidRPr="00ED208F">
        <w:rPr>
          <w:rFonts w:cs="Times New Roman"/>
        </w:rPr>
        <w:t>63</w:t>
      </w:r>
      <w:r w:rsidR="0034655E" w:rsidRPr="000A7695">
        <w:rPr>
          <w:rFonts w:cs="Times New Roman"/>
        </w:rPr>
        <w:t>.</w:t>
      </w:r>
      <w:r w:rsidR="00F15A50" w:rsidRPr="00ED208F">
        <w:rPr>
          <w:rFonts w:cs="Times New Roman"/>
        </w:rPr>
        <w:t>01</w:t>
      </w:r>
      <w:r w:rsidR="0034655E" w:rsidRPr="000A7695">
        <w:rPr>
          <w:rFonts w:cs="Times New Roman"/>
        </w:rPr>
        <w:t xml:space="preserve"> per </w:t>
      </w:r>
      <w:r w:rsidR="000A7695">
        <w:rPr>
          <w:rFonts w:cs="Times New Roman"/>
        </w:rPr>
        <w:t>night</w:t>
      </w:r>
      <w:r w:rsidR="0034655E" w:rsidRPr="000A7695">
        <w:rPr>
          <w:rFonts w:cs="Times New Roman"/>
        </w:rPr>
        <w:t xml:space="preserve">. Then, divide the </w:t>
      </w:r>
      <w:r w:rsidR="00F15A50" w:rsidRPr="000A7695">
        <w:rPr>
          <w:rFonts w:cs="Times New Roman"/>
        </w:rPr>
        <w:t>$1,975.00</w:t>
      </w:r>
      <w:r w:rsidR="0034655E" w:rsidRPr="000A7695">
        <w:rPr>
          <w:rFonts w:cs="Times New Roman"/>
        </w:rPr>
        <w:t xml:space="preserve"> payment by </w:t>
      </w:r>
      <w:r w:rsidR="00F15A50" w:rsidRPr="00ED208F">
        <w:rPr>
          <w:rFonts w:cs="Times New Roman"/>
        </w:rPr>
        <w:t>$63.01</w:t>
      </w:r>
      <w:r w:rsidR="0034655E" w:rsidRPr="000A7695">
        <w:rPr>
          <w:rFonts w:cs="Times New Roman"/>
        </w:rPr>
        <w:t xml:space="preserve"> per </w:t>
      </w:r>
      <w:r w:rsidR="000A7695">
        <w:rPr>
          <w:rFonts w:cs="Times New Roman"/>
        </w:rPr>
        <w:t>night</w:t>
      </w:r>
      <w:r w:rsidR="0034655E" w:rsidRPr="000A7695">
        <w:rPr>
          <w:rFonts w:cs="Times New Roman"/>
        </w:rPr>
        <w:t xml:space="preserve">, which equals </w:t>
      </w:r>
      <w:r w:rsidR="00F15A50" w:rsidRPr="00ED208F">
        <w:rPr>
          <w:rFonts w:cs="Times New Roman"/>
        </w:rPr>
        <w:t>31</w:t>
      </w:r>
      <w:r w:rsidR="0034655E" w:rsidRPr="000A7695">
        <w:rPr>
          <w:rFonts w:cs="Times New Roman"/>
        </w:rPr>
        <w:t xml:space="preserve">.3 </w:t>
      </w:r>
      <w:r w:rsidR="000A7695">
        <w:rPr>
          <w:rFonts w:cs="Times New Roman"/>
        </w:rPr>
        <w:t>nights</w:t>
      </w:r>
      <w:r w:rsidR="0034655E" w:rsidRPr="000A7695">
        <w:rPr>
          <w:rFonts w:cs="Times New Roman"/>
        </w:rPr>
        <w:t xml:space="preserve">. With rounding, this </w:t>
      </w:r>
      <w:r>
        <w:rPr>
          <w:rFonts w:cs="Times New Roman"/>
        </w:rPr>
        <w:t>payment</w:t>
      </w:r>
      <w:r w:rsidR="0034655E" w:rsidRPr="000A7695">
        <w:rPr>
          <w:rFonts w:cs="Times New Roman"/>
        </w:rPr>
        <w:t xml:space="preserve"> counts as </w:t>
      </w:r>
      <w:r w:rsidR="00F15A50" w:rsidRPr="00ED208F">
        <w:rPr>
          <w:rFonts w:cs="Times New Roman"/>
        </w:rPr>
        <w:t>32</w:t>
      </w:r>
      <w:r w:rsidR="0034655E" w:rsidRPr="000A7695">
        <w:rPr>
          <w:rFonts w:cs="Times New Roman"/>
        </w:rPr>
        <w:t xml:space="preserve"> </w:t>
      </w:r>
      <w:r w:rsidR="000A7695">
        <w:rPr>
          <w:rFonts w:cs="Times New Roman"/>
        </w:rPr>
        <w:t>nights</w:t>
      </w:r>
      <w:r>
        <w:rPr>
          <w:rFonts w:cs="Times New Roman"/>
        </w:rPr>
        <w:t xml:space="preserve"> of assistance</w:t>
      </w:r>
      <w:r w:rsidR="0034655E" w:rsidRPr="000A7695">
        <w:rPr>
          <w:rFonts w:cs="Times New Roman"/>
        </w:rPr>
        <w:t>.</w:t>
      </w:r>
    </w:p>
    <w:p w14:paraId="25B3A904" w14:textId="2363DBC7" w:rsidR="0034655E" w:rsidRDefault="0034655E">
      <w:pPr>
        <w:pStyle w:val="NoSpacing"/>
        <w:ind w:left="1440"/>
        <w:rPr>
          <w:rFonts w:cs="Times New Roman"/>
          <w:color w:val="C00000"/>
        </w:rPr>
      </w:pPr>
      <w:r w:rsidRPr="008B0F3E">
        <w:rPr>
          <w:rFonts w:cs="Times New Roman"/>
          <w:b/>
          <w:color w:val="C00000"/>
        </w:rPr>
        <w:t>NOTE:</w:t>
      </w:r>
      <w:r w:rsidR="00E45104" w:rsidRPr="00ED208F">
        <w:rPr>
          <w:rFonts w:cs="Times New Roman"/>
          <w:color w:val="C00000"/>
        </w:rPr>
        <w:t xml:space="preserve"> </w:t>
      </w:r>
      <w:r w:rsidR="000B36D3">
        <w:rPr>
          <w:rFonts w:cs="Times New Roman"/>
          <w:color w:val="C00000"/>
        </w:rPr>
        <w:t xml:space="preserve">STSH does not require households to </w:t>
      </w:r>
      <w:r w:rsidR="007E20FD">
        <w:rPr>
          <w:rFonts w:cs="Times New Roman"/>
          <w:color w:val="C00000"/>
        </w:rPr>
        <w:t xml:space="preserve">pay </w:t>
      </w:r>
      <w:r w:rsidR="007E20FD" w:rsidRPr="007E20FD">
        <w:rPr>
          <w:rFonts w:cs="Times New Roman"/>
          <w:color w:val="C00000"/>
        </w:rPr>
        <w:t xml:space="preserve">a portion of their </w:t>
      </w:r>
      <w:r w:rsidR="007E20FD">
        <w:rPr>
          <w:rFonts w:cs="Times New Roman"/>
          <w:color w:val="C00000"/>
        </w:rPr>
        <w:t>temporary shelter</w:t>
      </w:r>
      <w:r w:rsidR="007E20FD" w:rsidRPr="007E20FD">
        <w:rPr>
          <w:rFonts w:cs="Times New Roman"/>
          <w:color w:val="C00000"/>
        </w:rPr>
        <w:t xml:space="preserve"> costs</w:t>
      </w:r>
      <w:r w:rsidR="007E20FD">
        <w:rPr>
          <w:rFonts w:cs="Times New Roman"/>
          <w:color w:val="C00000"/>
        </w:rPr>
        <w:t xml:space="preserve"> and it does not require Project Sponsors to</w:t>
      </w:r>
      <w:r w:rsidR="00E45104" w:rsidRPr="00063667">
        <w:rPr>
          <w:rFonts w:cs="Times New Roman"/>
          <w:color w:val="C00000"/>
        </w:rPr>
        <w:t xml:space="preserve"> </w:t>
      </w:r>
      <w:r w:rsidR="000B36D3">
        <w:rPr>
          <w:rFonts w:cs="Times New Roman"/>
          <w:color w:val="C00000"/>
        </w:rPr>
        <w:t xml:space="preserve">levy </w:t>
      </w:r>
      <w:r w:rsidR="007E20FD">
        <w:rPr>
          <w:rFonts w:cs="Times New Roman"/>
          <w:color w:val="C00000"/>
        </w:rPr>
        <w:t>occupancy charges</w:t>
      </w:r>
      <w:r w:rsidR="00E45104" w:rsidRPr="00063667">
        <w:rPr>
          <w:rFonts w:cs="Times New Roman"/>
          <w:color w:val="C00000"/>
        </w:rPr>
        <w:t>.</w:t>
      </w:r>
    </w:p>
    <w:p w14:paraId="6D98C449" w14:textId="77777777" w:rsidR="00FF1903" w:rsidRPr="00DE48B8" w:rsidRDefault="00FF1903" w:rsidP="00DE48B8">
      <w:pPr>
        <w:pStyle w:val="NoSpacing"/>
        <w:ind w:left="720"/>
        <w:rPr>
          <w:rFonts w:cs="Times New Roman"/>
          <w:b/>
          <w:u w:val="single"/>
        </w:rPr>
      </w:pPr>
    </w:p>
    <w:p w14:paraId="7867C7F4" w14:textId="3982E505" w:rsidR="0034655E" w:rsidRPr="004F45E0" w:rsidRDefault="0034655E">
      <w:pPr>
        <w:pStyle w:val="NoSpacing"/>
        <w:numPr>
          <w:ilvl w:val="1"/>
          <w:numId w:val="93"/>
        </w:numPr>
        <w:rPr>
          <w:rFonts w:cs="Times New Roman"/>
          <w:b/>
          <w:u w:val="single"/>
        </w:rPr>
      </w:pPr>
      <w:r w:rsidRPr="004F45E0">
        <w:rPr>
          <w:rFonts w:cs="Times New Roman"/>
          <w:b/>
          <w:u w:val="single"/>
        </w:rPr>
        <w:lastRenderedPageBreak/>
        <w:t>Amount of Assistance</w:t>
      </w:r>
    </w:p>
    <w:p w14:paraId="406EE31C" w14:textId="7E5B3751" w:rsidR="0034655E" w:rsidRPr="008B0F3E" w:rsidRDefault="00063667">
      <w:pPr>
        <w:pStyle w:val="NoSpacing"/>
        <w:ind w:left="720"/>
        <w:rPr>
          <w:rFonts w:cs="Times New Roman"/>
        </w:rPr>
      </w:pPr>
      <w:r w:rsidRPr="00ED208F">
        <w:rPr>
          <w:rFonts w:cs="Times New Roman"/>
        </w:rPr>
        <w:t>STSH</w:t>
      </w:r>
      <w:r w:rsidR="0034655E" w:rsidRPr="008B0F3E">
        <w:rPr>
          <w:rFonts w:cs="Times New Roman"/>
        </w:rPr>
        <w:t xml:space="preserve"> does not require </w:t>
      </w:r>
      <w:r w:rsidR="0034655E" w:rsidRPr="004F45E0">
        <w:rPr>
          <w:rFonts w:cs="Times New Roman"/>
        </w:rPr>
        <w:t>household</w:t>
      </w:r>
      <w:r w:rsidRPr="00ED208F">
        <w:rPr>
          <w:rFonts w:cs="Times New Roman"/>
        </w:rPr>
        <w:t>s</w:t>
      </w:r>
      <w:r w:rsidR="0034655E" w:rsidRPr="008B0F3E">
        <w:rPr>
          <w:rFonts w:cs="Times New Roman"/>
        </w:rPr>
        <w:t xml:space="preserve"> to pay a portion of their </w:t>
      </w:r>
      <w:r w:rsidRPr="00ED208F">
        <w:rPr>
          <w:rFonts w:cs="Times New Roman"/>
        </w:rPr>
        <w:t>temporary shelter</w:t>
      </w:r>
      <w:r w:rsidR="0034655E" w:rsidRPr="008B0F3E">
        <w:rPr>
          <w:rFonts w:cs="Times New Roman"/>
        </w:rPr>
        <w:t xml:space="preserve"> costs</w:t>
      </w:r>
      <w:r w:rsidRPr="00ED208F">
        <w:rPr>
          <w:rFonts w:cs="Times New Roman"/>
        </w:rPr>
        <w:t>.</w:t>
      </w:r>
      <w:r w:rsidR="0034655E" w:rsidRPr="008B0F3E">
        <w:rPr>
          <w:rFonts w:cs="Times New Roman"/>
        </w:rPr>
        <w:t xml:space="preserve"> </w:t>
      </w:r>
      <w:r w:rsidRPr="00ED208F">
        <w:rPr>
          <w:rFonts w:cs="Times New Roman"/>
        </w:rPr>
        <w:t>I</w:t>
      </w:r>
      <w:r w:rsidR="0034655E" w:rsidRPr="008B0F3E">
        <w:rPr>
          <w:rFonts w:cs="Times New Roman"/>
        </w:rPr>
        <w:t xml:space="preserve">f a household </w:t>
      </w:r>
      <w:r w:rsidR="00A40999" w:rsidRPr="008B0F3E">
        <w:rPr>
          <w:rFonts w:cs="Times New Roman"/>
        </w:rPr>
        <w:t>can pay</w:t>
      </w:r>
      <w:r w:rsidR="0034655E" w:rsidRPr="008B0F3E">
        <w:rPr>
          <w:rFonts w:cs="Times New Roman"/>
        </w:rPr>
        <w:t xml:space="preserve"> some of their </w:t>
      </w:r>
      <w:r w:rsidRPr="00ED208F">
        <w:rPr>
          <w:rFonts w:cs="Times New Roman"/>
        </w:rPr>
        <w:t>temporary shelter costs</w:t>
      </w:r>
      <w:r w:rsidR="0034655E" w:rsidRPr="008B0F3E">
        <w:rPr>
          <w:rFonts w:cs="Times New Roman"/>
        </w:rPr>
        <w:t>, Project Sponsors may negotiate an appropriate household</w:t>
      </w:r>
      <w:r w:rsidR="0034655E" w:rsidRPr="004F45E0">
        <w:rPr>
          <w:rFonts w:cs="Times New Roman"/>
        </w:rPr>
        <w:t xml:space="preserve"> contribution. Such determinations limit </w:t>
      </w:r>
      <w:r w:rsidR="00EF6F7B" w:rsidRPr="00ED208F">
        <w:rPr>
          <w:rFonts w:cs="Times New Roman"/>
        </w:rPr>
        <w:t>STSH</w:t>
      </w:r>
      <w:r w:rsidR="0034655E" w:rsidRPr="008B0F3E">
        <w:rPr>
          <w:rFonts w:cs="Times New Roman"/>
        </w:rPr>
        <w:t xml:space="preserve"> assistance to the difference between the </w:t>
      </w:r>
      <w:r w:rsidR="00EF6F7B" w:rsidRPr="00ED208F">
        <w:rPr>
          <w:rFonts w:cs="Times New Roman"/>
        </w:rPr>
        <w:t>c</w:t>
      </w:r>
      <w:r w:rsidR="004F45E0" w:rsidRPr="008B0F3E">
        <w:rPr>
          <w:rFonts w:cs="Times New Roman"/>
        </w:rPr>
        <w:t>ost</w:t>
      </w:r>
      <w:r w:rsidR="00EF6F7B" w:rsidRPr="00ED208F">
        <w:rPr>
          <w:rFonts w:cs="Times New Roman"/>
        </w:rPr>
        <w:t xml:space="preserve"> </w:t>
      </w:r>
      <w:r w:rsidR="004F45E0">
        <w:rPr>
          <w:rFonts w:cs="Times New Roman"/>
        </w:rPr>
        <w:t>of</w:t>
      </w:r>
      <w:r w:rsidR="00EF6F7B" w:rsidRPr="00ED208F">
        <w:rPr>
          <w:rFonts w:cs="Times New Roman"/>
        </w:rPr>
        <w:t xml:space="preserve"> </w:t>
      </w:r>
      <w:r w:rsidR="00D41AE4">
        <w:rPr>
          <w:rFonts w:cs="Times New Roman"/>
        </w:rPr>
        <w:t xml:space="preserve">the </w:t>
      </w:r>
      <w:r w:rsidR="00EF6F7B" w:rsidRPr="00ED208F">
        <w:rPr>
          <w:rFonts w:cs="Times New Roman"/>
        </w:rPr>
        <w:t>temporary shelter</w:t>
      </w:r>
      <w:r w:rsidR="0034655E" w:rsidRPr="008B0F3E">
        <w:rPr>
          <w:rFonts w:cs="Times New Roman"/>
        </w:rPr>
        <w:t xml:space="preserve"> and the amount the household </w:t>
      </w:r>
      <w:r w:rsidR="00A40999" w:rsidRPr="008B0F3E">
        <w:rPr>
          <w:rFonts w:cs="Times New Roman"/>
        </w:rPr>
        <w:t>can</w:t>
      </w:r>
      <w:r w:rsidR="0034655E" w:rsidRPr="008B0F3E">
        <w:rPr>
          <w:rFonts w:cs="Times New Roman"/>
        </w:rPr>
        <w:t xml:space="preserve"> pay. Project Sponsors should document any contributions made by a household towards their </w:t>
      </w:r>
      <w:r w:rsidR="00EF6F7B" w:rsidRPr="00ED208F">
        <w:rPr>
          <w:rFonts w:cs="Times New Roman"/>
        </w:rPr>
        <w:t xml:space="preserve">temporary shelter </w:t>
      </w:r>
      <w:r w:rsidR="0034655E" w:rsidRPr="008B0F3E">
        <w:rPr>
          <w:rFonts w:cs="Times New Roman"/>
        </w:rPr>
        <w:t xml:space="preserve">costs. This ensures </w:t>
      </w:r>
      <w:r w:rsidR="00D41AE4">
        <w:rPr>
          <w:rFonts w:cs="Times New Roman"/>
        </w:rPr>
        <w:t>full payment of the amounts due</w:t>
      </w:r>
      <w:r w:rsidR="0034655E" w:rsidRPr="008B0F3E">
        <w:rPr>
          <w:rFonts w:cs="Times New Roman"/>
        </w:rPr>
        <w:t xml:space="preserve"> and </w:t>
      </w:r>
      <w:r w:rsidR="00AA4CC8" w:rsidRPr="00ED208F">
        <w:rPr>
          <w:rFonts w:cs="Times New Roman"/>
        </w:rPr>
        <w:t>maintains</w:t>
      </w:r>
      <w:r w:rsidR="00EF6F7B" w:rsidRPr="00ED208F">
        <w:rPr>
          <w:rFonts w:cs="Times New Roman"/>
        </w:rPr>
        <w:t xml:space="preserve"> the </w:t>
      </w:r>
      <w:r w:rsidR="00AA4CC8" w:rsidRPr="00ED208F">
        <w:rPr>
          <w:rFonts w:cs="Times New Roman"/>
        </w:rPr>
        <w:t>household’s good standing</w:t>
      </w:r>
      <w:r w:rsidR="00EF6F7B" w:rsidRPr="00ED208F">
        <w:rPr>
          <w:rFonts w:cs="Times New Roman"/>
        </w:rPr>
        <w:t xml:space="preserve"> with the </w:t>
      </w:r>
      <w:r w:rsidR="00876AD1">
        <w:rPr>
          <w:rFonts w:cs="Times New Roman"/>
        </w:rPr>
        <w:t>Project Sponsor</w:t>
      </w:r>
      <w:r w:rsidR="00EF6F7B" w:rsidRPr="00ED208F">
        <w:rPr>
          <w:rFonts w:cs="Times New Roman"/>
        </w:rPr>
        <w:t xml:space="preserve"> or </w:t>
      </w:r>
      <w:r w:rsidR="001B7FAB">
        <w:rPr>
          <w:rFonts w:cs="Times New Roman"/>
        </w:rPr>
        <w:t>independent temporary shelter vendor</w:t>
      </w:r>
      <w:r w:rsidR="00EF6F7B" w:rsidRPr="00ED208F">
        <w:rPr>
          <w:rFonts w:cs="Times New Roman"/>
        </w:rPr>
        <w:t>.</w:t>
      </w:r>
    </w:p>
    <w:p w14:paraId="790B9298" w14:textId="77777777" w:rsidR="0034655E" w:rsidRPr="00ED208F" w:rsidRDefault="0034655E">
      <w:pPr>
        <w:pStyle w:val="NoSpacing"/>
        <w:ind w:left="720"/>
        <w:rPr>
          <w:rFonts w:cs="Times New Roman"/>
          <w:highlight w:val="yellow"/>
        </w:rPr>
      </w:pPr>
    </w:p>
    <w:p w14:paraId="4C03C0DD" w14:textId="27F8CECA" w:rsidR="0034655E" w:rsidRDefault="0034655E">
      <w:pPr>
        <w:pStyle w:val="NoSpacing"/>
        <w:ind w:left="720"/>
        <w:rPr>
          <w:rFonts w:cs="Times New Roman"/>
        </w:rPr>
      </w:pPr>
      <w:r w:rsidRPr="008B0F3E">
        <w:rPr>
          <w:rFonts w:cs="Times New Roman"/>
        </w:rPr>
        <w:t xml:space="preserve">For example, </w:t>
      </w:r>
      <w:r w:rsidR="00D41AE4">
        <w:rPr>
          <w:rFonts w:cs="Times New Roman"/>
        </w:rPr>
        <w:t xml:space="preserve">say a household’s </w:t>
      </w:r>
      <w:r w:rsidR="00D41AE4" w:rsidRPr="00ED208F">
        <w:rPr>
          <w:rFonts w:cs="Times New Roman"/>
        </w:rPr>
        <w:t>motel stay</w:t>
      </w:r>
      <w:r w:rsidR="00D41AE4" w:rsidRPr="008B0F3E">
        <w:rPr>
          <w:rFonts w:cs="Times New Roman"/>
        </w:rPr>
        <w:t xml:space="preserve"> (</w:t>
      </w:r>
      <w:r w:rsidR="00D41AE4" w:rsidRPr="00ED208F">
        <w:rPr>
          <w:rFonts w:cs="Times New Roman"/>
        </w:rPr>
        <w:t>7</w:t>
      </w:r>
      <w:r w:rsidR="00D41AE4" w:rsidRPr="008B0F3E">
        <w:rPr>
          <w:rFonts w:cs="Times New Roman"/>
        </w:rPr>
        <w:t xml:space="preserve"> </w:t>
      </w:r>
      <w:r w:rsidR="00D41AE4" w:rsidRPr="00ED208F">
        <w:rPr>
          <w:rFonts w:cs="Times New Roman"/>
        </w:rPr>
        <w:t>nights</w:t>
      </w:r>
      <w:r w:rsidR="00D41AE4" w:rsidRPr="008B0F3E">
        <w:rPr>
          <w:rFonts w:cs="Times New Roman"/>
        </w:rPr>
        <w:t>)</w:t>
      </w:r>
      <w:r w:rsidR="00D41AE4">
        <w:rPr>
          <w:rFonts w:cs="Times New Roman"/>
        </w:rPr>
        <w:t xml:space="preserve"> equals </w:t>
      </w:r>
      <w:r w:rsidR="00D41AE4" w:rsidRPr="008B0F3E">
        <w:rPr>
          <w:rFonts w:cs="Times New Roman"/>
        </w:rPr>
        <w:t>$</w:t>
      </w:r>
      <w:r w:rsidR="00D41AE4" w:rsidRPr="00ED208F">
        <w:rPr>
          <w:rFonts w:cs="Times New Roman"/>
        </w:rPr>
        <w:t>511</w:t>
      </w:r>
      <w:r w:rsidR="00D41AE4" w:rsidRPr="008B0F3E">
        <w:rPr>
          <w:rFonts w:cs="Times New Roman"/>
        </w:rPr>
        <w:t>.</w:t>
      </w:r>
      <w:r w:rsidR="00D41AE4" w:rsidRPr="00ED208F">
        <w:rPr>
          <w:rFonts w:cs="Times New Roman"/>
        </w:rPr>
        <w:t>68</w:t>
      </w:r>
      <w:r w:rsidR="00D41AE4">
        <w:rPr>
          <w:rFonts w:cs="Times New Roman"/>
        </w:rPr>
        <w:t xml:space="preserve">, and the household and </w:t>
      </w:r>
      <w:r w:rsidRPr="008B0F3E">
        <w:rPr>
          <w:rFonts w:cs="Times New Roman"/>
        </w:rPr>
        <w:t xml:space="preserve">Project Sponsor </w:t>
      </w:r>
      <w:r w:rsidR="00A24B34">
        <w:rPr>
          <w:rFonts w:cs="Times New Roman"/>
        </w:rPr>
        <w:t>will</w:t>
      </w:r>
      <w:r w:rsidR="00AA4CC8" w:rsidRPr="00ED208F">
        <w:rPr>
          <w:rFonts w:cs="Times New Roman"/>
        </w:rPr>
        <w:t xml:space="preserve"> pay $90</w:t>
      </w:r>
      <w:r w:rsidRPr="008B0F3E">
        <w:rPr>
          <w:rFonts w:cs="Times New Roman"/>
        </w:rPr>
        <w:t>.00</w:t>
      </w:r>
      <w:r w:rsidR="00A24B34">
        <w:rPr>
          <w:rFonts w:cs="Times New Roman"/>
        </w:rPr>
        <w:t xml:space="preserve"> and $421.68 respectively</w:t>
      </w:r>
      <w:r w:rsidR="00A40999">
        <w:rPr>
          <w:rFonts w:cs="Times New Roman"/>
        </w:rPr>
        <w:t xml:space="preserve">. </w:t>
      </w:r>
      <w:r w:rsidRPr="008B0F3E">
        <w:rPr>
          <w:rFonts w:cs="Times New Roman"/>
        </w:rPr>
        <w:t xml:space="preserve">For </w:t>
      </w:r>
      <w:r w:rsidR="00A24B34">
        <w:rPr>
          <w:rFonts w:cs="Times New Roman"/>
        </w:rPr>
        <w:t>60-night tracking,</w:t>
      </w:r>
      <w:r w:rsidRPr="008B0F3E">
        <w:rPr>
          <w:rFonts w:cs="Times New Roman"/>
        </w:rPr>
        <w:t xml:space="preserve"> the </w:t>
      </w:r>
      <w:r w:rsidR="00A24B34">
        <w:rPr>
          <w:rFonts w:cs="Times New Roman"/>
        </w:rPr>
        <w:t>Project Sponsor only counts the nights paid</w:t>
      </w:r>
      <w:r w:rsidRPr="008B0F3E">
        <w:rPr>
          <w:rFonts w:cs="Times New Roman"/>
        </w:rPr>
        <w:t xml:space="preserve"> by </w:t>
      </w:r>
      <w:r w:rsidR="00AA4CC8" w:rsidRPr="00ED208F">
        <w:rPr>
          <w:rFonts w:cs="Times New Roman"/>
        </w:rPr>
        <w:t>STSH</w:t>
      </w:r>
      <w:r w:rsidRPr="008B0F3E">
        <w:rPr>
          <w:rFonts w:cs="Times New Roman"/>
        </w:rPr>
        <w:t xml:space="preserve">. </w:t>
      </w:r>
      <w:r w:rsidR="00A24B34">
        <w:rPr>
          <w:rFonts w:cs="Times New Roman"/>
        </w:rPr>
        <w:t>With rounding, this payment counts as</w:t>
      </w:r>
      <w:r w:rsidRPr="008B0F3E">
        <w:rPr>
          <w:rFonts w:cs="Times New Roman"/>
        </w:rPr>
        <w:t xml:space="preserve"> </w:t>
      </w:r>
      <w:r w:rsidR="004F45E0" w:rsidRPr="00ED208F">
        <w:rPr>
          <w:rFonts w:cs="Times New Roman"/>
        </w:rPr>
        <w:t>6</w:t>
      </w:r>
      <w:r w:rsidRPr="008B0F3E">
        <w:rPr>
          <w:rFonts w:cs="Times New Roman"/>
        </w:rPr>
        <w:t xml:space="preserve"> </w:t>
      </w:r>
      <w:r w:rsidR="00AA4CC8" w:rsidRPr="00ED208F">
        <w:rPr>
          <w:rFonts w:cs="Times New Roman"/>
        </w:rPr>
        <w:t>nights</w:t>
      </w:r>
      <w:r w:rsidR="00A24B34">
        <w:rPr>
          <w:rFonts w:cs="Times New Roman"/>
        </w:rPr>
        <w:t xml:space="preserve"> of assistance.</w:t>
      </w:r>
      <w:r w:rsidR="008319F7">
        <w:rPr>
          <w:rFonts w:cs="Times New Roman"/>
        </w:rPr>
        <w:t xml:space="preserve"> T</w:t>
      </w:r>
      <w:r w:rsidRPr="008B0F3E">
        <w:rPr>
          <w:rFonts w:cs="Times New Roman"/>
        </w:rPr>
        <w:t xml:space="preserve">he household’s </w:t>
      </w:r>
      <w:r w:rsidR="00A24B34">
        <w:rPr>
          <w:rFonts w:cs="Times New Roman"/>
        </w:rPr>
        <w:t>contribution does not count against the 60-night limit</w:t>
      </w:r>
      <w:r w:rsidRPr="008B0F3E">
        <w:rPr>
          <w:rFonts w:cs="Times New Roman"/>
        </w:rPr>
        <w:t xml:space="preserve">. If the household </w:t>
      </w:r>
      <w:r w:rsidR="00A24B34">
        <w:rPr>
          <w:rFonts w:cs="Times New Roman"/>
        </w:rPr>
        <w:t>needs</w:t>
      </w:r>
      <w:r w:rsidR="00A24B34" w:rsidRPr="008B0F3E">
        <w:rPr>
          <w:rFonts w:cs="Times New Roman"/>
        </w:rPr>
        <w:t xml:space="preserve"> </w:t>
      </w:r>
      <w:r w:rsidRPr="008B0F3E">
        <w:rPr>
          <w:rFonts w:cs="Times New Roman"/>
        </w:rPr>
        <w:t xml:space="preserve">further assistance in the same </w:t>
      </w:r>
      <w:r w:rsidR="004F45E0" w:rsidRPr="00ED208F">
        <w:rPr>
          <w:rFonts w:cs="Times New Roman"/>
        </w:rPr>
        <w:t>six</w:t>
      </w:r>
      <w:r w:rsidRPr="008B0F3E">
        <w:rPr>
          <w:rFonts w:cs="Times New Roman"/>
        </w:rPr>
        <w:t>-</w:t>
      </w:r>
      <w:r w:rsidR="004F45E0" w:rsidRPr="00ED208F">
        <w:rPr>
          <w:rFonts w:cs="Times New Roman"/>
        </w:rPr>
        <w:t>month</w:t>
      </w:r>
      <w:r w:rsidRPr="008B0F3E">
        <w:rPr>
          <w:rFonts w:cs="Times New Roman"/>
        </w:rPr>
        <w:t xml:space="preserve"> period, </w:t>
      </w:r>
      <w:r w:rsidR="00A24B34">
        <w:rPr>
          <w:rFonts w:cs="Times New Roman"/>
        </w:rPr>
        <w:t>they will</w:t>
      </w:r>
      <w:r w:rsidRPr="004F45E0">
        <w:rPr>
          <w:rFonts w:cs="Times New Roman"/>
        </w:rPr>
        <w:t xml:space="preserve"> have more time remaining in </w:t>
      </w:r>
      <w:r w:rsidR="00A24B34">
        <w:rPr>
          <w:rFonts w:cs="Times New Roman"/>
        </w:rPr>
        <w:t>their</w:t>
      </w:r>
      <w:r w:rsidR="00A24B34" w:rsidRPr="004F45E0">
        <w:rPr>
          <w:rFonts w:cs="Times New Roman"/>
        </w:rPr>
        <w:t xml:space="preserve"> </w:t>
      </w:r>
      <w:r w:rsidR="004F45E0" w:rsidRPr="00ED208F">
        <w:rPr>
          <w:rFonts w:cs="Times New Roman"/>
        </w:rPr>
        <w:t>60</w:t>
      </w:r>
      <w:r w:rsidRPr="008B0F3E">
        <w:rPr>
          <w:rFonts w:cs="Times New Roman"/>
        </w:rPr>
        <w:t>-</w:t>
      </w:r>
      <w:r w:rsidR="004F45E0" w:rsidRPr="00ED208F">
        <w:rPr>
          <w:rFonts w:cs="Times New Roman"/>
        </w:rPr>
        <w:t>night</w:t>
      </w:r>
      <w:r w:rsidRPr="008B0F3E">
        <w:rPr>
          <w:rFonts w:cs="Times New Roman"/>
        </w:rPr>
        <w:t xml:space="preserve"> </w:t>
      </w:r>
      <w:r w:rsidR="00A24B34">
        <w:rPr>
          <w:rFonts w:cs="Times New Roman"/>
        </w:rPr>
        <w:t>limit</w:t>
      </w:r>
      <w:r w:rsidRPr="008B0F3E">
        <w:rPr>
          <w:rFonts w:cs="Times New Roman"/>
        </w:rPr>
        <w:t xml:space="preserve"> than if </w:t>
      </w:r>
      <w:r w:rsidR="00A24B34">
        <w:rPr>
          <w:rFonts w:cs="Times New Roman"/>
        </w:rPr>
        <w:t>they</w:t>
      </w:r>
      <w:r w:rsidRPr="008B0F3E">
        <w:rPr>
          <w:rFonts w:cs="Times New Roman"/>
        </w:rPr>
        <w:t xml:space="preserve"> had not </w:t>
      </w:r>
      <w:r w:rsidR="000A08A7" w:rsidRPr="008B0F3E">
        <w:rPr>
          <w:rFonts w:cs="Times New Roman"/>
        </w:rPr>
        <w:t>contributed</w:t>
      </w:r>
      <w:r w:rsidR="00A24B34">
        <w:rPr>
          <w:rFonts w:cs="Times New Roman"/>
        </w:rPr>
        <w:t xml:space="preserve"> toward their temporary she</w:t>
      </w:r>
      <w:r w:rsidR="004F45E0" w:rsidRPr="00ED208F">
        <w:rPr>
          <w:rFonts w:cs="Times New Roman"/>
        </w:rPr>
        <w:t>lter cost</w:t>
      </w:r>
      <w:r w:rsidRPr="008B0F3E">
        <w:rPr>
          <w:rFonts w:cs="Times New Roman"/>
        </w:rPr>
        <w:t>.</w:t>
      </w:r>
    </w:p>
    <w:p w14:paraId="124C0F8B" w14:textId="77777777" w:rsidR="0020236B" w:rsidRDefault="0020236B">
      <w:pPr>
        <w:pStyle w:val="NoSpacing"/>
        <w:ind w:left="720"/>
        <w:rPr>
          <w:rFonts w:cs="Times New Roman"/>
        </w:rPr>
      </w:pPr>
    </w:p>
    <w:p w14:paraId="7DEFA944" w14:textId="4E464F96" w:rsidR="00A45632" w:rsidRDefault="00A45632" w:rsidP="00066B7E">
      <w:pPr>
        <w:pStyle w:val="Heading4"/>
      </w:pPr>
      <w:r w:rsidRPr="00A45632">
        <w:t>Transitional Supportive Housing (TSH) Services</w:t>
      </w:r>
    </w:p>
    <w:p w14:paraId="4B5E6D90" w14:textId="77777777" w:rsidR="0034655E" w:rsidRPr="00997CAD" w:rsidRDefault="0034655E" w:rsidP="000E4A24">
      <w:pPr>
        <w:pStyle w:val="NoSpacing"/>
        <w:numPr>
          <w:ilvl w:val="1"/>
          <w:numId w:val="86"/>
        </w:numPr>
        <w:rPr>
          <w:rFonts w:cs="Times New Roman"/>
          <w:b/>
          <w:u w:val="single"/>
        </w:rPr>
      </w:pPr>
      <w:r w:rsidRPr="00997CAD">
        <w:rPr>
          <w:rFonts w:cs="Times New Roman"/>
          <w:b/>
          <w:u w:val="single"/>
        </w:rPr>
        <w:t>Purpose</w:t>
      </w:r>
    </w:p>
    <w:p w14:paraId="009DFACB" w14:textId="049439C4" w:rsidR="0034655E" w:rsidRDefault="0034655E">
      <w:pPr>
        <w:pStyle w:val="NoSpacing"/>
        <w:ind w:left="720"/>
        <w:rPr>
          <w:rFonts w:cs="Times New Roman"/>
        </w:rPr>
      </w:pPr>
      <w:r w:rsidRPr="008B0F3E">
        <w:rPr>
          <w:rFonts w:cs="Times New Roman"/>
        </w:rPr>
        <w:t>T</w:t>
      </w:r>
      <w:r w:rsidR="008945AD" w:rsidRPr="00ED208F">
        <w:rPr>
          <w:rFonts w:cs="Times New Roman"/>
        </w:rPr>
        <w:t>SH</w:t>
      </w:r>
      <w:r w:rsidRPr="008B0F3E">
        <w:rPr>
          <w:rFonts w:cs="Times New Roman"/>
        </w:rPr>
        <w:t xml:space="preserve"> </w:t>
      </w:r>
      <w:r w:rsidR="008945AD" w:rsidRPr="008945AD">
        <w:rPr>
          <w:rFonts w:cs="Times New Roman"/>
        </w:rPr>
        <w:t xml:space="preserve">provides up to 24 cumulative months of </w:t>
      </w:r>
      <w:r w:rsidR="005E2C25">
        <w:rPr>
          <w:rFonts w:cs="Times New Roman"/>
        </w:rPr>
        <w:t xml:space="preserve">non-portable </w:t>
      </w:r>
      <w:r w:rsidR="008367C1">
        <w:rPr>
          <w:rFonts w:cs="Times New Roman"/>
        </w:rPr>
        <w:t>facility-based rental assistance</w:t>
      </w:r>
      <w:r w:rsidR="008945AD" w:rsidRPr="008B0F3E">
        <w:rPr>
          <w:rFonts w:cs="Times New Roman"/>
        </w:rPr>
        <w:t xml:space="preserve"> to </w:t>
      </w:r>
      <w:r w:rsidR="008945AD" w:rsidRPr="008945AD">
        <w:rPr>
          <w:rFonts w:cs="Times New Roman"/>
        </w:rPr>
        <w:t>households that are homeless or at risk of homelessness</w:t>
      </w:r>
      <w:r w:rsidRPr="008945AD">
        <w:rPr>
          <w:rFonts w:cs="Times New Roman"/>
        </w:rPr>
        <w:t>, including assistance for shared housing arrangements</w:t>
      </w:r>
      <w:r w:rsidR="008945AD" w:rsidRPr="00ED208F">
        <w:rPr>
          <w:rFonts w:cs="Times New Roman"/>
        </w:rPr>
        <w:t xml:space="preserve">. </w:t>
      </w:r>
      <w:r w:rsidR="007B7A59">
        <w:rPr>
          <w:rFonts w:cs="Times New Roman"/>
        </w:rPr>
        <w:t>Services allow households</w:t>
      </w:r>
      <w:r w:rsidR="00FC5657" w:rsidRPr="00FC5657">
        <w:rPr>
          <w:rFonts w:cs="Times New Roman"/>
        </w:rPr>
        <w:t xml:space="preserve"> </w:t>
      </w:r>
      <w:r w:rsidR="00FC5657">
        <w:rPr>
          <w:rFonts w:cs="Times New Roman"/>
        </w:rPr>
        <w:t>to prepare for permanent housing and</w:t>
      </w:r>
      <w:r w:rsidR="00FC5657" w:rsidRPr="00FC5657">
        <w:rPr>
          <w:rFonts w:cs="Times New Roman"/>
        </w:rPr>
        <w:t xml:space="preserve"> develop individualized housing plans that </w:t>
      </w:r>
      <w:r w:rsidR="0083322E">
        <w:rPr>
          <w:rFonts w:cs="Times New Roman"/>
        </w:rPr>
        <w:t>culminate in</w:t>
      </w:r>
      <w:r w:rsidR="00812472">
        <w:rPr>
          <w:rFonts w:cs="Times New Roman"/>
        </w:rPr>
        <w:t xml:space="preserve"> permanent housing. TSH </w:t>
      </w:r>
      <w:r w:rsidR="006F7279">
        <w:rPr>
          <w:rFonts w:cs="Times New Roman"/>
        </w:rPr>
        <w:t>affords</w:t>
      </w:r>
      <w:r w:rsidR="00DB665C">
        <w:rPr>
          <w:rFonts w:cs="Times New Roman"/>
        </w:rPr>
        <w:t xml:space="preserve"> </w:t>
      </w:r>
      <w:r w:rsidR="00812472">
        <w:rPr>
          <w:rFonts w:cs="Times New Roman"/>
        </w:rPr>
        <w:t xml:space="preserve">interim </w:t>
      </w:r>
      <w:r w:rsidR="00DB665C">
        <w:rPr>
          <w:rFonts w:cs="Times New Roman"/>
        </w:rPr>
        <w:t xml:space="preserve">service-enriched </w:t>
      </w:r>
      <w:r w:rsidR="00812472">
        <w:rPr>
          <w:rFonts w:cs="Times New Roman"/>
        </w:rPr>
        <w:t>residential setting</w:t>
      </w:r>
      <w:r w:rsidR="00DB665C">
        <w:rPr>
          <w:rFonts w:cs="Times New Roman"/>
        </w:rPr>
        <w:t>s</w:t>
      </w:r>
      <w:r w:rsidR="00812472">
        <w:rPr>
          <w:rFonts w:cs="Times New Roman"/>
        </w:rPr>
        <w:t xml:space="preserve"> </w:t>
      </w:r>
      <w:r w:rsidR="006F7279">
        <w:rPr>
          <w:rFonts w:cs="Times New Roman"/>
        </w:rPr>
        <w:t>to</w:t>
      </w:r>
      <w:r w:rsidRPr="008B0F3E">
        <w:rPr>
          <w:rFonts w:cs="Times New Roman"/>
        </w:rPr>
        <w:t xml:space="preserve"> </w:t>
      </w:r>
      <w:r w:rsidR="00690CAF">
        <w:rPr>
          <w:rFonts w:cs="Times New Roman"/>
        </w:rPr>
        <w:t>households</w:t>
      </w:r>
      <w:r w:rsidRPr="008B0F3E">
        <w:rPr>
          <w:rFonts w:cs="Times New Roman"/>
        </w:rPr>
        <w:t xml:space="preserve"> </w:t>
      </w:r>
      <w:r w:rsidR="006F7279">
        <w:rPr>
          <w:rFonts w:cs="Times New Roman"/>
        </w:rPr>
        <w:t xml:space="preserve">until they </w:t>
      </w:r>
      <w:r w:rsidR="00812472">
        <w:rPr>
          <w:rFonts w:cs="Times New Roman"/>
        </w:rPr>
        <w:t>transition</w:t>
      </w:r>
      <w:r w:rsidR="008945AD" w:rsidRPr="00ED208F">
        <w:rPr>
          <w:rFonts w:cs="Times New Roman"/>
        </w:rPr>
        <w:t xml:space="preserve"> to TBRA services or </w:t>
      </w:r>
      <w:r w:rsidRPr="008B0F3E">
        <w:rPr>
          <w:rFonts w:cs="Times New Roman"/>
        </w:rPr>
        <w:t xml:space="preserve">enroll in the </w:t>
      </w:r>
      <w:r w:rsidR="00863178" w:rsidRPr="00863178">
        <w:rPr>
          <w:rFonts w:cs="Times New Roman"/>
        </w:rPr>
        <w:t>Housing Choice Voucher Program (HCVP)</w:t>
      </w:r>
      <w:r w:rsidRPr="008B0F3E">
        <w:rPr>
          <w:rFonts w:cs="Times New Roman"/>
        </w:rPr>
        <w:t xml:space="preserve"> or other affordable housing programs. </w:t>
      </w:r>
      <w:r w:rsidR="00DB665C" w:rsidRPr="00DB665C">
        <w:rPr>
          <w:rFonts w:cs="Times New Roman"/>
        </w:rPr>
        <w:t xml:space="preserve">Unlike </w:t>
      </w:r>
      <w:r w:rsidR="001F10BA">
        <w:rPr>
          <w:rFonts w:cs="Times New Roman"/>
        </w:rPr>
        <w:t>TBRA</w:t>
      </w:r>
      <w:r w:rsidR="00DB665C" w:rsidRPr="00DB665C">
        <w:rPr>
          <w:rFonts w:cs="Times New Roman"/>
        </w:rPr>
        <w:t xml:space="preserve">, </w:t>
      </w:r>
      <w:r w:rsidR="00BB1AF9" w:rsidRPr="00BB1AF9">
        <w:rPr>
          <w:rFonts w:cs="Times New Roman"/>
        </w:rPr>
        <w:t>services link to a specific unit or building.</w:t>
      </w:r>
      <w:r w:rsidR="00BB1AF9">
        <w:rPr>
          <w:rFonts w:cs="Times New Roman"/>
        </w:rPr>
        <w:t xml:space="preserve"> I</w:t>
      </w:r>
      <w:r w:rsidR="00FD0FCE" w:rsidRPr="00FD0FCE">
        <w:rPr>
          <w:rFonts w:cs="Times New Roman"/>
        </w:rPr>
        <w:t xml:space="preserve">f </w:t>
      </w:r>
      <w:r w:rsidR="00FD0FCE">
        <w:rPr>
          <w:rFonts w:cs="Times New Roman"/>
        </w:rPr>
        <w:t>a</w:t>
      </w:r>
      <w:r w:rsidR="00FD0FCE" w:rsidRPr="00FD0FCE">
        <w:rPr>
          <w:rFonts w:cs="Times New Roman"/>
        </w:rPr>
        <w:t xml:space="preserve"> household moves out of the</w:t>
      </w:r>
      <w:r w:rsidR="00FD0FCE">
        <w:rPr>
          <w:rFonts w:cs="Times New Roman"/>
        </w:rPr>
        <w:t>ir</w:t>
      </w:r>
      <w:r w:rsidR="00FD0FCE" w:rsidRPr="00FD0FCE">
        <w:rPr>
          <w:rFonts w:cs="Times New Roman"/>
        </w:rPr>
        <w:t xml:space="preserve"> unit, </w:t>
      </w:r>
      <w:r w:rsidR="00FD0FCE">
        <w:rPr>
          <w:rFonts w:cs="Times New Roman"/>
        </w:rPr>
        <w:t>they</w:t>
      </w:r>
      <w:r w:rsidR="00FD0FCE" w:rsidRPr="00FD0FCE">
        <w:rPr>
          <w:rFonts w:cs="Times New Roman"/>
        </w:rPr>
        <w:t xml:space="preserve"> </w:t>
      </w:r>
      <w:r w:rsidR="00FD0FCE">
        <w:rPr>
          <w:rFonts w:cs="Times New Roman"/>
        </w:rPr>
        <w:t xml:space="preserve">cannot </w:t>
      </w:r>
      <w:r w:rsidR="00FD0FCE" w:rsidRPr="00FD0FCE">
        <w:rPr>
          <w:rFonts w:cs="Times New Roman"/>
        </w:rPr>
        <w:t>transfer the</w:t>
      </w:r>
      <w:r w:rsidR="00FD0FCE">
        <w:rPr>
          <w:rFonts w:cs="Times New Roman"/>
        </w:rPr>
        <w:t>ir</w:t>
      </w:r>
      <w:r w:rsidR="00FD0FCE" w:rsidRPr="00FD0FCE">
        <w:rPr>
          <w:rFonts w:cs="Times New Roman"/>
        </w:rPr>
        <w:t xml:space="preserve"> assistance to another unit.</w:t>
      </w:r>
      <w:r w:rsidR="00FD0FCE">
        <w:rPr>
          <w:rFonts w:cs="Times New Roman"/>
        </w:rPr>
        <w:t xml:space="preserve"> </w:t>
      </w:r>
      <w:r w:rsidR="00DB665C">
        <w:rPr>
          <w:rFonts w:cs="Times New Roman"/>
        </w:rPr>
        <w:t>TSH</w:t>
      </w:r>
      <w:r w:rsidRPr="008B0F3E">
        <w:rPr>
          <w:rFonts w:cs="Times New Roman"/>
        </w:rPr>
        <w:t xml:space="preserve"> households that fail to a</w:t>
      </w:r>
      <w:r w:rsidRPr="008945AD">
        <w:rPr>
          <w:rFonts w:cs="Times New Roman"/>
        </w:rPr>
        <w:t>pply for the HCVP and other affordable housing programs, renew applications as required, and/or accept assistance as offered may be terminated from the program (see Section 11. Linkage with Other Affordable Housing Programs).</w:t>
      </w:r>
    </w:p>
    <w:p w14:paraId="739514C5" w14:textId="53DA426B" w:rsidR="003C168B" w:rsidRPr="00C9153E" w:rsidRDefault="003C168B">
      <w:pPr>
        <w:pStyle w:val="NoSpacing"/>
        <w:ind w:left="720"/>
        <w:rPr>
          <w:rFonts w:cs="Times New Roman"/>
          <w:color w:val="C00000"/>
        </w:rPr>
      </w:pPr>
      <w:r w:rsidRPr="004A1376">
        <w:rPr>
          <w:rFonts w:cs="Times New Roman"/>
          <w:b/>
          <w:color w:val="C00000"/>
        </w:rPr>
        <w:t>NOTE:</w:t>
      </w:r>
      <w:r w:rsidRPr="004A1376">
        <w:rPr>
          <w:rFonts w:cs="Times New Roman"/>
          <w:color w:val="C00000"/>
        </w:rPr>
        <w:t xml:space="preserve"> </w:t>
      </w:r>
      <w:r>
        <w:rPr>
          <w:rFonts w:cs="Times New Roman"/>
          <w:color w:val="C00000"/>
        </w:rPr>
        <w:t>DSHS may make e</w:t>
      </w:r>
      <w:r w:rsidRPr="00AD2426">
        <w:rPr>
          <w:rFonts w:cs="Times New Roman"/>
          <w:color w:val="C00000"/>
        </w:rPr>
        <w:t xml:space="preserve">xceptions </w:t>
      </w:r>
      <w:r>
        <w:rPr>
          <w:rFonts w:cs="Times New Roman"/>
          <w:color w:val="C00000"/>
        </w:rPr>
        <w:t>to the 24-month cap on a</w:t>
      </w:r>
      <w:r w:rsidRPr="00AD2426">
        <w:rPr>
          <w:rFonts w:cs="Times New Roman"/>
          <w:color w:val="C00000"/>
        </w:rPr>
        <w:t xml:space="preserve"> case-by-case basis, if justified and with advance </w:t>
      </w:r>
      <w:r w:rsidRPr="00C9153E">
        <w:rPr>
          <w:rFonts w:cs="Times New Roman"/>
          <w:color w:val="C00000"/>
        </w:rPr>
        <w:t>written approval from DSHS.</w:t>
      </w:r>
    </w:p>
    <w:p w14:paraId="11BD279B" w14:textId="7F003F18" w:rsidR="0020236B" w:rsidRPr="00C9153E" w:rsidRDefault="0020236B" w:rsidP="002A61C8">
      <w:pPr>
        <w:spacing w:after="0" w:line="240" w:lineRule="auto"/>
        <w:rPr>
          <w:rFonts w:cs="Times New Roman"/>
        </w:rPr>
      </w:pPr>
    </w:p>
    <w:p w14:paraId="47AAEA2E" w14:textId="77777777" w:rsidR="0034655E" w:rsidRPr="00997CAD" w:rsidRDefault="0034655E">
      <w:pPr>
        <w:pStyle w:val="NoSpacing"/>
        <w:numPr>
          <w:ilvl w:val="1"/>
          <w:numId w:val="86"/>
        </w:numPr>
        <w:rPr>
          <w:rFonts w:cs="Times New Roman"/>
          <w:b/>
          <w:u w:val="single"/>
        </w:rPr>
      </w:pPr>
      <w:r w:rsidRPr="00C9153E">
        <w:rPr>
          <w:rFonts w:cs="Times New Roman"/>
          <w:b/>
          <w:u w:val="single"/>
        </w:rPr>
        <w:t>Eligible</w:t>
      </w:r>
      <w:r w:rsidRPr="00997CAD">
        <w:rPr>
          <w:rFonts w:cs="Times New Roman"/>
          <w:b/>
          <w:u w:val="single"/>
        </w:rPr>
        <w:t xml:space="preserve"> Costs</w:t>
      </w:r>
    </w:p>
    <w:p w14:paraId="5E091B1B" w14:textId="2EFB24BB" w:rsidR="00750637" w:rsidRDefault="00750637" w:rsidP="00750637">
      <w:pPr>
        <w:pStyle w:val="NoSpacing"/>
        <w:numPr>
          <w:ilvl w:val="2"/>
          <w:numId w:val="86"/>
        </w:numPr>
        <w:rPr>
          <w:rFonts w:cs="Times New Roman"/>
          <w:b/>
        </w:rPr>
      </w:pPr>
      <w:r>
        <w:rPr>
          <w:rFonts w:cs="Times New Roman"/>
          <w:b/>
        </w:rPr>
        <w:t>Service Delivery Costs</w:t>
      </w:r>
    </w:p>
    <w:p w14:paraId="73BCE216" w14:textId="0A59B320" w:rsidR="0096731F" w:rsidRDefault="0096731F" w:rsidP="0096731F">
      <w:pPr>
        <w:pStyle w:val="NoSpacing"/>
        <w:ind w:left="1440"/>
        <w:rPr>
          <w:rFonts w:cs="Times New Roman"/>
          <w:bCs/>
        </w:rPr>
      </w:pPr>
      <w:r w:rsidRPr="0096731F">
        <w:rPr>
          <w:rFonts w:cs="Times New Roman"/>
          <w:bCs/>
        </w:rPr>
        <w:t xml:space="preserve">Generally, service delivery costs include personnel, travel, equipment, and supplies. Costs must be </w:t>
      </w:r>
      <w:r w:rsidR="00D47D01">
        <w:rPr>
          <w:rFonts w:cs="Times New Roman"/>
          <w:bCs/>
        </w:rPr>
        <w:t xml:space="preserve">necessary, </w:t>
      </w:r>
      <w:r w:rsidRPr="0096731F">
        <w:rPr>
          <w:rFonts w:cs="Times New Roman"/>
          <w:bCs/>
        </w:rPr>
        <w:t>reasonable, allowable, documented</w:t>
      </w:r>
      <w:r>
        <w:rPr>
          <w:rFonts w:cs="Times New Roman"/>
          <w:bCs/>
        </w:rPr>
        <w:t>,</w:t>
      </w:r>
      <w:r w:rsidRPr="0096731F">
        <w:rPr>
          <w:rFonts w:cs="Times New Roman"/>
          <w:bCs/>
        </w:rPr>
        <w:t xml:space="preserve"> and allocable to </w:t>
      </w:r>
      <w:r>
        <w:rPr>
          <w:rFonts w:cs="Times New Roman"/>
          <w:bCs/>
        </w:rPr>
        <w:t>TSH</w:t>
      </w:r>
      <w:r w:rsidRPr="0096731F">
        <w:rPr>
          <w:rFonts w:cs="Times New Roman"/>
          <w:bCs/>
        </w:rPr>
        <w:t xml:space="preserve">. </w:t>
      </w:r>
      <w:r>
        <w:rPr>
          <w:rFonts w:cs="Times New Roman"/>
          <w:bCs/>
        </w:rPr>
        <w:t>TSH</w:t>
      </w:r>
      <w:r w:rsidRPr="0096731F">
        <w:rPr>
          <w:rFonts w:cs="Times New Roman"/>
          <w:bCs/>
        </w:rPr>
        <w:t xml:space="preserve"> service delivery </w:t>
      </w:r>
      <w:r w:rsidR="0026256B" w:rsidRPr="0026256B">
        <w:rPr>
          <w:rFonts w:cs="Times New Roman"/>
          <w:bCs/>
        </w:rPr>
        <w:t xml:space="preserve">activities </w:t>
      </w:r>
      <w:r w:rsidRPr="0096731F">
        <w:rPr>
          <w:rFonts w:cs="Times New Roman"/>
          <w:bCs/>
        </w:rPr>
        <w:t>may include:</w:t>
      </w:r>
    </w:p>
    <w:p w14:paraId="3AB270F9" w14:textId="77777777" w:rsidR="0096731F" w:rsidRDefault="0096731F" w:rsidP="003A5712">
      <w:pPr>
        <w:pStyle w:val="NoSpacing"/>
        <w:numPr>
          <w:ilvl w:val="0"/>
          <w:numId w:val="146"/>
        </w:numPr>
        <w:ind w:left="1890" w:hanging="450"/>
        <w:rPr>
          <w:rFonts w:ascii="Calibri" w:hAnsi="Calibri" w:cs="Calibri"/>
          <w:szCs w:val="20"/>
        </w:rPr>
      </w:pPr>
      <w:r>
        <w:rPr>
          <w:rFonts w:ascii="Calibri" w:hAnsi="Calibri" w:cs="Calibri"/>
          <w:szCs w:val="20"/>
        </w:rPr>
        <w:t>Assessing housing status and needs</w:t>
      </w:r>
    </w:p>
    <w:p w14:paraId="6AA4D8F2" w14:textId="77777777" w:rsidR="0096731F" w:rsidRPr="005D2A73" w:rsidRDefault="0096731F" w:rsidP="003A5712">
      <w:pPr>
        <w:pStyle w:val="NoSpacing"/>
        <w:numPr>
          <w:ilvl w:val="0"/>
          <w:numId w:val="146"/>
        </w:numPr>
        <w:ind w:left="1890" w:hanging="450"/>
        <w:rPr>
          <w:rFonts w:ascii="Calibri" w:hAnsi="Calibri" w:cs="Calibri"/>
          <w:szCs w:val="20"/>
        </w:rPr>
      </w:pPr>
      <w:r w:rsidRPr="005D2A73">
        <w:rPr>
          <w:rFonts w:ascii="Calibri" w:hAnsi="Calibri" w:cs="Calibri"/>
          <w:szCs w:val="20"/>
        </w:rPr>
        <w:t xml:space="preserve">Collecting program eligibility documentation </w:t>
      </w:r>
      <w:r>
        <w:rPr>
          <w:rFonts w:ascii="Calibri" w:hAnsi="Calibri" w:cs="Calibri"/>
          <w:szCs w:val="20"/>
        </w:rPr>
        <w:t>and qualifying households for</w:t>
      </w:r>
      <w:r w:rsidRPr="005D2A73">
        <w:rPr>
          <w:rFonts w:ascii="Calibri" w:hAnsi="Calibri" w:cs="Calibri"/>
          <w:szCs w:val="20"/>
        </w:rPr>
        <w:t xml:space="preserve"> services</w:t>
      </w:r>
    </w:p>
    <w:p w14:paraId="5123A99C" w14:textId="77777777" w:rsidR="0096731F" w:rsidRPr="00164C95" w:rsidRDefault="0096731F" w:rsidP="003A5712">
      <w:pPr>
        <w:pStyle w:val="NoSpacing"/>
        <w:numPr>
          <w:ilvl w:val="0"/>
          <w:numId w:val="146"/>
        </w:numPr>
        <w:ind w:left="1890" w:hanging="450"/>
        <w:rPr>
          <w:rFonts w:ascii="Calibri" w:hAnsi="Calibri" w:cs="Calibri"/>
          <w:szCs w:val="20"/>
        </w:rPr>
      </w:pPr>
      <w:r w:rsidRPr="00164C95">
        <w:rPr>
          <w:rFonts w:ascii="Calibri" w:hAnsi="Calibri" w:cs="Calibri"/>
          <w:szCs w:val="20"/>
        </w:rPr>
        <w:t>Performing initial eligibility certifications and annual</w:t>
      </w:r>
      <w:r>
        <w:rPr>
          <w:rFonts w:ascii="Calibri" w:hAnsi="Calibri" w:cs="Calibri"/>
          <w:szCs w:val="20"/>
        </w:rPr>
        <w:t xml:space="preserve"> and interim</w:t>
      </w:r>
      <w:r w:rsidRPr="00164C95">
        <w:rPr>
          <w:rFonts w:ascii="Calibri" w:hAnsi="Calibri" w:cs="Calibri"/>
          <w:szCs w:val="20"/>
        </w:rPr>
        <w:t xml:space="preserve"> eligibility recertifications</w:t>
      </w:r>
    </w:p>
    <w:p w14:paraId="602E9C83" w14:textId="7046649D" w:rsidR="0096731F" w:rsidRPr="00164C95" w:rsidRDefault="00C9681D" w:rsidP="003A5712">
      <w:pPr>
        <w:pStyle w:val="NoSpacing"/>
        <w:numPr>
          <w:ilvl w:val="0"/>
          <w:numId w:val="146"/>
        </w:numPr>
        <w:ind w:left="1890" w:hanging="450"/>
        <w:rPr>
          <w:rFonts w:ascii="Calibri" w:hAnsi="Calibri" w:cs="Calibri"/>
          <w:szCs w:val="20"/>
        </w:rPr>
      </w:pPr>
      <w:r w:rsidRPr="00C9681D">
        <w:rPr>
          <w:rFonts w:ascii="Calibri" w:hAnsi="Calibri" w:cs="Calibri"/>
          <w:szCs w:val="20"/>
        </w:rPr>
        <w:t>Referring ineligible households to other housing assistance services</w:t>
      </w:r>
      <w:r w:rsidRPr="00C9681D" w:rsidDel="00C9681D">
        <w:rPr>
          <w:rFonts w:ascii="Calibri" w:hAnsi="Calibri" w:cs="Calibri"/>
          <w:szCs w:val="20"/>
        </w:rPr>
        <w:t xml:space="preserve"> </w:t>
      </w:r>
    </w:p>
    <w:p w14:paraId="77373B6F" w14:textId="77777777" w:rsidR="0096731F" w:rsidRDefault="0096731F" w:rsidP="003A5712">
      <w:pPr>
        <w:pStyle w:val="NoSpacing"/>
        <w:numPr>
          <w:ilvl w:val="0"/>
          <w:numId w:val="146"/>
        </w:numPr>
        <w:ind w:left="1890" w:hanging="450"/>
        <w:rPr>
          <w:rFonts w:ascii="Calibri" w:hAnsi="Calibri" w:cs="Calibri"/>
          <w:szCs w:val="20"/>
        </w:rPr>
      </w:pPr>
      <w:r w:rsidRPr="00164C95">
        <w:rPr>
          <w:rFonts w:ascii="Calibri" w:hAnsi="Calibri" w:cs="Calibri"/>
          <w:szCs w:val="20"/>
        </w:rPr>
        <w:t>Completing the File Structure Checklist</w:t>
      </w:r>
      <w:r>
        <w:rPr>
          <w:rFonts w:ascii="Calibri" w:hAnsi="Calibri" w:cs="Calibri"/>
          <w:szCs w:val="20"/>
        </w:rPr>
        <w:t xml:space="preserve"> and </w:t>
      </w:r>
      <w:r w:rsidRPr="00164C95">
        <w:rPr>
          <w:rFonts w:ascii="Calibri" w:hAnsi="Calibri" w:cs="Calibri"/>
          <w:szCs w:val="20"/>
        </w:rPr>
        <w:t xml:space="preserve">Forms A, B, C, D, E, F, G, H, I, </w:t>
      </w:r>
      <w:r>
        <w:rPr>
          <w:rFonts w:ascii="Calibri" w:hAnsi="Calibri" w:cs="Calibri"/>
          <w:szCs w:val="20"/>
        </w:rPr>
        <w:t xml:space="preserve">J, </w:t>
      </w:r>
      <w:r w:rsidRPr="00164C95">
        <w:rPr>
          <w:rFonts w:ascii="Calibri" w:hAnsi="Calibri" w:cs="Calibri"/>
          <w:szCs w:val="20"/>
        </w:rPr>
        <w:t>O, and P</w:t>
      </w:r>
    </w:p>
    <w:p w14:paraId="1CEFF61B" w14:textId="77777777" w:rsidR="0096731F" w:rsidRPr="00164C95" w:rsidRDefault="0096731F" w:rsidP="003A5712">
      <w:pPr>
        <w:pStyle w:val="NoSpacing"/>
        <w:numPr>
          <w:ilvl w:val="0"/>
          <w:numId w:val="146"/>
        </w:numPr>
        <w:ind w:left="1890" w:hanging="450"/>
        <w:rPr>
          <w:rFonts w:ascii="Calibri" w:hAnsi="Calibri" w:cs="Calibri"/>
          <w:szCs w:val="20"/>
        </w:rPr>
      </w:pPr>
      <w:r>
        <w:rPr>
          <w:rFonts w:ascii="Calibri" w:hAnsi="Calibri" w:cs="Calibri"/>
          <w:szCs w:val="20"/>
        </w:rPr>
        <w:t>Completing and distributing applicable VAWA materials</w:t>
      </w:r>
    </w:p>
    <w:p w14:paraId="3CC12920" w14:textId="792ED18A" w:rsidR="0096731F" w:rsidRPr="00164C95" w:rsidRDefault="0096731F" w:rsidP="003A5712">
      <w:pPr>
        <w:pStyle w:val="NoSpacing"/>
        <w:numPr>
          <w:ilvl w:val="0"/>
          <w:numId w:val="146"/>
        </w:numPr>
        <w:ind w:left="1890" w:hanging="450"/>
        <w:rPr>
          <w:rFonts w:ascii="Calibri" w:hAnsi="Calibri" w:cs="Calibri"/>
          <w:szCs w:val="20"/>
        </w:rPr>
      </w:pPr>
      <w:r w:rsidRPr="00164C95">
        <w:rPr>
          <w:rFonts w:ascii="Calibri" w:hAnsi="Calibri" w:cs="Calibri"/>
          <w:szCs w:val="20"/>
        </w:rPr>
        <w:t xml:space="preserve">Collecting supporting documentation </w:t>
      </w:r>
      <w:r>
        <w:rPr>
          <w:rFonts w:ascii="Calibri" w:hAnsi="Calibri" w:cs="Calibri"/>
          <w:szCs w:val="20"/>
        </w:rPr>
        <w:t xml:space="preserve">and attaching it </w:t>
      </w:r>
      <w:r w:rsidRPr="00164C95">
        <w:rPr>
          <w:rFonts w:ascii="Calibri" w:hAnsi="Calibri" w:cs="Calibri"/>
          <w:szCs w:val="20"/>
        </w:rPr>
        <w:t xml:space="preserve">to </w:t>
      </w:r>
      <w:r>
        <w:rPr>
          <w:rFonts w:ascii="Calibri" w:hAnsi="Calibri" w:cs="Calibri"/>
          <w:szCs w:val="20"/>
        </w:rPr>
        <w:t xml:space="preserve">program forms </w:t>
      </w:r>
      <w:r w:rsidR="00FD5ABA">
        <w:rPr>
          <w:rFonts w:ascii="Calibri" w:hAnsi="Calibri" w:cs="Calibri"/>
          <w:szCs w:val="20"/>
        </w:rPr>
        <w:t>if required</w:t>
      </w:r>
      <w:r>
        <w:rPr>
          <w:rFonts w:ascii="Calibri" w:hAnsi="Calibri" w:cs="Calibri"/>
          <w:szCs w:val="20"/>
        </w:rPr>
        <w:t xml:space="preserve"> or</w:t>
      </w:r>
      <w:r w:rsidRPr="00164C95">
        <w:rPr>
          <w:rFonts w:ascii="Calibri" w:hAnsi="Calibri" w:cs="Calibri"/>
          <w:szCs w:val="20"/>
        </w:rPr>
        <w:t xml:space="preserve"> applicable</w:t>
      </w:r>
    </w:p>
    <w:p w14:paraId="595376C2" w14:textId="77777777" w:rsidR="0096731F" w:rsidRPr="00164C95" w:rsidRDefault="0096731F" w:rsidP="003A5712">
      <w:pPr>
        <w:pStyle w:val="NoSpacing"/>
        <w:numPr>
          <w:ilvl w:val="0"/>
          <w:numId w:val="146"/>
        </w:numPr>
        <w:ind w:left="1890" w:hanging="450"/>
        <w:rPr>
          <w:rFonts w:ascii="Calibri" w:hAnsi="Calibri" w:cs="Calibri"/>
          <w:szCs w:val="20"/>
        </w:rPr>
      </w:pPr>
      <w:r w:rsidRPr="00164C95">
        <w:rPr>
          <w:rFonts w:ascii="Calibri" w:hAnsi="Calibri" w:cs="Calibri"/>
          <w:szCs w:val="20"/>
        </w:rPr>
        <w:t xml:space="preserve">Traveling to proposed units </w:t>
      </w:r>
      <w:r>
        <w:rPr>
          <w:rFonts w:ascii="Calibri" w:hAnsi="Calibri" w:cs="Calibri"/>
          <w:szCs w:val="20"/>
        </w:rPr>
        <w:t>to complete HQS</w:t>
      </w:r>
      <w:r w:rsidRPr="00164C95">
        <w:rPr>
          <w:rFonts w:ascii="Calibri" w:hAnsi="Calibri" w:cs="Calibri"/>
          <w:szCs w:val="20"/>
        </w:rPr>
        <w:t xml:space="preserve"> inspections</w:t>
      </w:r>
    </w:p>
    <w:p w14:paraId="71FFCAEA" w14:textId="1C716FB9" w:rsidR="0096731F" w:rsidRDefault="0096731F" w:rsidP="003A5712">
      <w:pPr>
        <w:pStyle w:val="NoSpacing"/>
        <w:numPr>
          <w:ilvl w:val="0"/>
          <w:numId w:val="146"/>
        </w:numPr>
        <w:ind w:left="1890" w:hanging="450"/>
        <w:rPr>
          <w:rFonts w:ascii="Calibri" w:hAnsi="Calibri" w:cs="Calibri"/>
          <w:szCs w:val="20"/>
        </w:rPr>
      </w:pPr>
      <w:r w:rsidRPr="00164C95">
        <w:rPr>
          <w:rFonts w:ascii="Calibri" w:hAnsi="Calibri" w:cs="Calibri"/>
          <w:szCs w:val="20"/>
        </w:rPr>
        <w:t>Communicating with owners</w:t>
      </w:r>
      <w:r>
        <w:rPr>
          <w:rFonts w:ascii="Calibri" w:hAnsi="Calibri" w:cs="Calibri"/>
          <w:szCs w:val="20"/>
        </w:rPr>
        <w:t xml:space="preserve"> and</w:t>
      </w:r>
      <w:r w:rsidRPr="00164C95">
        <w:rPr>
          <w:rFonts w:ascii="Calibri" w:hAnsi="Calibri" w:cs="Calibri"/>
          <w:szCs w:val="20"/>
        </w:rPr>
        <w:t xml:space="preserve"> </w:t>
      </w:r>
      <w:r>
        <w:rPr>
          <w:rFonts w:ascii="Calibri" w:hAnsi="Calibri" w:cs="Calibri"/>
          <w:szCs w:val="20"/>
        </w:rPr>
        <w:t>utility</w:t>
      </w:r>
      <w:r w:rsidRPr="00164C95">
        <w:rPr>
          <w:rFonts w:ascii="Calibri" w:hAnsi="Calibri" w:cs="Calibri"/>
          <w:szCs w:val="20"/>
        </w:rPr>
        <w:t xml:space="preserve"> companies about program requirements</w:t>
      </w:r>
    </w:p>
    <w:p w14:paraId="709F0955" w14:textId="2035FB7D" w:rsidR="00910D9D" w:rsidRPr="00164C95" w:rsidRDefault="00910D9D" w:rsidP="003A5712">
      <w:pPr>
        <w:pStyle w:val="NoSpacing"/>
        <w:numPr>
          <w:ilvl w:val="0"/>
          <w:numId w:val="146"/>
        </w:numPr>
        <w:ind w:left="1890" w:hanging="450"/>
        <w:rPr>
          <w:rFonts w:ascii="Calibri" w:hAnsi="Calibri" w:cs="Calibri"/>
          <w:szCs w:val="20"/>
        </w:rPr>
      </w:pPr>
      <w:r>
        <w:rPr>
          <w:rFonts w:ascii="Calibri" w:hAnsi="Calibri" w:cs="Calibri"/>
          <w:szCs w:val="20"/>
        </w:rPr>
        <w:t xml:space="preserve">Reviewing </w:t>
      </w:r>
      <w:r w:rsidRPr="00910D9D">
        <w:rPr>
          <w:rFonts w:ascii="Calibri" w:hAnsi="Calibri" w:cs="Calibri"/>
          <w:szCs w:val="20"/>
        </w:rPr>
        <w:t xml:space="preserve">prospective leases </w:t>
      </w:r>
      <w:r>
        <w:rPr>
          <w:rFonts w:ascii="Calibri" w:hAnsi="Calibri" w:cs="Calibri"/>
          <w:szCs w:val="20"/>
        </w:rPr>
        <w:t>to ensure that they</w:t>
      </w:r>
      <w:r w:rsidRPr="00910D9D">
        <w:rPr>
          <w:rFonts w:ascii="Calibri" w:hAnsi="Calibri" w:cs="Calibri"/>
          <w:szCs w:val="20"/>
        </w:rPr>
        <w:t xml:space="preserve"> include and exclude certain provisions</w:t>
      </w:r>
    </w:p>
    <w:p w14:paraId="7D18560F" w14:textId="77777777" w:rsidR="0096731F" w:rsidRDefault="0096731F" w:rsidP="003A5712">
      <w:pPr>
        <w:pStyle w:val="NoSpacing"/>
        <w:numPr>
          <w:ilvl w:val="0"/>
          <w:numId w:val="146"/>
        </w:numPr>
        <w:ind w:left="1890" w:hanging="450"/>
        <w:rPr>
          <w:rFonts w:ascii="Calibri" w:hAnsi="Calibri" w:cs="Calibri"/>
          <w:szCs w:val="20"/>
        </w:rPr>
      </w:pPr>
      <w:r w:rsidRPr="00164C95">
        <w:rPr>
          <w:rFonts w:ascii="Calibri" w:hAnsi="Calibri" w:cs="Calibri"/>
          <w:szCs w:val="20"/>
        </w:rPr>
        <w:t>Requesting</w:t>
      </w:r>
      <w:r>
        <w:rPr>
          <w:rFonts w:ascii="Calibri" w:hAnsi="Calibri" w:cs="Calibri"/>
          <w:szCs w:val="20"/>
        </w:rPr>
        <w:t>, issuing, and documenting payments</w:t>
      </w:r>
    </w:p>
    <w:p w14:paraId="29AA82C0" w14:textId="77777777" w:rsidR="0096731F" w:rsidRPr="00164C95" w:rsidRDefault="0096731F" w:rsidP="003A5712">
      <w:pPr>
        <w:pStyle w:val="NoSpacing"/>
        <w:numPr>
          <w:ilvl w:val="0"/>
          <w:numId w:val="146"/>
        </w:numPr>
        <w:ind w:left="1890" w:hanging="450"/>
        <w:rPr>
          <w:rFonts w:ascii="Calibri" w:hAnsi="Calibri" w:cs="Calibri"/>
          <w:szCs w:val="20"/>
        </w:rPr>
      </w:pPr>
      <w:r w:rsidRPr="002428DE">
        <w:rPr>
          <w:rFonts w:ascii="Calibri" w:hAnsi="Calibri" w:cs="Calibri"/>
          <w:szCs w:val="20"/>
        </w:rPr>
        <w:t>Documenting housing assistance and supportive service outcomes</w:t>
      </w:r>
    </w:p>
    <w:p w14:paraId="0D66B8A0" w14:textId="5C3B3EA9" w:rsidR="0096731F" w:rsidRDefault="0096731F" w:rsidP="003A5712">
      <w:pPr>
        <w:pStyle w:val="NoSpacing"/>
        <w:numPr>
          <w:ilvl w:val="0"/>
          <w:numId w:val="146"/>
        </w:numPr>
        <w:ind w:left="1890" w:hanging="450"/>
        <w:rPr>
          <w:rFonts w:ascii="Calibri" w:hAnsi="Calibri" w:cs="Calibri"/>
          <w:szCs w:val="20"/>
        </w:rPr>
      </w:pPr>
      <w:r w:rsidRPr="00164C95">
        <w:rPr>
          <w:rFonts w:ascii="Calibri" w:hAnsi="Calibri" w:cs="Calibri"/>
          <w:szCs w:val="20"/>
        </w:rPr>
        <w:t>Recordkeeping</w:t>
      </w:r>
      <w:r>
        <w:rPr>
          <w:rFonts w:ascii="Calibri" w:hAnsi="Calibri" w:cs="Calibri"/>
          <w:szCs w:val="20"/>
        </w:rPr>
        <w:t>, logging time and effort, and maintaining case notes</w:t>
      </w:r>
    </w:p>
    <w:p w14:paraId="67DFCEBC" w14:textId="574DC584" w:rsidR="00CA07B7" w:rsidRDefault="00CA07B7" w:rsidP="003A5712">
      <w:pPr>
        <w:pStyle w:val="NoSpacing"/>
        <w:numPr>
          <w:ilvl w:val="0"/>
          <w:numId w:val="146"/>
        </w:numPr>
        <w:ind w:left="1890" w:hanging="450"/>
        <w:rPr>
          <w:rFonts w:ascii="Calibri" w:hAnsi="Calibri" w:cs="Calibri"/>
          <w:szCs w:val="20"/>
        </w:rPr>
      </w:pPr>
      <w:r w:rsidRPr="00CA07B7">
        <w:rPr>
          <w:rFonts w:ascii="Calibri" w:hAnsi="Calibri" w:cs="Calibri"/>
          <w:szCs w:val="20"/>
        </w:rPr>
        <w:t>Translating documents and interpreting speech</w:t>
      </w:r>
    </w:p>
    <w:p w14:paraId="58BC3A2B" w14:textId="77777777" w:rsidR="002A566B" w:rsidRPr="00DE48B8" w:rsidRDefault="002A566B" w:rsidP="00DE48B8">
      <w:pPr>
        <w:pStyle w:val="NoSpacing"/>
        <w:ind w:left="1440"/>
        <w:rPr>
          <w:rFonts w:cs="Times New Roman"/>
          <w:b/>
        </w:rPr>
      </w:pPr>
    </w:p>
    <w:p w14:paraId="6C646B61" w14:textId="6859D138" w:rsidR="00750637" w:rsidRDefault="00750637" w:rsidP="00750637">
      <w:pPr>
        <w:pStyle w:val="NoSpacing"/>
        <w:numPr>
          <w:ilvl w:val="2"/>
          <w:numId w:val="86"/>
        </w:numPr>
        <w:rPr>
          <w:rFonts w:cs="Times New Roman"/>
          <w:b/>
        </w:rPr>
      </w:pPr>
      <w:r>
        <w:rPr>
          <w:rFonts w:cs="Times New Roman"/>
          <w:b/>
        </w:rPr>
        <w:t>Housing Assistance Costs</w:t>
      </w:r>
    </w:p>
    <w:p w14:paraId="12A5D2DF" w14:textId="2E13F0D5" w:rsidR="0034655E" w:rsidRDefault="00C95F48" w:rsidP="002A61C8">
      <w:pPr>
        <w:pStyle w:val="NoSpacing"/>
        <w:ind w:left="1440"/>
        <w:rPr>
          <w:rFonts w:cs="Times New Roman"/>
        </w:rPr>
      </w:pPr>
      <w:r>
        <w:rPr>
          <w:rFonts w:cs="Times New Roman"/>
        </w:rPr>
        <w:t>TSH</w:t>
      </w:r>
      <w:r w:rsidRPr="008026D4">
        <w:rPr>
          <w:rFonts w:cs="Times New Roman"/>
        </w:rPr>
        <w:t xml:space="preserve"> </w:t>
      </w:r>
      <w:r>
        <w:rPr>
          <w:rFonts w:cs="Times New Roman"/>
        </w:rPr>
        <w:t xml:space="preserve">only </w:t>
      </w:r>
      <w:r w:rsidR="00461AE2">
        <w:rPr>
          <w:rFonts w:cs="Times New Roman"/>
        </w:rPr>
        <w:t>pays</w:t>
      </w:r>
      <w:r>
        <w:rPr>
          <w:rFonts w:cs="Times New Roman"/>
        </w:rPr>
        <w:t xml:space="preserve"> current rental </w:t>
      </w:r>
      <w:r w:rsidR="009C621C">
        <w:rPr>
          <w:rFonts w:cs="Times New Roman"/>
        </w:rPr>
        <w:t>costs and</w:t>
      </w:r>
      <w:r w:rsidR="00AB2FD6">
        <w:rPr>
          <w:rFonts w:cs="Times New Roman"/>
        </w:rPr>
        <w:t xml:space="preserve"> cannot pay more or less than a household’s</w:t>
      </w:r>
      <w:r w:rsidR="003C24C6">
        <w:rPr>
          <w:rFonts w:cs="Times New Roman"/>
        </w:rPr>
        <w:t xml:space="preserve"> </w:t>
      </w:r>
      <w:r w:rsidR="00DC6EDA">
        <w:rPr>
          <w:rFonts w:cs="Times New Roman"/>
        </w:rPr>
        <w:t xml:space="preserve">calculated </w:t>
      </w:r>
      <w:r w:rsidR="003C24C6">
        <w:rPr>
          <w:rFonts w:cs="Times New Roman"/>
        </w:rPr>
        <w:t xml:space="preserve">monthly </w:t>
      </w:r>
      <w:r w:rsidR="00AB2FD6">
        <w:rPr>
          <w:rFonts w:cs="Times New Roman"/>
        </w:rPr>
        <w:t>rental assistance subsidy</w:t>
      </w:r>
      <w:r w:rsidR="00C81C26">
        <w:rPr>
          <w:rFonts w:cs="Times New Roman"/>
        </w:rPr>
        <w:t xml:space="preserve"> </w:t>
      </w:r>
      <w:r w:rsidR="003C24C6">
        <w:rPr>
          <w:rFonts w:cs="Times New Roman"/>
        </w:rPr>
        <w:t xml:space="preserve">(see 8. </w:t>
      </w:r>
      <w:r w:rsidR="003C24C6" w:rsidRPr="00C21ED4">
        <w:rPr>
          <w:rFonts w:cs="Times New Roman"/>
        </w:rPr>
        <w:t xml:space="preserve">Calculating Monthly Household and </w:t>
      </w:r>
      <w:r w:rsidR="003C24C6">
        <w:rPr>
          <w:rFonts w:cs="Times New Roman"/>
        </w:rPr>
        <w:t>Project Sponsor</w:t>
      </w:r>
      <w:r w:rsidR="003C24C6" w:rsidRPr="00C21ED4">
        <w:rPr>
          <w:rFonts w:cs="Times New Roman"/>
        </w:rPr>
        <w:t xml:space="preserve"> Rent Payments</w:t>
      </w:r>
      <w:r w:rsidR="00C81C26">
        <w:rPr>
          <w:rFonts w:cs="Times New Roman"/>
        </w:rPr>
        <w:t>)</w:t>
      </w:r>
      <w:r w:rsidR="007925BC">
        <w:rPr>
          <w:rFonts w:cs="Times New Roman"/>
        </w:rPr>
        <w:t>.</w:t>
      </w:r>
      <w:r w:rsidR="003C24C6">
        <w:rPr>
          <w:rFonts w:cs="Times New Roman"/>
        </w:rPr>
        <w:t xml:space="preserve"> </w:t>
      </w:r>
      <w:r w:rsidR="0034655E" w:rsidRPr="008026D4">
        <w:rPr>
          <w:rFonts w:cs="Times New Roman"/>
        </w:rPr>
        <w:t xml:space="preserve">In </w:t>
      </w:r>
      <w:r>
        <w:rPr>
          <w:rFonts w:cs="Times New Roman"/>
        </w:rPr>
        <w:t>some</w:t>
      </w:r>
      <w:r w:rsidRPr="008026D4">
        <w:rPr>
          <w:rFonts w:cs="Times New Roman"/>
        </w:rPr>
        <w:t xml:space="preserve"> </w:t>
      </w:r>
      <w:r w:rsidR="0034655E" w:rsidRPr="008026D4">
        <w:rPr>
          <w:rFonts w:cs="Times New Roman"/>
        </w:rPr>
        <w:t xml:space="preserve">circumstances, </w:t>
      </w:r>
      <w:r w:rsidR="006B4E4F">
        <w:rPr>
          <w:rFonts w:cs="Times New Roman"/>
        </w:rPr>
        <w:t>TSH</w:t>
      </w:r>
      <w:r w:rsidR="0034655E" w:rsidRPr="008026D4">
        <w:rPr>
          <w:rFonts w:cs="Times New Roman"/>
        </w:rPr>
        <w:t xml:space="preserve"> </w:t>
      </w:r>
      <w:r w:rsidR="007925BC">
        <w:rPr>
          <w:rFonts w:cs="Times New Roman"/>
        </w:rPr>
        <w:t xml:space="preserve">reimburses a households’ monthly utility costs (see 9. Utility Allowances and </w:t>
      </w:r>
      <w:r w:rsidR="007925BC">
        <w:rPr>
          <w:rFonts w:cs="Times New Roman"/>
        </w:rPr>
        <w:lastRenderedPageBreak/>
        <w:t>Reimbursements below)</w:t>
      </w:r>
      <w:r w:rsidR="0034655E" w:rsidRPr="008026D4">
        <w:rPr>
          <w:rFonts w:cs="Times New Roman"/>
        </w:rPr>
        <w:t>.</w:t>
      </w:r>
      <w:r w:rsidR="0034655E">
        <w:rPr>
          <w:rFonts w:cs="Times New Roman"/>
        </w:rPr>
        <w:t xml:space="preserve"> I</w:t>
      </w:r>
      <w:r w:rsidR="0034655E" w:rsidRPr="00013E4A">
        <w:rPr>
          <w:rFonts w:cs="Times New Roman"/>
        </w:rPr>
        <w:t>n shared housing arrangements</w:t>
      </w:r>
      <w:r w:rsidR="0097759F">
        <w:rPr>
          <w:rFonts w:cs="Times New Roman"/>
        </w:rPr>
        <w:t>,</w:t>
      </w:r>
      <w:r w:rsidR="0034655E" w:rsidRPr="00013E4A">
        <w:rPr>
          <w:rFonts w:cs="Times New Roman"/>
        </w:rPr>
        <w:t xml:space="preserve"> </w:t>
      </w:r>
      <w:r w:rsidR="00100DB8" w:rsidRPr="00100DB8">
        <w:rPr>
          <w:rFonts w:cs="Times New Roman"/>
        </w:rPr>
        <w:t xml:space="preserve">where two or more unrelated households </w:t>
      </w:r>
      <w:r w:rsidR="00206548">
        <w:rPr>
          <w:rFonts w:cs="Times New Roman"/>
        </w:rPr>
        <w:t xml:space="preserve">voluntarily </w:t>
      </w:r>
      <w:r w:rsidR="00100DB8" w:rsidRPr="00100DB8">
        <w:rPr>
          <w:rFonts w:cs="Times New Roman"/>
        </w:rPr>
        <w:t>live together in a unit</w:t>
      </w:r>
      <w:r w:rsidR="00100DB8" w:rsidRPr="00100DB8" w:rsidDel="00100DB8">
        <w:rPr>
          <w:rFonts w:cs="Times New Roman"/>
        </w:rPr>
        <w:t xml:space="preserve"> </w:t>
      </w:r>
      <w:r w:rsidR="0034655E">
        <w:rPr>
          <w:rFonts w:cs="Times New Roman"/>
        </w:rPr>
        <w:t xml:space="preserve">and divide rental costs, Project Sponsors prorate rental assistance for the portion of the unit occupied by the </w:t>
      </w:r>
      <w:r w:rsidR="00EA4A06">
        <w:rPr>
          <w:rFonts w:cs="Times New Roman"/>
        </w:rPr>
        <w:t xml:space="preserve">participant </w:t>
      </w:r>
      <w:r w:rsidR="0034655E">
        <w:rPr>
          <w:rFonts w:cs="Times New Roman"/>
        </w:rPr>
        <w:t>household.</w:t>
      </w:r>
    </w:p>
    <w:p w14:paraId="7E9778D1" w14:textId="77777777" w:rsidR="0034655E" w:rsidRDefault="0034655E" w:rsidP="002A61C8">
      <w:pPr>
        <w:pStyle w:val="NoSpacing"/>
        <w:ind w:left="1440"/>
        <w:rPr>
          <w:rFonts w:cs="Times New Roman"/>
          <w:color w:val="C00000"/>
        </w:rPr>
      </w:pPr>
      <w:r>
        <w:rPr>
          <w:rFonts w:cs="Times New Roman"/>
          <w:b/>
          <w:color w:val="C00000"/>
        </w:rPr>
        <w:t>NOTE:</w:t>
      </w:r>
      <w:r>
        <w:rPr>
          <w:rFonts w:cs="Times New Roman"/>
          <w:color w:val="C00000"/>
        </w:rPr>
        <w:t xml:space="preserve"> See </w:t>
      </w:r>
      <w:r w:rsidRPr="009658B2">
        <w:rPr>
          <w:rFonts w:cs="Times New Roman"/>
          <w:color w:val="C00000"/>
        </w:rPr>
        <w:t xml:space="preserve">Appendix H: </w:t>
      </w:r>
      <w:r>
        <w:rPr>
          <w:rFonts w:cs="Times New Roman"/>
          <w:color w:val="C00000"/>
        </w:rPr>
        <w:t xml:space="preserve">Rental Assistance </w:t>
      </w:r>
      <w:r w:rsidRPr="009658B2">
        <w:rPr>
          <w:rFonts w:cs="Times New Roman"/>
          <w:color w:val="C00000"/>
        </w:rPr>
        <w:t>Instructions for Shared Housing Arrangements</w:t>
      </w:r>
      <w:r>
        <w:rPr>
          <w:rFonts w:cs="Times New Roman"/>
          <w:color w:val="C00000"/>
        </w:rPr>
        <w:t>.</w:t>
      </w:r>
    </w:p>
    <w:p w14:paraId="4674C424" w14:textId="1CD5F978" w:rsidR="00325641" w:rsidRPr="00E67CCA" w:rsidRDefault="00C00AC7" w:rsidP="003A5712">
      <w:pPr>
        <w:pStyle w:val="NoSpacing"/>
        <w:numPr>
          <w:ilvl w:val="2"/>
          <w:numId w:val="155"/>
        </w:numPr>
        <w:ind w:left="1890" w:hanging="450"/>
        <w:rPr>
          <w:rFonts w:cs="Times New Roman"/>
        </w:rPr>
      </w:pPr>
      <w:r w:rsidRPr="002A61C8">
        <w:rPr>
          <w:rFonts w:cs="Times New Roman"/>
          <w:bCs/>
          <w:i/>
          <w:iCs/>
        </w:rPr>
        <w:t>Project-B</w:t>
      </w:r>
      <w:r w:rsidR="00970CEA" w:rsidRPr="002A61C8">
        <w:rPr>
          <w:rFonts w:cs="Times New Roman"/>
          <w:bCs/>
          <w:i/>
          <w:iCs/>
        </w:rPr>
        <w:t>ased Rental Assistance</w:t>
      </w:r>
      <w:r w:rsidR="00E67CCA" w:rsidRPr="00E67CCA">
        <w:rPr>
          <w:rFonts w:cs="Times New Roman"/>
          <w:bCs/>
          <w:i/>
          <w:iCs/>
        </w:rPr>
        <w:t>.</w:t>
      </w:r>
      <w:r w:rsidR="00E67CCA">
        <w:rPr>
          <w:rFonts w:cs="Times New Roman"/>
        </w:rPr>
        <w:t xml:space="preserve"> </w:t>
      </w:r>
      <w:r w:rsidR="00325641" w:rsidRPr="00E67CCA">
        <w:rPr>
          <w:rFonts w:cs="Times New Roman"/>
        </w:rPr>
        <w:t xml:space="preserve">If a Project Sponsor owns single-site or scattered-site facilities and will provide </w:t>
      </w:r>
      <w:r w:rsidR="00970CEA" w:rsidRPr="00E67CCA">
        <w:rPr>
          <w:rFonts w:cs="Times New Roman"/>
        </w:rPr>
        <w:t>TSH services</w:t>
      </w:r>
      <w:r w:rsidR="00325641" w:rsidRPr="00E67CCA">
        <w:rPr>
          <w:rFonts w:cs="Times New Roman"/>
        </w:rPr>
        <w:t xml:space="preserve"> to households, </w:t>
      </w:r>
      <w:r w:rsidR="00970CEA" w:rsidRPr="00E67CCA">
        <w:rPr>
          <w:rFonts w:cs="Times New Roman"/>
        </w:rPr>
        <w:t>TSH pays</w:t>
      </w:r>
      <w:r w:rsidR="00325641" w:rsidRPr="00E67CCA">
        <w:rPr>
          <w:rFonts w:cs="Times New Roman"/>
        </w:rPr>
        <w:t xml:space="preserve"> </w:t>
      </w:r>
      <w:r w:rsidR="00970CEA" w:rsidRPr="00E67CCA">
        <w:rPr>
          <w:rFonts w:cs="Times New Roman"/>
        </w:rPr>
        <w:t>project-based rental assistance (</w:t>
      </w:r>
      <w:proofErr w:type="spellStart"/>
      <w:r w:rsidR="00970CEA" w:rsidRPr="00E67CCA">
        <w:rPr>
          <w:rFonts w:cs="Times New Roman"/>
        </w:rPr>
        <w:t>PBRA</w:t>
      </w:r>
      <w:proofErr w:type="spellEnd"/>
      <w:r w:rsidR="00970CEA" w:rsidRPr="00E67CCA">
        <w:rPr>
          <w:rFonts w:cs="Times New Roman"/>
        </w:rPr>
        <w:t>) costs</w:t>
      </w:r>
      <w:r w:rsidR="00325641" w:rsidRPr="00E67CCA">
        <w:rPr>
          <w:rFonts w:cs="Times New Roman"/>
        </w:rPr>
        <w:t>. Project Sponsors may own individual units or all or part of structures. The Project Sponsor provides residence to a household through a lease</w:t>
      </w:r>
      <w:r w:rsidR="00E4363E" w:rsidRPr="00E67CCA">
        <w:rPr>
          <w:rFonts w:cs="Times New Roman"/>
        </w:rPr>
        <w:t xml:space="preserve"> and</w:t>
      </w:r>
      <w:r w:rsidR="00174297" w:rsidRPr="00E67CCA">
        <w:rPr>
          <w:rFonts w:cs="Times New Roman"/>
        </w:rPr>
        <w:t xml:space="preserve"> collects monthly household rent payments</w:t>
      </w:r>
      <w:r w:rsidR="00325641" w:rsidRPr="00E67CCA">
        <w:rPr>
          <w:rFonts w:cs="Times New Roman"/>
        </w:rPr>
        <w:t xml:space="preserve"> (program income)</w:t>
      </w:r>
      <w:r w:rsidR="00E4363E" w:rsidRPr="00E67CCA">
        <w:rPr>
          <w:rFonts w:cs="Times New Roman"/>
        </w:rPr>
        <w:t xml:space="preserve"> and rental assistance subsidies</w:t>
      </w:r>
      <w:r w:rsidR="00325641" w:rsidRPr="00E67CCA">
        <w:rPr>
          <w:rFonts w:cs="Times New Roman"/>
        </w:rPr>
        <w:t xml:space="preserve">. </w:t>
      </w:r>
      <w:r w:rsidR="00781D43" w:rsidRPr="00E67CCA">
        <w:rPr>
          <w:rFonts w:cs="Times New Roman"/>
        </w:rPr>
        <w:t>Project Sponsor</w:t>
      </w:r>
      <w:r w:rsidR="008367C1">
        <w:rPr>
          <w:rFonts w:cs="Times New Roman"/>
        </w:rPr>
        <w:t>s</w:t>
      </w:r>
      <w:r w:rsidR="00174297" w:rsidRPr="00E67CCA">
        <w:rPr>
          <w:rFonts w:cs="Times New Roman"/>
        </w:rPr>
        <w:t xml:space="preserve"> </w:t>
      </w:r>
      <w:r w:rsidR="008367C1">
        <w:rPr>
          <w:rFonts w:cs="Times New Roman"/>
        </w:rPr>
        <w:t xml:space="preserve">that collect </w:t>
      </w:r>
      <w:proofErr w:type="spellStart"/>
      <w:r w:rsidR="00174297" w:rsidRPr="00E67CCA">
        <w:rPr>
          <w:rFonts w:cs="Times New Roman"/>
        </w:rPr>
        <w:t>PBRA</w:t>
      </w:r>
      <w:proofErr w:type="spellEnd"/>
      <w:r w:rsidR="00174297" w:rsidRPr="00E67CCA">
        <w:rPr>
          <w:rFonts w:cs="Times New Roman"/>
        </w:rPr>
        <w:t xml:space="preserve"> subsidies cannot </w:t>
      </w:r>
      <w:r w:rsidR="008367C1">
        <w:rPr>
          <w:rFonts w:cs="Times New Roman"/>
        </w:rPr>
        <w:t xml:space="preserve">also </w:t>
      </w:r>
      <w:r w:rsidR="00174297" w:rsidRPr="00E67CCA">
        <w:rPr>
          <w:rFonts w:cs="Times New Roman"/>
        </w:rPr>
        <w:t>bill for facility operating costs.</w:t>
      </w:r>
    </w:p>
    <w:p w14:paraId="509B693D" w14:textId="6977B98E" w:rsidR="00325641" w:rsidRPr="00E67CCA" w:rsidRDefault="00970CEA" w:rsidP="003A5712">
      <w:pPr>
        <w:pStyle w:val="NoSpacing"/>
        <w:numPr>
          <w:ilvl w:val="2"/>
          <w:numId w:val="155"/>
        </w:numPr>
        <w:ind w:left="1890" w:hanging="450"/>
        <w:rPr>
          <w:rFonts w:cs="Times New Roman"/>
        </w:rPr>
      </w:pPr>
      <w:r w:rsidRPr="002A61C8">
        <w:rPr>
          <w:rFonts w:cs="Times New Roman"/>
          <w:bCs/>
          <w:i/>
          <w:iCs/>
        </w:rPr>
        <w:t>M</w:t>
      </w:r>
      <w:r w:rsidR="00BB47A2" w:rsidRPr="002A61C8">
        <w:rPr>
          <w:rFonts w:cs="Times New Roman"/>
          <w:bCs/>
          <w:i/>
          <w:iCs/>
        </w:rPr>
        <w:t>aster L</w:t>
      </w:r>
      <w:r w:rsidRPr="002A61C8">
        <w:rPr>
          <w:rFonts w:cs="Times New Roman"/>
          <w:bCs/>
          <w:i/>
          <w:iCs/>
        </w:rPr>
        <w:t>easing</w:t>
      </w:r>
      <w:r w:rsidR="00E67CCA" w:rsidRPr="00E67CCA">
        <w:rPr>
          <w:rFonts w:cs="Times New Roman"/>
          <w:bCs/>
          <w:i/>
          <w:iCs/>
        </w:rPr>
        <w:t>.</w:t>
      </w:r>
      <w:r w:rsidR="00E67CCA">
        <w:rPr>
          <w:rFonts w:cs="Times New Roman"/>
        </w:rPr>
        <w:t xml:space="preserve"> </w:t>
      </w:r>
      <w:r w:rsidR="00325641" w:rsidRPr="00E67CCA">
        <w:rPr>
          <w:rFonts w:cs="Times New Roman"/>
        </w:rPr>
        <w:t xml:space="preserve">If a Project Sponsor leases single-site or scattered-site facilities and will provide </w:t>
      </w:r>
      <w:r w:rsidR="00174297" w:rsidRPr="00E67CCA">
        <w:rPr>
          <w:rFonts w:cs="Times New Roman"/>
        </w:rPr>
        <w:t>TSH services</w:t>
      </w:r>
      <w:r w:rsidR="00325641" w:rsidRPr="00E67CCA">
        <w:rPr>
          <w:rFonts w:cs="Times New Roman"/>
        </w:rPr>
        <w:t xml:space="preserve"> to households, </w:t>
      </w:r>
      <w:r w:rsidR="00956116" w:rsidRPr="00E67CCA">
        <w:rPr>
          <w:rFonts w:cs="Times New Roman"/>
        </w:rPr>
        <w:t>TSH pays master-leasing costs</w:t>
      </w:r>
      <w:r w:rsidR="00325641" w:rsidRPr="00E67CCA">
        <w:rPr>
          <w:rFonts w:cs="Times New Roman"/>
        </w:rPr>
        <w:t>. Project Sponsors may lease individual units or all or part of structures. In this arrangement, the Project Sponsor is the tenant and pays the total monthly rent for the facility. The Project Sponsor provides residence to a household through a sublease</w:t>
      </w:r>
      <w:r w:rsidR="00664E1A" w:rsidRPr="00E67CCA">
        <w:rPr>
          <w:rFonts w:cs="Times New Roman"/>
        </w:rPr>
        <w:t xml:space="preserve"> and collects monthly household rent payments (program income) and rental assistance subsidies</w:t>
      </w:r>
      <w:r w:rsidR="00325641" w:rsidRPr="00E67CCA">
        <w:rPr>
          <w:rFonts w:cs="Times New Roman"/>
        </w:rPr>
        <w:t xml:space="preserve">. Project Sponsors </w:t>
      </w:r>
      <w:r w:rsidR="00B70170">
        <w:rPr>
          <w:rFonts w:cs="Times New Roman"/>
        </w:rPr>
        <w:t>cannot</w:t>
      </w:r>
      <w:r w:rsidR="00325641" w:rsidRPr="00E67CCA">
        <w:rPr>
          <w:rFonts w:cs="Times New Roman"/>
        </w:rPr>
        <w:t xml:space="preserve"> </w:t>
      </w:r>
      <w:r w:rsidR="00664E1A" w:rsidRPr="00E67CCA">
        <w:rPr>
          <w:rFonts w:cs="Times New Roman"/>
        </w:rPr>
        <w:t>master lease</w:t>
      </w:r>
      <w:r w:rsidR="00325641" w:rsidRPr="00E67CCA">
        <w:rPr>
          <w:rFonts w:cs="Times New Roman"/>
        </w:rPr>
        <w:t xml:space="preserve"> facilities owned by the Project Sponsor, their parent organization(s), any other related organization(s), or organizations that are members of a partnership where the partnership owns the structure without a HUD-authorized exception.</w:t>
      </w:r>
      <w:r w:rsidR="00097EB5" w:rsidRPr="00E67CCA">
        <w:rPr>
          <w:rFonts w:cs="Times New Roman"/>
        </w:rPr>
        <w:t xml:space="preserve"> </w:t>
      </w:r>
      <w:r w:rsidR="00781D43" w:rsidRPr="00E67CCA">
        <w:rPr>
          <w:rFonts w:cs="Times New Roman"/>
        </w:rPr>
        <w:t>Project Sponsor</w:t>
      </w:r>
      <w:r w:rsidR="008367C1">
        <w:rPr>
          <w:rFonts w:cs="Times New Roman"/>
        </w:rPr>
        <w:t>s that</w:t>
      </w:r>
      <w:r w:rsidR="00097EB5" w:rsidRPr="00E67CCA">
        <w:rPr>
          <w:rFonts w:cs="Times New Roman"/>
        </w:rPr>
        <w:t xml:space="preserve"> collect master-leasing subsidies cannot </w:t>
      </w:r>
      <w:r w:rsidR="008367C1">
        <w:rPr>
          <w:rFonts w:cs="Times New Roman"/>
        </w:rPr>
        <w:t xml:space="preserve">also </w:t>
      </w:r>
      <w:r w:rsidR="00097EB5" w:rsidRPr="00E67CCA">
        <w:rPr>
          <w:rFonts w:cs="Times New Roman"/>
        </w:rPr>
        <w:t>bill for facility leasing costs.</w:t>
      </w:r>
    </w:p>
    <w:p w14:paraId="0008C66A" w14:textId="0A5C7C6F" w:rsidR="005F673A" w:rsidRPr="00E67CCA" w:rsidRDefault="005F673A" w:rsidP="003A5712">
      <w:pPr>
        <w:pStyle w:val="NoSpacing"/>
        <w:numPr>
          <w:ilvl w:val="2"/>
          <w:numId w:val="155"/>
        </w:numPr>
        <w:ind w:left="1890" w:hanging="450"/>
        <w:rPr>
          <w:rFonts w:cs="Times New Roman"/>
        </w:rPr>
      </w:pPr>
      <w:r w:rsidRPr="002A61C8">
        <w:rPr>
          <w:rFonts w:cs="Times New Roman"/>
          <w:bCs/>
          <w:i/>
          <w:iCs/>
        </w:rPr>
        <w:t>Operating Costs</w:t>
      </w:r>
      <w:r w:rsidR="00E67CCA" w:rsidRPr="00E67CCA">
        <w:rPr>
          <w:rFonts w:cs="Times New Roman"/>
          <w:bCs/>
          <w:i/>
          <w:iCs/>
        </w:rPr>
        <w:t xml:space="preserve">. </w:t>
      </w:r>
      <w:r w:rsidRPr="00E67CCA">
        <w:rPr>
          <w:rFonts w:cs="Times New Roman"/>
        </w:rPr>
        <w:t xml:space="preserve">If a Project Sponsor leases single-site or scattered-site facilities and will provide </w:t>
      </w:r>
      <w:r w:rsidR="00116C0F" w:rsidRPr="00E67CCA">
        <w:rPr>
          <w:rFonts w:cs="Times New Roman"/>
        </w:rPr>
        <w:t>TSH</w:t>
      </w:r>
      <w:r w:rsidRPr="00E67CCA">
        <w:rPr>
          <w:rFonts w:cs="Times New Roman"/>
        </w:rPr>
        <w:t xml:space="preserve"> services to households, </w:t>
      </w:r>
      <w:r w:rsidR="00116C0F" w:rsidRPr="00E67CCA">
        <w:rPr>
          <w:rFonts w:cs="Times New Roman"/>
        </w:rPr>
        <w:t>TSH</w:t>
      </w:r>
      <w:r w:rsidRPr="00E67CCA">
        <w:rPr>
          <w:rFonts w:cs="Times New Roman"/>
        </w:rPr>
        <w:t xml:space="preserve"> pays facility operating costs. </w:t>
      </w:r>
      <w:r w:rsidR="00C9153E" w:rsidRPr="00C9153E">
        <w:rPr>
          <w:rFonts w:cs="Times New Roman"/>
        </w:rPr>
        <w:t>Operating costs include interior and exterior maintenance (for example, repairing and cleaning a unit when an assisted household vacates it), security measures, insurance, utilities for the facility and units, furnishings for the facility and units (that remain in the unit when an assisted household vacates it), salary and fringe (for staff directly related to the facility, such as property managers, front desk managers, house managers, etc., but not for staff delivering Supportive Services, such as housing case managers), equipment, supplies, and other incidental costs (for example, certain legal costs).</w:t>
      </w:r>
      <w:r w:rsidR="00116C0F" w:rsidRPr="00E67CCA">
        <w:rPr>
          <w:rFonts w:cs="Times New Roman"/>
        </w:rPr>
        <w:t xml:space="preserve"> </w:t>
      </w:r>
      <w:hyperlink r:id="rId97" w:history="1">
        <w:r w:rsidR="00116C0F" w:rsidRPr="00E67CCA">
          <w:rPr>
            <w:rStyle w:val="Hyperlink"/>
            <w:rFonts w:cs="Times New Roman"/>
          </w:rPr>
          <w:t>Maintenance</w:t>
        </w:r>
      </w:hyperlink>
      <w:r w:rsidR="00116C0F" w:rsidRPr="00E67CCA">
        <w:rPr>
          <w:rFonts w:cs="Times New Roman"/>
        </w:rPr>
        <w:t xml:space="preserve"> costs </w:t>
      </w:r>
      <w:r w:rsidR="008367C1">
        <w:rPr>
          <w:rFonts w:cs="Times New Roman"/>
        </w:rPr>
        <w:t>mean</w:t>
      </w:r>
      <w:r w:rsidR="00116C0F" w:rsidRPr="00E67CCA">
        <w:rPr>
          <w:rFonts w:cs="Times New Roman"/>
        </w:rPr>
        <w:t xml:space="preserve"> protective or preventative measures to keep a facility, its systems, and its grounds in working order; or repair or replacement of appliances or objects </w:t>
      </w:r>
      <w:r w:rsidR="008367C1">
        <w:rPr>
          <w:rFonts w:cs="Times New Roman"/>
        </w:rPr>
        <w:t>not affixed to</w:t>
      </w:r>
      <w:r w:rsidR="00116C0F" w:rsidRPr="00E67CCA">
        <w:rPr>
          <w:rFonts w:cs="Times New Roman"/>
        </w:rPr>
        <w:t xml:space="preserve"> or part of the building. If a Project Sponsor leases a facility, </w:t>
      </w:r>
      <w:r w:rsidR="00DB253F">
        <w:rPr>
          <w:rFonts w:cs="Times New Roman"/>
        </w:rPr>
        <w:t xml:space="preserve">TSH limits </w:t>
      </w:r>
      <w:r w:rsidR="00116C0F" w:rsidRPr="00E67CCA">
        <w:rPr>
          <w:rFonts w:cs="Times New Roman"/>
        </w:rPr>
        <w:t xml:space="preserve">operating costs </w:t>
      </w:r>
      <w:r w:rsidR="00DB253F">
        <w:rPr>
          <w:rFonts w:cs="Times New Roman"/>
        </w:rPr>
        <w:t>to those not</w:t>
      </w:r>
      <w:r w:rsidR="00116C0F" w:rsidRPr="00E67CCA">
        <w:rPr>
          <w:rFonts w:cs="Times New Roman"/>
        </w:rPr>
        <w:t xml:space="preserve"> </w:t>
      </w:r>
      <w:r w:rsidR="00E07A56" w:rsidRPr="00E67CCA">
        <w:rPr>
          <w:rFonts w:cs="Times New Roman"/>
        </w:rPr>
        <w:t>covered by the owner in the rental agreement</w:t>
      </w:r>
      <w:r w:rsidR="00116C0F" w:rsidRPr="00E67CCA">
        <w:rPr>
          <w:rFonts w:cs="Times New Roman"/>
        </w:rPr>
        <w:t>.</w:t>
      </w:r>
    </w:p>
    <w:p w14:paraId="16E7E808" w14:textId="77777777" w:rsidR="00495AE2" w:rsidRPr="00495AE2" w:rsidRDefault="00495AE2" w:rsidP="00495AE2">
      <w:pPr>
        <w:pStyle w:val="NoSpacing"/>
        <w:ind w:left="720"/>
        <w:rPr>
          <w:rFonts w:cs="Times New Roman"/>
          <w:b/>
          <w:u w:val="single"/>
        </w:rPr>
      </w:pPr>
    </w:p>
    <w:p w14:paraId="1402F8E4" w14:textId="3F6B6AAB" w:rsidR="0034655E" w:rsidRPr="00997CAD" w:rsidRDefault="0034655E">
      <w:pPr>
        <w:pStyle w:val="NoSpacing"/>
        <w:numPr>
          <w:ilvl w:val="1"/>
          <w:numId w:val="86"/>
        </w:numPr>
        <w:rPr>
          <w:rFonts w:cs="Times New Roman"/>
          <w:b/>
          <w:u w:val="single"/>
        </w:rPr>
      </w:pPr>
      <w:r w:rsidRPr="00997CAD">
        <w:rPr>
          <w:rFonts w:cs="Times New Roman"/>
          <w:b/>
          <w:u w:val="single"/>
        </w:rPr>
        <w:t>Ineligible Costs</w:t>
      </w:r>
    </w:p>
    <w:p w14:paraId="51130C2F" w14:textId="25F53CE3" w:rsidR="0034655E" w:rsidRDefault="00BB227A">
      <w:pPr>
        <w:pStyle w:val="NoSpacing"/>
        <w:ind w:left="720"/>
        <w:rPr>
          <w:rFonts w:cs="Times New Roman"/>
        </w:rPr>
      </w:pPr>
      <w:r>
        <w:rPr>
          <w:rFonts w:cs="Times New Roman"/>
        </w:rPr>
        <w:t xml:space="preserve">While not an exhaustive list, </w:t>
      </w:r>
      <w:r w:rsidR="006B4E4F">
        <w:rPr>
          <w:rFonts w:cs="Times New Roman"/>
        </w:rPr>
        <w:t>TSH</w:t>
      </w:r>
      <w:r w:rsidR="0034655E" w:rsidRPr="008026D4">
        <w:rPr>
          <w:rFonts w:cs="Times New Roman"/>
        </w:rPr>
        <w:t xml:space="preserve"> cannot pay rental or utility debts, late or reconnect fees, or mortgages.</w:t>
      </w:r>
      <w:r w:rsidR="0034655E">
        <w:rPr>
          <w:rFonts w:cs="Times New Roman"/>
        </w:rPr>
        <w:t xml:space="preserve"> Per 24 CFR </w:t>
      </w:r>
      <w:r w:rsidR="0034655E" w:rsidRPr="00034D7E">
        <w:rPr>
          <w:rFonts w:cs="Times New Roman"/>
        </w:rPr>
        <w:t>§574.320</w:t>
      </w:r>
      <w:r w:rsidR="0034655E">
        <w:rPr>
          <w:rFonts w:cs="Times New Roman"/>
        </w:rPr>
        <w:t xml:space="preserve">(a)(1), </w:t>
      </w:r>
      <w:r w:rsidR="006B4E4F">
        <w:rPr>
          <w:rFonts w:cs="Times New Roman"/>
        </w:rPr>
        <w:t>TSH</w:t>
      </w:r>
      <w:r w:rsidR="0034655E">
        <w:rPr>
          <w:rFonts w:cs="Times New Roman"/>
        </w:rPr>
        <w:t xml:space="preserve"> </w:t>
      </w:r>
      <w:r w:rsidR="00551FA2" w:rsidRPr="00551FA2">
        <w:rPr>
          <w:rFonts w:cs="Times New Roman"/>
        </w:rPr>
        <w:t xml:space="preserve">cannot pay more or less than </w:t>
      </w:r>
      <w:r w:rsidR="006E6ED9">
        <w:rPr>
          <w:rFonts w:cs="Times New Roman"/>
        </w:rPr>
        <w:t>a household’s</w:t>
      </w:r>
      <w:r w:rsidR="00551FA2" w:rsidRPr="00551FA2">
        <w:rPr>
          <w:rFonts w:cs="Times New Roman"/>
        </w:rPr>
        <w:t xml:space="preserve"> calculated monthly rental assistance subsidy </w:t>
      </w:r>
      <w:r w:rsidR="0034655E">
        <w:rPr>
          <w:rFonts w:cs="Times New Roman"/>
        </w:rPr>
        <w:t>(see</w:t>
      </w:r>
      <w:r w:rsidR="004044AB">
        <w:rPr>
          <w:rFonts w:cs="Times New Roman"/>
        </w:rPr>
        <w:t xml:space="preserve"> 2.</w:t>
      </w:r>
      <w:r w:rsidR="0034655E">
        <w:rPr>
          <w:rFonts w:cs="Times New Roman"/>
        </w:rPr>
        <w:t xml:space="preserve"> Eligible Costs above).</w:t>
      </w:r>
      <w:r w:rsidR="0034655E" w:rsidRPr="008026D4">
        <w:rPr>
          <w:rFonts w:cs="Times New Roman"/>
        </w:rPr>
        <w:t xml:space="preserve"> </w:t>
      </w:r>
      <w:r w:rsidR="00293059">
        <w:rPr>
          <w:rFonts w:cs="Times New Roman"/>
        </w:rPr>
        <w:t xml:space="preserve">While </w:t>
      </w:r>
      <w:r w:rsidR="006B4E4F">
        <w:rPr>
          <w:rFonts w:cs="Times New Roman"/>
        </w:rPr>
        <w:t>TSH</w:t>
      </w:r>
      <w:r w:rsidR="0034655E" w:rsidRPr="008026D4">
        <w:rPr>
          <w:rFonts w:cs="Times New Roman"/>
        </w:rPr>
        <w:t xml:space="preserve"> cannot pay initial move-in costs (e.g., application and administrative fees, </w:t>
      </w:r>
      <w:proofErr w:type="gramStart"/>
      <w:r w:rsidR="0034655E" w:rsidRPr="008026D4">
        <w:rPr>
          <w:rFonts w:cs="Times New Roman"/>
        </w:rPr>
        <w:t>security</w:t>
      </w:r>
      <w:proofErr w:type="gramEnd"/>
      <w:r w:rsidR="0034655E" w:rsidRPr="008026D4">
        <w:rPr>
          <w:rFonts w:cs="Times New Roman"/>
        </w:rPr>
        <w:t xml:space="preserve"> </w:t>
      </w:r>
      <w:r w:rsidR="0034655E">
        <w:rPr>
          <w:rFonts w:cs="Times New Roman"/>
        </w:rPr>
        <w:t>and utility</w:t>
      </w:r>
      <w:r w:rsidR="0034655E" w:rsidRPr="008026D4">
        <w:rPr>
          <w:rFonts w:cs="Times New Roman"/>
        </w:rPr>
        <w:t xml:space="preserve"> deposits, etc.)</w:t>
      </w:r>
      <w:r w:rsidR="00293059">
        <w:rPr>
          <w:rFonts w:cs="Times New Roman"/>
        </w:rPr>
        <w:t xml:space="preserve">, Project Sponsors </w:t>
      </w:r>
      <w:r w:rsidR="00551FA2">
        <w:rPr>
          <w:rFonts w:cs="Times New Roman"/>
        </w:rPr>
        <w:t>can</w:t>
      </w:r>
      <w:r w:rsidR="00293059">
        <w:rPr>
          <w:rFonts w:cs="Times New Roman"/>
        </w:rPr>
        <w:t xml:space="preserve"> </w:t>
      </w:r>
      <w:r w:rsidR="00C71993">
        <w:rPr>
          <w:rFonts w:cs="Times New Roman"/>
        </w:rPr>
        <w:t>pay such costs using PHP</w:t>
      </w:r>
      <w:r w:rsidR="0034655E" w:rsidRPr="008026D4">
        <w:rPr>
          <w:rFonts w:cs="Times New Roman"/>
        </w:rPr>
        <w:t>.</w:t>
      </w:r>
    </w:p>
    <w:p w14:paraId="62C73A3E" w14:textId="4C2D87FC" w:rsidR="0034655E" w:rsidRDefault="0034655E">
      <w:pPr>
        <w:pStyle w:val="NoSpacing"/>
        <w:ind w:left="720"/>
        <w:rPr>
          <w:rFonts w:cs="Times New Roman"/>
          <w:color w:val="C00000"/>
        </w:rPr>
      </w:pPr>
      <w:r w:rsidRPr="00A11E5E">
        <w:rPr>
          <w:rFonts w:cs="Times New Roman"/>
          <w:b/>
          <w:color w:val="C00000"/>
        </w:rPr>
        <w:t>NOTE:</w:t>
      </w:r>
      <w:r w:rsidRPr="00A11E5E">
        <w:rPr>
          <w:rFonts w:cs="Times New Roman"/>
          <w:color w:val="C00000"/>
        </w:rPr>
        <w:t xml:space="preserve"> Households cannot receive </w:t>
      </w:r>
      <w:r w:rsidR="006B4E4F">
        <w:rPr>
          <w:rFonts w:cs="Times New Roman"/>
          <w:color w:val="C00000"/>
        </w:rPr>
        <w:t>TSH</w:t>
      </w:r>
      <w:r w:rsidRPr="00A11E5E">
        <w:rPr>
          <w:rFonts w:cs="Times New Roman"/>
          <w:color w:val="C00000"/>
        </w:rPr>
        <w:t xml:space="preserve"> and STRMU</w:t>
      </w:r>
      <w:r>
        <w:rPr>
          <w:rFonts w:cs="Times New Roman"/>
          <w:color w:val="C00000"/>
        </w:rPr>
        <w:t xml:space="preserve"> or </w:t>
      </w:r>
      <w:r w:rsidR="006B4E4F">
        <w:rPr>
          <w:rFonts w:cs="Times New Roman"/>
          <w:color w:val="C00000"/>
        </w:rPr>
        <w:t>TBRA</w:t>
      </w:r>
      <w:r w:rsidRPr="00A11E5E">
        <w:rPr>
          <w:rFonts w:cs="Times New Roman"/>
          <w:color w:val="C00000"/>
        </w:rPr>
        <w:t xml:space="preserve"> services at the same time</w:t>
      </w:r>
      <w:r>
        <w:rPr>
          <w:rFonts w:cs="Times New Roman"/>
          <w:color w:val="C00000"/>
        </w:rPr>
        <w:t xml:space="preserve"> (i.e., </w:t>
      </w:r>
      <w:r w:rsidR="006B4E4F">
        <w:rPr>
          <w:rFonts w:cs="Times New Roman"/>
          <w:color w:val="C00000"/>
        </w:rPr>
        <w:t>TSH</w:t>
      </w:r>
      <w:r>
        <w:rPr>
          <w:rFonts w:cs="Times New Roman"/>
          <w:color w:val="C00000"/>
        </w:rPr>
        <w:t xml:space="preserve"> and STRMU or T</w:t>
      </w:r>
      <w:r w:rsidR="006B4E4F">
        <w:rPr>
          <w:rFonts w:cs="Times New Roman"/>
          <w:color w:val="C00000"/>
        </w:rPr>
        <w:t>BRA</w:t>
      </w:r>
      <w:r>
        <w:rPr>
          <w:rFonts w:cs="Times New Roman"/>
          <w:color w:val="C00000"/>
        </w:rPr>
        <w:t xml:space="preserve"> service periods </w:t>
      </w:r>
      <w:r w:rsidR="00B70170">
        <w:rPr>
          <w:rFonts w:cs="Times New Roman"/>
          <w:color w:val="C00000"/>
        </w:rPr>
        <w:t>cannot</w:t>
      </w:r>
      <w:r>
        <w:rPr>
          <w:rFonts w:cs="Times New Roman"/>
          <w:color w:val="C00000"/>
        </w:rPr>
        <w:t xml:space="preserve"> overlap)</w:t>
      </w:r>
      <w:r w:rsidRPr="00A11E5E">
        <w:rPr>
          <w:rFonts w:cs="Times New Roman"/>
          <w:color w:val="C00000"/>
        </w:rPr>
        <w:t>.</w:t>
      </w:r>
    </w:p>
    <w:p w14:paraId="1A9012A2" w14:textId="41CD4170" w:rsidR="00F03865" w:rsidRPr="00DA098E" w:rsidRDefault="00F03865">
      <w:pPr>
        <w:pStyle w:val="NoSpacing"/>
        <w:ind w:left="720"/>
        <w:rPr>
          <w:rFonts w:cs="Times New Roman"/>
        </w:rPr>
      </w:pPr>
    </w:p>
    <w:p w14:paraId="10124E31" w14:textId="09C6BF3E" w:rsidR="0034655E" w:rsidRPr="00997CAD" w:rsidRDefault="0034655E">
      <w:pPr>
        <w:pStyle w:val="NoSpacing"/>
        <w:numPr>
          <w:ilvl w:val="1"/>
          <w:numId w:val="86"/>
        </w:numPr>
        <w:rPr>
          <w:rFonts w:cs="Times New Roman"/>
          <w:b/>
          <w:u w:val="single"/>
        </w:rPr>
      </w:pPr>
      <w:r w:rsidRPr="008B0F3E">
        <w:rPr>
          <w:rFonts w:cs="Times New Roman"/>
          <w:b/>
          <w:u w:val="single"/>
        </w:rPr>
        <w:t>Establishing</w:t>
      </w:r>
      <w:r w:rsidRPr="00997CAD">
        <w:rPr>
          <w:rFonts w:cs="Times New Roman"/>
          <w:b/>
          <w:u w:val="single"/>
        </w:rPr>
        <w:t xml:space="preserve"> Additional Service </w:t>
      </w:r>
      <w:r w:rsidR="00D07784">
        <w:rPr>
          <w:rFonts w:cs="Times New Roman"/>
          <w:b/>
          <w:u w:val="single"/>
        </w:rPr>
        <w:t>Requirements</w:t>
      </w:r>
    </w:p>
    <w:p w14:paraId="294E7655" w14:textId="0618C348" w:rsidR="0034655E" w:rsidRDefault="00F60BE9">
      <w:pPr>
        <w:pStyle w:val="NoSpacing"/>
        <w:ind w:left="720"/>
        <w:rPr>
          <w:rFonts w:cs="Times New Roman"/>
        </w:rPr>
      </w:pPr>
      <w:r w:rsidRPr="00AA771E">
        <w:rPr>
          <w:rFonts w:cs="Times New Roman"/>
        </w:rPr>
        <w:t xml:space="preserve">HUD permits </w:t>
      </w:r>
      <w:r w:rsidR="0034655E" w:rsidRPr="008026D4">
        <w:rPr>
          <w:rFonts w:cs="Times New Roman"/>
        </w:rPr>
        <w:t xml:space="preserve">Project Sponsors </w:t>
      </w:r>
      <w:r>
        <w:rPr>
          <w:rFonts w:cs="Times New Roman"/>
        </w:rPr>
        <w:t>to</w:t>
      </w:r>
      <w:r w:rsidRPr="008026D4">
        <w:rPr>
          <w:rFonts w:cs="Times New Roman"/>
        </w:rPr>
        <w:t xml:space="preserve"> </w:t>
      </w:r>
      <w:r w:rsidR="0034655E" w:rsidRPr="008026D4">
        <w:rPr>
          <w:rFonts w:cs="Times New Roman"/>
        </w:rPr>
        <w:t xml:space="preserve">establish additional </w:t>
      </w:r>
      <w:r w:rsidR="006919D0">
        <w:rPr>
          <w:rFonts w:cs="Times New Roman"/>
        </w:rPr>
        <w:t xml:space="preserve">TSH </w:t>
      </w:r>
      <w:r w:rsidR="0034655E" w:rsidRPr="008026D4">
        <w:rPr>
          <w:rFonts w:cs="Times New Roman"/>
        </w:rPr>
        <w:t xml:space="preserve">service </w:t>
      </w:r>
      <w:r w:rsidR="00D07784">
        <w:rPr>
          <w:rFonts w:cs="Times New Roman"/>
        </w:rPr>
        <w:t>requirements</w:t>
      </w:r>
      <w:r w:rsidR="0034655E" w:rsidRPr="008026D4">
        <w:rPr>
          <w:rFonts w:cs="Times New Roman"/>
        </w:rPr>
        <w:t xml:space="preserve"> </w:t>
      </w:r>
      <w:r w:rsidR="00D34186" w:rsidRPr="00AA771E">
        <w:rPr>
          <w:rFonts w:cs="Times New Roman"/>
        </w:rPr>
        <w:t xml:space="preserve">as a means of prioritizing benefits to those </w:t>
      </w:r>
      <w:r w:rsidR="00D34186">
        <w:rPr>
          <w:rFonts w:cs="Times New Roman"/>
        </w:rPr>
        <w:t>with the greatest need</w:t>
      </w:r>
      <w:r w:rsidR="0034655E" w:rsidRPr="00AA771E">
        <w:rPr>
          <w:rFonts w:cs="Times New Roman"/>
        </w:rPr>
        <w:t xml:space="preserve">. </w:t>
      </w:r>
      <w:r w:rsidR="00D120C7">
        <w:rPr>
          <w:rFonts w:cs="Times New Roman"/>
        </w:rPr>
        <w:t>H</w:t>
      </w:r>
      <w:r w:rsidR="00D22435" w:rsidRPr="00D22435">
        <w:rPr>
          <w:rFonts w:cs="Times New Roman"/>
        </w:rPr>
        <w:t>UD's Office of Fair Housing and Equal Opportunity (FHEO) must approve local preferences to ensure such practices do not discriminate or inadvertently exclude any persons by design or omission.</w:t>
      </w:r>
      <w:r w:rsidR="0034655E">
        <w:rPr>
          <w:rFonts w:cs="Times New Roman"/>
        </w:rPr>
        <w:t xml:space="preserve"> </w:t>
      </w:r>
      <w:r w:rsidR="0034655E" w:rsidRPr="008026D4">
        <w:rPr>
          <w:rFonts w:cs="Times New Roman"/>
        </w:rPr>
        <w:t xml:space="preserve">If a Project Sponsor establishes additional </w:t>
      </w:r>
      <w:r w:rsidR="00232BEC">
        <w:rPr>
          <w:rFonts w:cs="Times New Roman"/>
        </w:rPr>
        <w:t>service requirements</w:t>
      </w:r>
      <w:r w:rsidR="0034655E" w:rsidRPr="008026D4">
        <w:rPr>
          <w:rFonts w:cs="Times New Roman"/>
        </w:rPr>
        <w:t xml:space="preserve">, they must collaborate with </w:t>
      </w:r>
      <w:r w:rsidR="00570DA0">
        <w:rPr>
          <w:rFonts w:cs="Times New Roman"/>
        </w:rPr>
        <w:t>their AA</w:t>
      </w:r>
      <w:r w:rsidR="0034655E" w:rsidRPr="008026D4">
        <w:rPr>
          <w:rFonts w:cs="Times New Roman"/>
        </w:rPr>
        <w:t xml:space="preserve"> to develop a local program policy</w:t>
      </w:r>
      <w:r w:rsidR="0034655E">
        <w:rPr>
          <w:rFonts w:cs="Times New Roman"/>
        </w:rPr>
        <w:t xml:space="preserve">. </w:t>
      </w:r>
      <w:r w:rsidR="00570DA0">
        <w:rPr>
          <w:rFonts w:cs="Times New Roman"/>
        </w:rPr>
        <w:t>Their AA</w:t>
      </w:r>
      <w:r w:rsidR="0034655E" w:rsidRPr="008026D4">
        <w:rPr>
          <w:rFonts w:cs="Times New Roman"/>
        </w:rPr>
        <w:t xml:space="preserve"> must </w:t>
      </w:r>
      <w:r w:rsidR="0034655E">
        <w:rPr>
          <w:rFonts w:cs="Times New Roman"/>
        </w:rPr>
        <w:t xml:space="preserve">consult with DSHS and DSHS must consult with HUD before </w:t>
      </w:r>
      <w:r w:rsidR="008C271C">
        <w:rPr>
          <w:rFonts w:cs="Times New Roman"/>
        </w:rPr>
        <w:t>DSHS approves the policy</w:t>
      </w:r>
      <w:r w:rsidR="0034655E" w:rsidRPr="008026D4">
        <w:rPr>
          <w:rFonts w:cs="Times New Roman"/>
        </w:rPr>
        <w:t xml:space="preserve">. For example, a Project Sponsor could </w:t>
      </w:r>
      <w:r w:rsidR="00232BEC">
        <w:rPr>
          <w:rFonts w:cs="Times New Roman"/>
        </w:rPr>
        <w:t>prioritize</w:t>
      </w:r>
      <w:r w:rsidR="00232BEC" w:rsidRPr="008026D4">
        <w:rPr>
          <w:rFonts w:cs="Times New Roman"/>
        </w:rPr>
        <w:t xml:space="preserve"> </w:t>
      </w:r>
      <w:r w:rsidR="006B4E4F">
        <w:rPr>
          <w:rFonts w:cs="Times New Roman"/>
        </w:rPr>
        <w:t>TSH</w:t>
      </w:r>
      <w:r w:rsidR="0034655E" w:rsidRPr="008026D4">
        <w:rPr>
          <w:rFonts w:cs="Times New Roman"/>
        </w:rPr>
        <w:t xml:space="preserve"> services to households at or below 30 percent of area median income per the household’s county of residence. </w:t>
      </w:r>
      <w:r w:rsidR="009C621C">
        <w:rPr>
          <w:rFonts w:cs="Times New Roman"/>
        </w:rPr>
        <w:t>Or</w:t>
      </w:r>
      <w:r w:rsidR="0034655E">
        <w:rPr>
          <w:rFonts w:cs="Times New Roman"/>
        </w:rPr>
        <w:t xml:space="preserve"> a Project Sponsor could establish a cap on the </w:t>
      </w:r>
      <w:r w:rsidR="003C168B">
        <w:rPr>
          <w:rFonts w:cs="Times New Roman"/>
        </w:rPr>
        <w:t>number of months</w:t>
      </w:r>
      <w:r w:rsidR="00232BEC">
        <w:rPr>
          <w:rFonts w:cs="Times New Roman"/>
        </w:rPr>
        <w:t xml:space="preserve"> </w:t>
      </w:r>
      <w:r w:rsidR="0034655E">
        <w:rPr>
          <w:rFonts w:cs="Times New Roman"/>
        </w:rPr>
        <w:t>household</w:t>
      </w:r>
      <w:r w:rsidR="00232BEC">
        <w:rPr>
          <w:rFonts w:cs="Times New Roman"/>
        </w:rPr>
        <w:t>s</w:t>
      </w:r>
      <w:r w:rsidR="0034655E">
        <w:rPr>
          <w:rFonts w:cs="Times New Roman"/>
        </w:rPr>
        <w:t xml:space="preserve"> can receive </w:t>
      </w:r>
      <w:r w:rsidR="006B4E4F">
        <w:rPr>
          <w:rFonts w:cs="Times New Roman"/>
        </w:rPr>
        <w:t>TSH</w:t>
      </w:r>
      <w:r w:rsidR="0034655E">
        <w:rPr>
          <w:rFonts w:cs="Times New Roman"/>
        </w:rPr>
        <w:t xml:space="preserve"> services. </w:t>
      </w:r>
      <w:r w:rsidR="009C621C" w:rsidRPr="008026D4">
        <w:rPr>
          <w:rFonts w:cs="Times New Roman"/>
        </w:rPr>
        <w:t>Or</w:t>
      </w:r>
      <w:r w:rsidR="0034655E" w:rsidRPr="008026D4">
        <w:rPr>
          <w:rFonts w:cs="Times New Roman"/>
        </w:rPr>
        <w:t xml:space="preserve"> a Project Sponsor could </w:t>
      </w:r>
      <w:r w:rsidR="00232BEC">
        <w:rPr>
          <w:rFonts w:cs="Times New Roman"/>
        </w:rPr>
        <w:t>prioritize</w:t>
      </w:r>
      <w:r w:rsidR="00232BEC" w:rsidRPr="008026D4">
        <w:rPr>
          <w:rFonts w:cs="Times New Roman"/>
        </w:rPr>
        <w:t xml:space="preserve"> </w:t>
      </w:r>
      <w:r w:rsidR="006B4E4F">
        <w:rPr>
          <w:rFonts w:cs="Times New Roman"/>
        </w:rPr>
        <w:t>TSH</w:t>
      </w:r>
      <w:r w:rsidR="0034655E" w:rsidRPr="008026D4">
        <w:rPr>
          <w:rFonts w:cs="Times New Roman"/>
        </w:rPr>
        <w:t xml:space="preserve"> services to waitlisted households or </w:t>
      </w:r>
      <w:r w:rsidR="00CF2F22" w:rsidRPr="00CF2F22">
        <w:rPr>
          <w:rFonts w:cs="Times New Roman"/>
        </w:rPr>
        <w:t>households with members who are unemployed, discharging from a hospital, persons with special needs, or presenting with some other specific situation</w:t>
      </w:r>
      <w:r w:rsidR="0034655E" w:rsidRPr="008026D4">
        <w:rPr>
          <w:rFonts w:cs="Times New Roman"/>
        </w:rPr>
        <w:t>.</w:t>
      </w:r>
    </w:p>
    <w:p w14:paraId="274A97AF" w14:textId="59BD4070" w:rsidR="00495AE2" w:rsidRDefault="00495AE2">
      <w:pPr>
        <w:rPr>
          <w:rFonts w:cs="Times New Roman"/>
        </w:rPr>
      </w:pPr>
      <w:r>
        <w:rPr>
          <w:rFonts w:cs="Times New Roman"/>
        </w:rPr>
        <w:br w:type="page"/>
      </w:r>
    </w:p>
    <w:p w14:paraId="421E6E20" w14:textId="77777777" w:rsidR="0034655E" w:rsidRPr="006760E9" w:rsidRDefault="0034655E">
      <w:pPr>
        <w:pStyle w:val="NoSpacing"/>
        <w:numPr>
          <w:ilvl w:val="1"/>
          <w:numId w:val="86"/>
        </w:numPr>
        <w:rPr>
          <w:rFonts w:cs="Times New Roman"/>
          <w:b/>
          <w:u w:val="single"/>
        </w:rPr>
      </w:pPr>
      <w:r w:rsidRPr="006760E9">
        <w:rPr>
          <w:rFonts w:cs="Times New Roman"/>
          <w:b/>
          <w:u w:val="single"/>
        </w:rPr>
        <w:lastRenderedPageBreak/>
        <w:t>Housing Status</w:t>
      </w:r>
    </w:p>
    <w:p w14:paraId="247393E6" w14:textId="411E87EA" w:rsidR="0034655E" w:rsidRPr="00B758D3" w:rsidRDefault="003C168B">
      <w:pPr>
        <w:pStyle w:val="NoSpacing"/>
        <w:ind w:left="720"/>
        <w:rPr>
          <w:rFonts w:cs="Times New Roman"/>
        </w:rPr>
      </w:pPr>
      <w:r w:rsidRPr="003C168B">
        <w:rPr>
          <w:rFonts w:cs="Times New Roman"/>
        </w:rPr>
        <w:t xml:space="preserve">Households must be </w:t>
      </w:r>
      <w:hyperlink r:id="rId98" w:history="1">
        <w:r w:rsidRPr="003C168B">
          <w:rPr>
            <w:rStyle w:val="Hyperlink"/>
            <w:rFonts w:cs="Times New Roman"/>
          </w:rPr>
          <w:t>homeless</w:t>
        </w:r>
      </w:hyperlink>
      <w:r>
        <w:rPr>
          <w:rFonts w:cs="Times New Roman"/>
        </w:rPr>
        <w:t xml:space="preserve"> or </w:t>
      </w:r>
      <w:hyperlink r:id="rId99" w:history="1">
        <w:r w:rsidRPr="003C168B">
          <w:rPr>
            <w:rStyle w:val="Hyperlink"/>
            <w:rFonts w:cs="Times New Roman"/>
          </w:rPr>
          <w:t>at risk of homelessness</w:t>
        </w:r>
      </w:hyperlink>
      <w:r w:rsidRPr="003C168B">
        <w:rPr>
          <w:rFonts w:cs="Times New Roman"/>
        </w:rPr>
        <w:t xml:space="preserve"> as defined by HUD. </w:t>
      </w:r>
      <w:r w:rsidR="00D445BF" w:rsidRPr="004F63F0">
        <w:rPr>
          <w:rFonts w:cs="Times New Roman"/>
        </w:rPr>
        <w:t xml:space="preserve">If </w:t>
      </w:r>
      <w:r w:rsidR="00D445BF">
        <w:rPr>
          <w:rFonts w:cs="Times New Roman"/>
        </w:rPr>
        <w:t>a household</w:t>
      </w:r>
      <w:r w:rsidR="00D445BF" w:rsidRPr="004F63F0">
        <w:rPr>
          <w:rFonts w:cs="Times New Roman"/>
        </w:rPr>
        <w:t xml:space="preserve"> informs a Project Sponsor they are </w:t>
      </w:r>
      <w:r w:rsidR="00D445BF">
        <w:rPr>
          <w:rFonts w:cs="Times New Roman"/>
        </w:rPr>
        <w:t>homeless</w:t>
      </w:r>
      <w:r w:rsidR="00D445BF" w:rsidRPr="004F63F0">
        <w:rPr>
          <w:rFonts w:cs="Times New Roman"/>
        </w:rPr>
        <w:t>,</w:t>
      </w:r>
      <w:r w:rsidR="00D445BF">
        <w:rPr>
          <w:rFonts w:cs="Times New Roman"/>
        </w:rPr>
        <w:t xml:space="preserve"> a</w:t>
      </w:r>
      <w:r w:rsidR="002B32C6">
        <w:rPr>
          <w:rFonts w:cs="Times New Roman"/>
        </w:rPr>
        <w:t>ll</w:t>
      </w:r>
      <w:r w:rsidR="00D445BF" w:rsidRPr="00271B89">
        <w:rPr>
          <w:rFonts w:cs="Times New Roman"/>
        </w:rPr>
        <w:t xml:space="preserve"> household member</w:t>
      </w:r>
      <w:r w:rsidR="002B32C6">
        <w:rPr>
          <w:rFonts w:cs="Times New Roman"/>
        </w:rPr>
        <w:t>s</w:t>
      </w:r>
      <w:r w:rsidR="00D445BF" w:rsidRPr="00271B89">
        <w:rPr>
          <w:rFonts w:cs="Times New Roman"/>
        </w:rPr>
        <w:t xml:space="preserve"> </w:t>
      </w:r>
      <w:r w:rsidR="00903020">
        <w:rPr>
          <w:rFonts w:cs="Times New Roman"/>
        </w:rPr>
        <w:t xml:space="preserve">aged </w:t>
      </w:r>
      <w:r w:rsidR="00D445BF" w:rsidRPr="00271B89">
        <w:rPr>
          <w:rFonts w:cs="Times New Roman"/>
        </w:rPr>
        <w:t xml:space="preserve">18 years </w:t>
      </w:r>
      <w:r w:rsidR="00903020">
        <w:rPr>
          <w:rFonts w:cs="Times New Roman"/>
        </w:rPr>
        <w:t>old or</w:t>
      </w:r>
      <w:r w:rsidR="00D445BF" w:rsidRPr="00271B89">
        <w:rPr>
          <w:rFonts w:cs="Times New Roman"/>
        </w:rPr>
        <w:t xml:space="preserve"> older </w:t>
      </w:r>
      <w:r w:rsidR="00D445BF">
        <w:rPr>
          <w:rFonts w:cs="Times New Roman"/>
        </w:rPr>
        <w:t>complete and sign</w:t>
      </w:r>
      <w:r w:rsidR="00D445BF" w:rsidRPr="00271B89">
        <w:rPr>
          <w:rFonts w:cs="Times New Roman"/>
        </w:rPr>
        <w:t xml:space="preserve"> </w:t>
      </w:r>
      <w:r w:rsidR="00D445BF" w:rsidRPr="003F5DA4">
        <w:rPr>
          <w:rFonts w:cs="Times New Roman"/>
          <w:b/>
          <w:color w:val="5B9BD5" w:themeColor="accent1"/>
        </w:rPr>
        <w:t>Form B: Self-Declaration of Residency</w:t>
      </w:r>
      <w:r w:rsidR="0019001D">
        <w:rPr>
          <w:rFonts w:cs="Times New Roman"/>
        </w:rPr>
        <w:t xml:space="preserve">, </w:t>
      </w:r>
      <w:r w:rsidR="0019001D" w:rsidRPr="0019001D">
        <w:rPr>
          <w:rFonts w:cs="Times New Roman"/>
        </w:rPr>
        <w:t>they do not have a fixed address, and select their homeless category</w:t>
      </w:r>
      <w:r w:rsidR="00D445BF">
        <w:rPr>
          <w:rFonts w:cs="Times New Roman"/>
        </w:rPr>
        <w:t>.</w:t>
      </w:r>
      <w:r w:rsidR="00B758D3">
        <w:rPr>
          <w:rFonts w:cs="Times New Roman"/>
        </w:rPr>
        <w:t xml:space="preserve"> </w:t>
      </w:r>
      <w:r w:rsidR="007A1A62">
        <w:rPr>
          <w:rFonts w:cs="Times New Roman"/>
        </w:rPr>
        <w:t>To receive TSH services, h</w:t>
      </w:r>
      <w:r w:rsidR="0034655E" w:rsidRPr="00B758D3">
        <w:rPr>
          <w:rFonts w:cs="Times New Roman"/>
        </w:rPr>
        <w:t>ouseholds must present evidence of</w:t>
      </w:r>
      <w:r w:rsidR="007A1A62">
        <w:rPr>
          <w:rFonts w:cs="Times New Roman"/>
        </w:rPr>
        <w:t xml:space="preserve"> current or imminent</w:t>
      </w:r>
      <w:r w:rsidR="0034655E" w:rsidRPr="00B758D3">
        <w:rPr>
          <w:rFonts w:cs="Times New Roman"/>
        </w:rPr>
        <w:t xml:space="preserve"> </w:t>
      </w:r>
      <w:r w:rsidR="00B758D3" w:rsidRPr="00ED208F">
        <w:rPr>
          <w:rFonts w:cs="Times New Roman"/>
        </w:rPr>
        <w:t>tenancy in a TSH-assisted unit</w:t>
      </w:r>
      <w:r w:rsidR="00E5057E">
        <w:rPr>
          <w:rFonts w:cs="Times New Roman"/>
        </w:rPr>
        <w:t>.</w:t>
      </w:r>
    </w:p>
    <w:p w14:paraId="00FDA2F8" w14:textId="77777777" w:rsidR="0034655E" w:rsidRPr="00571416" w:rsidRDefault="0034655E">
      <w:pPr>
        <w:pStyle w:val="NoSpacing"/>
        <w:numPr>
          <w:ilvl w:val="2"/>
          <w:numId w:val="86"/>
        </w:numPr>
        <w:rPr>
          <w:rFonts w:cs="Times New Roman"/>
        </w:rPr>
      </w:pPr>
      <w:r w:rsidRPr="00571416">
        <w:rPr>
          <w:rFonts w:cs="Times New Roman"/>
          <w:b/>
        </w:rPr>
        <w:t>Rent</w:t>
      </w:r>
    </w:p>
    <w:p w14:paraId="1D61B15A" w14:textId="6D7C058B" w:rsidR="0034655E" w:rsidRDefault="0034655E">
      <w:pPr>
        <w:pStyle w:val="NoSpacing"/>
        <w:ind w:left="1440"/>
        <w:rPr>
          <w:rFonts w:cs="Times New Roman"/>
        </w:rPr>
      </w:pPr>
      <w:r w:rsidRPr="00571416">
        <w:rPr>
          <w:rFonts w:cs="Times New Roman"/>
        </w:rPr>
        <w:t xml:space="preserve">To receive </w:t>
      </w:r>
      <w:r w:rsidR="00571416" w:rsidRPr="00ED208F">
        <w:rPr>
          <w:rFonts w:cs="Times New Roman"/>
        </w:rPr>
        <w:t>TSH</w:t>
      </w:r>
      <w:r w:rsidRPr="00571416">
        <w:rPr>
          <w:rFonts w:cs="Times New Roman"/>
        </w:rPr>
        <w:t xml:space="preserve"> services, households must have a legal right to reside in the </w:t>
      </w:r>
      <w:r w:rsidR="00571416" w:rsidRPr="00ED208F">
        <w:rPr>
          <w:rFonts w:cs="Times New Roman"/>
        </w:rPr>
        <w:t>TSH-assisted unit</w:t>
      </w:r>
      <w:r w:rsidRPr="00571416">
        <w:rPr>
          <w:rFonts w:cs="Times New Roman"/>
        </w:rPr>
        <w:t xml:space="preserve"> and prove responsibility for paying the rent. Satisfactory evidence of tenancy includes a lease naming the eligible individual as the leaseholder or occupant. </w:t>
      </w:r>
      <w:r w:rsidR="00F71CD9" w:rsidRPr="00F71CD9">
        <w:rPr>
          <w:rFonts w:cs="Times New Roman"/>
        </w:rPr>
        <w:t xml:space="preserve">Generally, if the lease does not name the eligible individual as a tenant or occupant, then they have no legal right to reside in the unit, disqualifying them from </w:t>
      </w:r>
      <w:r w:rsidR="00F71CD9">
        <w:rPr>
          <w:rFonts w:cs="Times New Roman"/>
        </w:rPr>
        <w:t>TSH</w:t>
      </w:r>
      <w:r w:rsidR="00F71CD9" w:rsidRPr="00F71CD9">
        <w:rPr>
          <w:rFonts w:cs="Times New Roman"/>
        </w:rPr>
        <w:t xml:space="preserve"> housing assistance services </w:t>
      </w:r>
      <w:r w:rsidR="00BE6355" w:rsidRPr="00BE6355">
        <w:rPr>
          <w:rFonts w:cs="Times New Roman"/>
        </w:rPr>
        <w:t xml:space="preserve">(see Appendix I: Tenant Lease </w:t>
      </w:r>
      <w:r w:rsidR="004044AB">
        <w:rPr>
          <w:rFonts w:cs="Times New Roman"/>
        </w:rPr>
        <w:t>Provisions</w:t>
      </w:r>
      <w:r w:rsidR="00BE6355" w:rsidRPr="00BE6355">
        <w:rPr>
          <w:rFonts w:cs="Times New Roman"/>
        </w:rPr>
        <w:t xml:space="preserve"> for </w:t>
      </w:r>
      <w:r w:rsidR="00F57BA1">
        <w:rPr>
          <w:rFonts w:cs="Times New Roman"/>
        </w:rPr>
        <w:t xml:space="preserve">additional </w:t>
      </w:r>
      <w:r w:rsidR="002C2298">
        <w:rPr>
          <w:rFonts w:cs="Times New Roman"/>
        </w:rPr>
        <w:t>guidance</w:t>
      </w:r>
      <w:r w:rsidR="00F57BA1">
        <w:rPr>
          <w:rFonts w:cs="Times New Roman"/>
        </w:rPr>
        <w:t xml:space="preserve"> about</w:t>
      </w:r>
      <w:r w:rsidR="00BE6355" w:rsidRPr="00BE6355">
        <w:rPr>
          <w:rFonts w:cs="Times New Roman"/>
        </w:rPr>
        <w:t xml:space="preserve"> lease </w:t>
      </w:r>
      <w:r w:rsidR="004044AB">
        <w:rPr>
          <w:rFonts w:cs="Times New Roman"/>
        </w:rPr>
        <w:t>components</w:t>
      </w:r>
      <w:r w:rsidR="00BE6355" w:rsidRPr="00BE6355">
        <w:rPr>
          <w:rFonts w:cs="Times New Roman"/>
        </w:rPr>
        <w:t>)</w:t>
      </w:r>
      <w:r w:rsidRPr="00571416">
        <w:rPr>
          <w:rFonts w:cs="Times New Roman"/>
        </w:rPr>
        <w:t>.</w:t>
      </w:r>
    </w:p>
    <w:p w14:paraId="6F2C59C6" w14:textId="77777777" w:rsidR="000E1DA7" w:rsidRPr="00571416" w:rsidRDefault="000E1DA7">
      <w:pPr>
        <w:pStyle w:val="NoSpacing"/>
        <w:ind w:left="1440"/>
        <w:rPr>
          <w:rFonts w:cs="Times New Roman"/>
        </w:rPr>
      </w:pPr>
    </w:p>
    <w:p w14:paraId="47DD9872" w14:textId="77777777" w:rsidR="0034655E" w:rsidRPr="00571416" w:rsidRDefault="0034655E">
      <w:pPr>
        <w:pStyle w:val="NoSpacing"/>
        <w:numPr>
          <w:ilvl w:val="2"/>
          <w:numId w:val="86"/>
        </w:numPr>
        <w:rPr>
          <w:rFonts w:cs="Times New Roman"/>
        </w:rPr>
      </w:pPr>
      <w:r w:rsidRPr="00571416">
        <w:rPr>
          <w:rFonts w:cs="Times New Roman"/>
          <w:b/>
        </w:rPr>
        <w:t>Utilities</w:t>
      </w:r>
    </w:p>
    <w:p w14:paraId="1B2E2F16" w14:textId="5C566461" w:rsidR="0034655E" w:rsidRDefault="002C6FB6">
      <w:pPr>
        <w:pStyle w:val="NoSpacing"/>
        <w:ind w:left="1440"/>
        <w:rPr>
          <w:rFonts w:cs="Times New Roman"/>
        </w:rPr>
      </w:pPr>
      <w:r>
        <w:rPr>
          <w:rFonts w:cs="Times New Roman"/>
        </w:rPr>
        <w:t>If</w:t>
      </w:r>
      <w:r w:rsidR="0034655E" w:rsidRPr="00571416">
        <w:rPr>
          <w:rFonts w:cs="Times New Roman"/>
        </w:rPr>
        <w:t xml:space="preserve"> a </w:t>
      </w:r>
      <w:r w:rsidR="00B95ED1">
        <w:rPr>
          <w:rFonts w:cs="Times New Roman"/>
        </w:rPr>
        <w:t>TSH-assisted household</w:t>
      </w:r>
      <w:r w:rsidR="0034655E" w:rsidRPr="00571416">
        <w:rPr>
          <w:rFonts w:cs="Times New Roman"/>
        </w:rPr>
        <w:t xml:space="preserve"> qualifies for a utility reimbursement, </w:t>
      </w:r>
      <w:r w:rsidR="00126812">
        <w:rPr>
          <w:rFonts w:cs="Times New Roman"/>
        </w:rPr>
        <w:t>then the Project Sponsor pays this amount to the utility vendor</w:t>
      </w:r>
      <w:r w:rsidR="0034655E" w:rsidRPr="00571416">
        <w:rPr>
          <w:rFonts w:cs="Times New Roman"/>
        </w:rPr>
        <w:t xml:space="preserve"> (see 9. Utility Allowances and Reimbursements below). Failure to provide a reimbursement of this amount would violate 24 CFR §574.310(d). </w:t>
      </w:r>
      <w:r w:rsidR="006A2AA3" w:rsidRPr="006A2AA3">
        <w:rPr>
          <w:rFonts w:cs="Times New Roman"/>
        </w:rPr>
        <w:t xml:space="preserve">To receive a utility reimbursement, a household member must have a utility account in their name. Individuals with prior utility debt or poor credit history may encounter barriers to establishing utility accounts in their name, </w:t>
      </w:r>
      <w:r w:rsidR="006A2AA3">
        <w:rPr>
          <w:rFonts w:cs="Times New Roman"/>
        </w:rPr>
        <w:t xml:space="preserve">sometimes </w:t>
      </w:r>
      <w:r w:rsidR="006A2AA3" w:rsidRPr="006A2AA3">
        <w:rPr>
          <w:rFonts w:cs="Times New Roman"/>
        </w:rPr>
        <w:t xml:space="preserve">relying on utility accounts established in someone else’s name and bearing responsibility for paying the utility expenses. Project Sponsors cannot exclude such households from receiving utility reimbursements. Instead, Project Sponsors obtain proof of the household’s responsibility for paying </w:t>
      </w:r>
      <w:r w:rsidR="006A2AA3">
        <w:rPr>
          <w:rFonts w:cs="Times New Roman"/>
        </w:rPr>
        <w:t>the</w:t>
      </w:r>
      <w:r w:rsidR="006A2AA3" w:rsidRPr="006A2AA3">
        <w:rPr>
          <w:rFonts w:cs="Times New Roman"/>
        </w:rPr>
        <w:t xml:space="preserve"> utility expenses. For example, if a household uses a utility account in someone else’s name, a Project Sponsor could request a copy of the account holder’s photo identification and a signed statement from the account holder confirming that the household bears responsibility for paying </w:t>
      </w:r>
      <w:r w:rsidR="006A2AA3">
        <w:rPr>
          <w:rFonts w:cs="Times New Roman"/>
        </w:rPr>
        <w:t>the</w:t>
      </w:r>
      <w:r w:rsidR="006A2AA3" w:rsidRPr="006A2AA3">
        <w:rPr>
          <w:rFonts w:cs="Times New Roman"/>
        </w:rPr>
        <w:t xml:space="preserve"> utility expenses.</w:t>
      </w:r>
    </w:p>
    <w:p w14:paraId="73A9EEC9" w14:textId="4F453550" w:rsidR="00ED208F" w:rsidRDefault="00ED208F">
      <w:pPr>
        <w:pStyle w:val="NoSpacing"/>
      </w:pPr>
    </w:p>
    <w:p w14:paraId="55D11CBB" w14:textId="77777777" w:rsidR="0034655E" w:rsidRPr="00997CAD" w:rsidRDefault="0034655E">
      <w:pPr>
        <w:pStyle w:val="NoSpacing"/>
        <w:numPr>
          <w:ilvl w:val="1"/>
          <w:numId w:val="86"/>
        </w:numPr>
        <w:rPr>
          <w:rFonts w:cs="Times New Roman"/>
          <w:b/>
          <w:u w:val="single"/>
        </w:rPr>
      </w:pPr>
      <w:r>
        <w:rPr>
          <w:rFonts w:cs="Times New Roman"/>
          <w:b/>
          <w:u w:val="single"/>
        </w:rPr>
        <w:t>Occupancy Standards</w:t>
      </w:r>
    </w:p>
    <w:p w14:paraId="14426297" w14:textId="2B25E29E" w:rsidR="00F148DC" w:rsidRPr="008026D4" w:rsidRDefault="00A95AA3" w:rsidP="00F148DC">
      <w:pPr>
        <w:pStyle w:val="NoSpacing"/>
        <w:ind w:left="720"/>
        <w:rPr>
          <w:rFonts w:cs="Times New Roman"/>
        </w:rPr>
      </w:pPr>
      <w:r>
        <w:rPr>
          <w:rFonts w:cs="Times New Roman"/>
        </w:rPr>
        <w:t>TSH</w:t>
      </w:r>
      <w:r w:rsidR="0034655E" w:rsidRPr="008026D4">
        <w:rPr>
          <w:rFonts w:cs="Times New Roman"/>
        </w:rPr>
        <w:t xml:space="preserve"> </w:t>
      </w:r>
      <w:r w:rsidR="0034655E">
        <w:rPr>
          <w:rFonts w:cs="Times New Roman"/>
        </w:rPr>
        <w:t>O</w:t>
      </w:r>
      <w:r w:rsidR="0034655E" w:rsidRPr="008026D4">
        <w:rPr>
          <w:rFonts w:cs="Times New Roman"/>
        </w:rPr>
        <w:t xml:space="preserve">ccupancy </w:t>
      </w:r>
      <w:r w:rsidR="0034655E">
        <w:rPr>
          <w:rFonts w:cs="Times New Roman"/>
        </w:rPr>
        <w:t>S</w:t>
      </w:r>
      <w:r w:rsidR="0034655E" w:rsidRPr="008026D4">
        <w:rPr>
          <w:rFonts w:cs="Times New Roman"/>
        </w:rPr>
        <w:t xml:space="preserve">tandards </w:t>
      </w:r>
      <w:r w:rsidR="00F148DC" w:rsidRPr="008026D4">
        <w:rPr>
          <w:rFonts w:cs="Times New Roman"/>
        </w:rPr>
        <w:t>provide</w:t>
      </w:r>
      <w:r w:rsidR="00F148DC">
        <w:rPr>
          <w:rFonts w:cs="Times New Roman"/>
        </w:rPr>
        <w:t xml:space="preserve"> for t</w:t>
      </w:r>
      <w:r w:rsidR="00F148DC" w:rsidRPr="008026D4">
        <w:rPr>
          <w:rFonts w:cs="Times New Roman"/>
        </w:rPr>
        <w:t xml:space="preserve">he smallest </w:t>
      </w:r>
      <w:r w:rsidR="00F148DC">
        <w:rPr>
          <w:rFonts w:cs="Times New Roman"/>
        </w:rPr>
        <w:t>unit size (i.e., number of bedrooms) a household needs</w:t>
      </w:r>
      <w:r w:rsidR="00F148DC" w:rsidRPr="008026D4">
        <w:rPr>
          <w:rFonts w:cs="Times New Roman"/>
        </w:rPr>
        <w:t xml:space="preserve"> without overcrowding</w:t>
      </w:r>
      <w:r w:rsidR="00F148DC">
        <w:rPr>
          <w:rFonts w:cs="Times New Roman"/>
        </w:rPr>
        <w:t>. They also establish guidelines for selecting a</w:t>
      </w:r>
      <w:r w:rsidR="00F148DC" w:rsidRPr="007C37DB">
        <w:t xml:space="preserve"> </w:t>
      </w:r>
      <w:r w:rsidR="00F148DC">
        <w:rPr>
          <w:rFonts w:cs="Times New Roman"/>
        </w:rPr>
        <w:t>rent standard</w:t>
      </w:r>
      <w:r w:rsidR="00F148DC" w:rsidRPr="007C37DB">
        <w:rPr>
          <w:rFonts w:cs="Times New Roman"/>
        </w:rPr>
        <w:t xml:space="preserve"> (</w:t>
      </w:r>
      <w:r w:rsidR="00F148DC" w:rsidRPr="00DF3006">
        <w:rPr>
          <w:rFonts w:cs="Times New Roman"/>
        </w:rPr>
        <w:t>see</w:t>
      </w:r>
      <w:r w:rsidR="00F148DC" w:rsidRPr="007C37DB">
        <w:rPr>
          <w:rFonts w:cs="Times New Roman"/>
        </w:rPr>
        <w:t xml:space="preserve"> </w:t>
      </w:r>
      <w:r w:rsidR="00F148DC">
        <w:rPr>
          <w:rFonts w:cs="Times New Roman"/>
        </w:rPr>
        <w:t>7</w:t>
      </w:r>
      <w:r w:rsidR="00F148DC" w:rsidRPr="007C37DB">
        <w:rPr>
          <w:rFonts w:cs="Times New Roman"/>
        </w:rPr>
        <w:t>. Rent Standard and Rent Reasonableness below)</w:t>
      </w:r>
      <w:r w:rsidR="00F148DC">
        <w:rPr>
          <w:rFonts w:cs="Times New Roman"/>
        </w:rPr>
        <w:t xml:space="preserve">. </w:t>
      </w:r>
      <w:r w:rsidR="00FA4461" w:rsidRPr="00FA4461">
        <w:rPr>
          <w:rFonts w:cs="Times New Roman"/>
        </w:rPr>
        <w:t xml:space="preserve">Project Sponsors determine the unit size a </w:t>
      </w:r>
      <w:proofErr w:type="gramStart"/>
      <w:r w:rsidR="00FA4461" w:rsidRPr="00FA4461">
        <w:rPr>
          <w:rFonts w:cs="Times New Roman"/>
        </w:rPr>
        <w:t>household needs</w:t>
      </w:r>
      <w:proofErr w:type="gramEnd"/>
      <w:r w:rsidR="00FA4461" w:rsidRPr="00FA4461">
        <w:rPr>
          <w:rFonts w:cs="Times New Roman"/>
        </w:rPr>
        <w:t xml:space="preserve"> based on household size and composition. Project Sponsors apply unit size determinations in a uniform, consistent, and non-discriminatory manner for all households of like size and composition. A bedroom must meet applicable Housing Quality Standards (HQS) (see Section 10. Housing Quality Standards) and provide a private area where household members may sleep. If entering an area </w:t>
      </w:r>
      <w:r w:rsidR="00491D58">
        <w:rPr>
          <w:rFonts w:cs="Times New Roman"/>
        </w:rPr>
        <w:t>necessitates</w:t>
      </w:r>
      <w:r w:rsidR="00FA4461" w:rsidRPr="00FA4461">
        <w:rPr>
          <w:rFonts w:cs="Times New Roman"/>
        </w:rPr>
        <w:t xml:space="preserve"> passing through another room, then the space may count as a living/sleeping area, but not a bedroom. The living room may count as a living/sleeping area, but not a bedroom. Kitchens and bathrooms cannot count as living/sleeping areas or bedrooms. When determining an appropriate unit size, Project Sponsors</w:t>
      </w:r>
      <w:r w:rsidR="00F148DC">
        <w:rPr>
          <w:rFonts w:cs="Times New Roman"/>
        </w:rPr>
        <w:t>:</w:t>
      </w:r>
    </w:p>
    <w:p w14:paraId="51CCEFE7" w14:textId="77777777" w:rsidR="00F148DC" w:rsidRPr="008026D4" w:rsidRDefault="00F148DC" w:rsidP="00F148DC">
      <w:pPr>
        <w:pStyle w:val="NoSpacing"/>
        <w:numPr>
          <w:ilvl w:val="2"/>
          <w:numId w:val="85"/>
        </w:numPr>
        <w:rPr>
          <w:rFonts w:cs="Times New Roman"/>
        </w:rPr>
      </w:pPr>
      <w:r>
        <w:rPr>
          <w:rFonts w:cs="Times New Roman"/>
        </w:rPr>
        <w:t>P</w:t>
      </w:r>
      <w:r w:rsidRPr="008026D4">
        <w:rPr>
          <w:rFonts w:cs="Times New Roman"/>
        </w:rPr>
        <w:t xml:space="preserve">rovide </w:t>
      </w:r>
      <w:r>
        <w:rPr>
          <w:rFonts w:cs="Times New Roman"/>
        </w:rPr>
        <w:t xml:space="preserve">for </w:t>
      </w:r>
      <w:r w:rsidRPr="008026D4">
        <w:rPr>
          <w:rFonts w:cs="Times New Roman"/>
        </w:rPr>
        <w:t>the smallest numb</w:t>
      </w:r>
      <w:r>
        <w:rPr>
          <w:rFonts w:cs="Times New Roman"/>
        </w:rPr>
        <w:t xml:space="preserve">er of bedrooms a household needs </w:t>
      </w:r>
      <w:r w:rsidRPr="008026D4">
        <w:rPr>
          <w:rFonts w:cs="Times New Roman"/>
        </w:rPr>
        <w:t>without overcrowding.</w:t>
      </w:r>
    </w:p>
    <w:p w14:paraId="3E1C61D6" w14:textId="77777777" w:rsidR="00F148DC" w:rsidRPr="008026D4" w:rsidRDefault="00F148DC" w:rsidP="00F148DC">
      <w:pPr>
        <w:pStyle w:val="NoSpacing"/>
        <w:numPr>
          <w:ilvl w:val="2"/>
          <w:numId w:val="85"/>
        </w:numPr>
        <w:rPr>
          <w:rFonts w:cs="Times New Roman"/>
        </w:rPr>
      </w:pPr>
      <w:r>
        <w:rPr>
          <w:rFonts w:cs="Times New Roman"/>
        </w:rPr>
        <w:t>Comply</w:t>
      </w:r>
      <w:r w:rsidRPr="008026D4">
        <w:rPr>
          <w:rFonts w:cs="Times New Roman"/>
        </w:rPr>
        <w:t xml:space="preserve"> with space requirements under </w:t>
      </w:r>
      <w:r>
        <w:rPr>
          <w:rFonts w:cs="Times New Roman"/>
        </w:rPr>
        <w:t>HQS</w:t>
      </w:r>
      <w:r w:rsidRPr="008026D4">
        <w:rPr>
          <w:rFonts w:cs="Times New Roman"/>
        </w:rPr>
        <w:t>.</w:t>
      </w:r>
    </w:p>
    <w:p w14:paraId="61E21E50" w14:textId="04FCC991" w:rsidR="00F148DC" w:rsidRPr="008026D4" w:rsidRDefault="00F148DC" w:rsidP="00F148DC">
      <w:pPr>
        <w:pStyle w:val="NoSpacing"/>
        <w:numPr>
          <w:ilvl w:val="2"/>
          <w:numId w:val="85"/>
        </w:numPr>
        <w:rPr>
          <w:rFonts w:cs="Times New Roman"/>
        </w:rPr>
      </w:pPr>
      <w:r>
        <w:rPr>
          <w:rFonts w:cs="Times New Roman"/>
        </w:rPr>
        <w:t xml:space="preserve">Include </w:t>
      </w:r>
      <w:r w:rsidRPr="008026D4">
        <w:rPr>
          <w:rFonts w:cs="Times New Roman"/>
        </w:rPr>
        <w:t>child</w:t>
      </w:r>
      <w:r>
        <w:rPr>
          <w:rFonts w:cs="Times New Roman"/>
        </w:rPr>
        <w:t>ren</w:t>
      </w:r>
      <w:r w:rsidRPr="008026D4">
        <w:rPr>
          <w:rFonts w:cs="Times New Roman"/>
        </w:rPr>
        <w:t xml:space="preserve"> temporarily away from the home because of placement in foster care.</w:t>
      </w:r>
    </w:p>
    <w:p w14:paraId="3AB1DF85" w14:textId="70CD6211" w:rsidR="00F148DC" w:rsidRDefault="00F148DC" w:rsidP="00F148DC">
      <w:pPr>
        <w:pStyle w:val="NoSpacing"/>
        <w:numPr>
          <w:ilvl w:val="2"/>
          <w:numId w:val="85"/>
        </w:numPr>
        <w:rPr>
          <w:rFonts w:cs="Times New Roman"/>
        </w:rPr>
      </w:pPr>
      <w:r>
        <w:rPr>
          <w:rFonts w:cs="Times New Roman"/>
        </w:rPr>
        <w:t>Treat a household consisting of only one</w:t>
      </w:r>
      <w:r w:rsidRPr="008026D4">
        <w:rPr>
          <w:rFonts w:cs="Times New Roman"/>
        </w:rPr>
        <w:t xml:space="preserve"> </w:t>
      </w:r>
      <w:r w:rsidR="00CD6AAA">
        <w:rPr>
          <w:rFonts w:cs="Times New Roman"/>
        </w:rPr>
        <w:t>pregnant person</w:t>
      </w:r>
      <w:r>
        <w:rPr>
          <w:rFonts w:cs="Times New Roman"/>
        </w:rPr>
        <w:t xml:space="preserve"> as</w:t>
      </w:r>
      <w:r w:rsidRPr="008026D4">
        <w:rPr>
          <w:rFonts w:cs="Times New Roman"/>
        </w:rPr>
        <w:t xml:space="preserve"> </w:t>
      </w:r>
      <w:r>
        <w:rPr>
          <w:rFonts w:cs="Times New Roman"/>
        </w:rPr>
        <w:t>a two-person household.</w:t>
      </w:r>
    </w:p>
    <w:p w14:paraId="54D8BFD7" w14:textId="77777777" w:rsidR="00F148DC" w:rsidRPr="008026D4" w:rsidRDefault="00F148DC" w:rsidP="00F148DC">
      <w:pPr>
        <w:pStyle w:val="NoSpacing"/>
        <w:numPr>
          <w:ilvl w:val="2"/>
          <w:numId w:val="85"/>
        </w:numPr>
        <w:rPr>
          <w:rFonts w:cs="Times New Roman"/>
        </w:rPr>
      </w:pPr>
      <w:r>
        <w:rPr>
          <w:rFonts w:cs="Times New Roman"/>
        </w:rPr>
        <w:t>Permit small children (less than two years of age) to share a one-bedroom with a single parent.</w:t>
      </w:r>
    </w:p>
    <w:p w14:paraId="1A4482BC" w14:textId="77777777" w:rsidR="00F148DC" w:rsidRPr="008026D4" w:rsidRDefault="00F148DC" w:rsidP="00F148DC">
      <w:pPr>
        <w:pStyle w:val="NoSpacing"/>
        <w:numPr>
          <w:ilvl w:val="2"/>
          <w:numId w:val="85"/>
        </w:numPr>
        <w:rPr>
          <w:rFonts w:cs="Times New Roman"/>
        </w:rPr>
      </w:pPr>
      <w:r>
        <w:rPr>
          <w:rFonts w:cs="Times New Roman"/>
        </w:rPr>
        <w:t>Count a</w:t>
      </w:r>
      <w:r w:rsidRPr="008026D4">
        <w:rPr>
          <w:rFonts w:cs="Times New Roman"/>
        </w:rPr>
        <w:t>ny live-in aide</w:t>
      </w:r>
      <w:r>
        <w:rPr>
          <w:rFonts w:cs="Times New Roman"/>
        </w:rPr>
        <w:t xml:space="preserve"> (approved by the Project Sponsor to reside in the unit)</w:t>
      </w:r>
      <w:r w:rsidRPr="008026D4">
        <w:rPr>
          <w:rFonts w:cs="Times New Roman"/>
        </w:rPr>
        <w:t>.</w:t>
      </w:r>
    </w:p>
    <w:p w14:paraId="515821CA" w14:textId="77777777" w:rsidR="00F148DC" w:rsidRPr="008026D4" w:rsidRDefault="00F148DC" w:rsidP="00F148DC">
      <w:pPr>
        <w:pStyle w:val="NoSpacing"/>
        <w:numPr>
          <w:ilvl w:val="2"/>
          <w:numId w:val="85"/>
        </w:numPr>
        <w:rPr>
          <w:rFonts w:cs="Times New Roman"/>
        </w:rPr>
      </w:pPr>
      <w:r>
        <w:rPr>
          <w:rFonts w:cs="Times New Roman"/>
        </w:rPr>
        <w:t>Allow</w:t>
      </w:r>
      <w:r w:rsidRPr="008026D4">
        <w:rPr>
          <w:rFonts w:cs="Times New Roman"/>
        </w:rPr>
        <w:t xml:space="preserve"> elderly or disabled household members </w:t>
      </w:r>
      <w:r>
        <w:rPr>
          <w:rFonts w:cs="Times New Roman"/>
        </w:rPr>
        <w:t>to occupy</w:t>
      </w:r>
      <w:r w:rsidRPr="008026D4">
        <w:rPr>
          <w:rFonts w:cs="Times New Roman"/>
        </w:rPr>
        <w:t xml:space="preserve"> separate bedrooms.</w:t>
      </w:r>
    </w:p>
    <w:p w14:paraId="209C14DC" w14:textId="77777777" w:rsidR="00796B41" w:rsidRDefault="00796B41">
      <w:pPr>
        <w:pStyle w:val="NoSpacing"/>
        <w:ind w:left="720"/>
        <w:rPr>
          <w:rFonts w:cs="Times New Roman"/>
        </w:rPr>
      </w:pPr>
    </w:p>
    <w:p w14:paraId="0BEBEF9F" w14:textId="6C1B5AA2" w:rsidR="00495AE2" w:rsidRDefault="00BC0913">
      <w:pPr>
        <w:pStyle w:val="NoSpacing"/>
        <w:ind w:left="720"/>
        <w:rPr>
          <w:rFonts w:cs="Times New Roman"/>
        </w:rPr>
      </w:pPr>
      <w:r w:rsidRPr="008026D4">
        <w:rPr>
          <w:rFonts w:cs="Times New Roman"/>
        </w:rPr>
        <w:t xml:space="preserve">Project Sponsors may grant </w:t>
      </w:r>
      <w:r w:rsidR="0056063D">
        <w:rPr>
          <w:rFonts w:cs="Times New Roman"/>
        </w:rPr>
        <w:t xml:space="preserve">an </w:t>
      </w:r>
      <w:r w:rsidRPr="008026D4">
        <w:rPr>
          <w:rFonts w:cs="Times New Roman"/>
        </w:rPr>
        <w:t xml:space="preserve">exception to the </w:t>
      </w:r>
      <w:r w:rsidR="00347EC1">
        <w:rPr>
          <w:rFonts w:cs="Times New Roman"/>
        </w:rPr>
        <w:t xml:space="preserve">occupancy </w:t>
      </w:r>
      <w:r w:rsidRPr="008026D4">
        <w:rPr>
          <w:rFonts w:cs="Times New Roman"/>
        </w:rPr>
        <w:t xml:space="preserve">standards if justified by the age, sex, health, </w:t>
      </w:r>
      <w:r w:rsidR="00D74042">
        <w:rPr>
          <w:rFonts w:cs="Times New Roman"/>
        </w:rPr>
        <w:t>disability</w:t>
      </w:r>
      <w:r w:rsidRPr="008026D4">
        <w:rPr>
          <w:rFonts w:cs="Times New Roman"/>
        </w:rPr>
        <w:t xml:space="preserve">, or relationship of household members or other personal circumstances. </w:t>
      </w:r>
      <w:r w:rsidR="00F148DC" w:rsidRPr="00F148DC">
        <w:rPr>
          <w:rFonts w:cs="Times New Roman"/>
        </w:rPr>
        <w:t>Project Sponsors must document such exceptions in the household’s record</w:t>
      </w:r>
      <w:r w:rsidR="00F148DC">
        <w:rPr>
          <w:rFonts w:cs="Times New Roman"/>
        </w:rPr>
        <w:t>.</w:t>
      </w:r>
      <w:r w:rsidR="00F148DC" w:rsidRPr="00F148DC" w:rsidDel="00F148DC">
        <w:rPr>
          <w:rFonts w:cs="Times New Roman"/>
        </w:rPr>
        <w:t xml:space="preserve"> </w:t>
      </w:r>
      <w:r w:rsidRPr="008026D4">
        <w:rPr>
          <w:rFonts w:cs="Times New Roman"/>
        </w:rPr>
        <w:t xml:space="preserve">The DSHS HOPWA Program uses the </w:t>
      </w:r>
      <w:hyperlink r:id="rId100" w:history="1">
        <w:r w:rsidR="00281D7B">
          <w:rPr>
            <w:rStyle w:val="Hyperlink"/>
            <w:rFonts w:cs="Times New Roman"/>
          </w:rPr>
          <w:t>HOPWA Rental Assistance Guidebook</w:t>
        </w:r>
      </w:hyperlink>
      <w:r w:rsidRPr="008026D4">
        <w:rPr>
          <w:rFonts w:cs="Times New Roman"/>
        </w:rPr>
        <w:t xml:space="preserve"> to regulate allowable unit size</w:t>
      </w:r>
      <w:r>
        <w:rPr>
          <w:rFonts w:cs="Times New Roman"/>
        </w:rPr>
        <w:t>s.</w:t>
      </w:r>
    </w:p>
    <w:p w14:paraId="7070DA2E" w14:textId="77777777" w:rsidR="00495AE2" w:rsidRDefault="00495AE2">
      <w:pPr>
        <w:rPr>
          <w:rFonts w:cs="Times New Roman"/>
        </w:rPr>
      </w:pPr>
      <w:r>
        <w:rPr>
          <w:rFonts w:cs="Times New Roman"/>
        </w:rPr>
        <w:br w:type="page"/>
      </w:r>
    </w:p>
    <w:tbl>
      <w:tblPr>
        <w:tblW w:w="10224" w:type="dxa"/>
        <w:tblInd w:w="72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20" w:type="dxa"/>
          <w:right w:w="120" w:type="dxa"/>
        </w:tblCellMar>
        <w:tblLook w:val="0000" w:firstRow="0" w:lastRow="0" w:firstColumn="0" w:lastColumn="0" w:noHBand="0" w:noVBand="0"/>
      </w:tblPr>
      <w:tblGrid>
        <w:gridCol w:w="1284"/>
        <w:gridCol w:w="2235"/>
        <w:gridCol w:w="2235"/>
        <w:gridCol w:w="4470"/>
      </w:tblGrid>
      <w:tr w:rsidR="00727E5F" w:rsidRPr="008026D4" w14:paraId="46E5A28C" w14:textId="77777777" w:rsidTr="00CB67A2">
        <w:trPr>
          <w:trHeight w:val="20"/>
        </w:trPr>
        <w:tc>
          <w:tcPr>
            <w:tcW w:w="5000" w:type="pct"/>
            <w:gridSpan w:val="4"/>
            <w:shd w:val="clear" w:color="auto" w:fill="9CC2E5" w:themeFill="accent1" w:themeFillTint="99"/>
          </w:tcPr>
          <w:p w14:paraId="50BB923A" w14:textId="4F926391" w:rsidR="00727E5F" w:rsidRPr="008026D4" w:rsidRDefault="00BC3394">
            <w:pPr>
              <w:tabs>
                <w:tab w:val="center" w:pos="3795"/>
              </w:tabs>
              <w:spacing w:after="0" w:line="240" w:lineRule="auto"/>
              <w:jc w:val="center"/>
              <w:rPr>
                <w:rFonts w:cs="Times New Roman"/>
              </w:rPr>
            </w:pPr>
            <w:r>
              <w:rPr>
                <w:rFonts w:cs="Times New Roman"/>
                <w:b/>
              </w:rPr>
              <w:lastRenderedPageBreak/>
              <w:t>TSH</w:t>
            </w:r>
            <w:r w:rsidR="00727E5F" w:rsidRPr="008026D4">
              <w:rPr>
                <w:rFonts w:cs="Times New Roman"/>
                <w:b/>
              </w:rPr>
              <w:t xml:space="preserve"> Occupancy Standards: Permissible Unit Sizes</w:t>
            </w:r>
          </w:p>
        </w:tc>
      </w:tr>
      <w:tr w:rsidR="00727E5F" w:rsidRPr="008026D4" w14:paraId="2CFF1E5C" w14:textId="77777777" w:rsidTr="00CB67A2">
        <w:trPr>
          <w:trHeight w:val="20"/>
        </w:trPr>
        <w:tc>
          <w:tcPr>
            <w:tcW w:w="628" w:type="pct"/>
            <w:shd w:val="clear" w:color="auto" w:fill="BDD6EE" w:themeFill="accent1" w:themeFillTint="66"/>
          </w:tcPr>
          <w:p w14:paraId="7299A8C7" w14:textId="77777777" w:rsidR="00727E5F" w:rsidRPr="00F30459" w:rsidRDefault="00727E5F" w:rsidP="000E4A24">
            <w:pPr>
              <w:spacing w:after="0" w:line="240" w:lineRule="auto"/>
              <w:jc w:val="center"/>
              <w:rPr>
                <w:rFonts w:cs="Times New Roman"/>
                <w:b/>
              </w:rPr>
            </w:pPr>
            <w:r w:rsidRPr="00F30459">
              <w:rPr>
                <w:rFonts w:cs="Times New Roman"/>
                <w:b/>
              </w:rPr>
              <w:t>Bedrooms</w:t>
            </w:r>
          </w:p>
        </w:tc>
        <w:tc>
          <w:tcPr>
            <w:tcW w:w="1093" w:type="pct"/>
            <w:shd w:val="clear" w:color="auto" w:fill="BDD6EE" w:themeFill="accent1" w:themeFillTint="66"/>
          </w:tcPr>
          <w:p w14:paraId="0BECC4EB" w14:textId="77777777" w:rsidR="00727E5F" w:rsidRPr="00F30459" w:rsidRDefault="00727E5F">
            <w:pPr>
              <w:spacing w:after="0" w:line="240" w:lineRule="auto"/>
              <w:jc w:val="center"/>
              <w:rPr>
                <w:rFonts w:cs="Times New Roman"/>
                <w:b/>
              </w:rPr>
            </w:pPr>
            <w:r w:rsidRPr="00F30459">
              <w:rPr>
                <w:rFonts w:cs="Times New Roman"/>
                <w:b/>
              </w:rPr>
              <w:t xml:space="preserve">Minimum Number of </w:t>
            </w:r>
          </w:p>
          <w:p w14:paraId="154B3122" w14:textId="77777777" w:rsidR="00727E5F" w:rsidRPr="00F30459" w:rsidRDefault="00727E5F">
            <w:pPr>
              <w:spacing w:after="0" w:line="240" w:lineRule="auto"/>
              <w:jc w:val="center"/>
              <w:rPr>
                <w:rFonts w:cs="Times New Roman"/>
                <w:b/>
              </w:rPr>
            </w:pPr>
            <w:r w:rsidRPr="00F30459">
              <w:rPr>
                <w:rFonts w:cs="Times New Roman"/>
                <w:b/>
              </w:rPr>
              <w:t>Household Members</w:t>
            </w:r>
          </w:p>
        </w:tc>
        <w:tc>
          <w:tcPr>
            <w:tcW w:w="1093" w:type="pct"/>
            <w:shd w:val="clear" w:color="auto" w:fill="BDD6EE" w:themeFill="accent1" w:themeFillTint="66"/>
          </w:tcPr>
          <w:p w14:paraId="00A89CF4" w14:textId="77777777" w:rsidR="00727E5F" w:rsidRPr="00F30459" w:rsidRDefault="00727E5F">
            <w:pPr>
              <w:spacing w:after="0" w:line="240" w:lineRule="auto"/>
              <w:jc w:val="center"/>
              <w:rPr>
                <w:rFonts w:cs="Times New Roman"/>
                <w:b/>
              </w:rPr>
            </w:pPr>
            <w:r w:rsidRPr="00F30459">
              <w:rPr>
                <w:rFonts w:cs="Times New Roman"/>
                <w:b/>
              </w:rPr>
              <w:t xml:space="preserve">Maximum Number of </w:t>
            </w:r>
          </w:p>
          <w:p w14:paraId="5F99E793" w14:textId="77777777" w:rsidR="00727E5F" w:rsidRPr="00F30459" w:rsidRDefault="00727E5F">
            <w:pPr>
              <w:spacing w:after="0" w:line="240" w:lineRule="auto"/>
              <w:jc w:val="center"/>
              <w:rPr>
                <w:rFonts w:cs="Times New Roman"/>
                <w:b/>
              </w:rPr>
            </w:pPr>
            <w:r w:rsidRPr="00F30459">
              <w:rPr>
                <w:rFonts w:cs="Times New Roman"/>
                <w:b/>
              </w:rPr>
              <w:t>Household Members</w:t>
            </w:r>
          </w:p>
        </w:tc>
        <w:tc>
          <w:tcPr>
            <w:tcW w:w="2186" w:type="pct"/>
            <w:shd w:val="clear" w:color="auto" w:fill="BDD6EE" w:themeFill="accent1" w:themeFillTint="66"/>
          </w:tcPr>
          <w:p w14:paraId="2E55CF51" w14:textId="35A1A370" w:rsidR="00727E5F" w:rsidRPr="00F30459" w:rsidRDefault="00727E5F">
            <w:pPr>
              <w:spacing w:after="0" w:line="240" w:lineRule="auto"/>
              <w:jc w:val="center"/>
              <w:rPr>
                <w:rFonts w:cs="Times New Roman"/>
                <w:b/>
              </w:rPr>
            </w:pPr>
            <w:r w:rsidRPr="00F30459">
              <w:rPr>
                <w:rFonts w:cs="Times New Roman"/>
                <w:b/>
              </w:rPr>
              <w:t xml:space="preserve">Maximum Occupancy </w:t>
            </w:r>
            <w:r>
              <w:rPr>
                <w:rFonts w:cs="Times New Roman"/>
                <w:b/>
              </w:rPr>
              <w:t xml:space="preserve">if </w:t>
            </w:r>
            <w:r w:rsidR="002B3F3B">
              <w:rPr>
                <w:rFonts w:cs="Times New Roman"/>
                <w:b/>
              </w:rPr>
              <w:t xml:space="preserve">Using the </w:t>
            </w:r>
            <w:r w:rsidRPr="00F30459">
              <w:rPr>
                <w:rFonts w:cs="Times New Roman"/>
                <w:b/>
              </w:rPr>
              <w:t>Living Room</w:t>
            </w:r>
            <w:r w:rsidR="002B3F3B">
              <w:rPr>
                <w:rFonts w:cs="Times New Roman"/>
                <w:b/>
              </w:rPr>
              <w:t xml:space="preserve"> </w:t>
            </w:r>
            <w:r w:rsidRPr="00F30459">
              <w:rPr>
                <w:rFonts w:cs="Times New Roman"/>
                <w:b/>
              </w:rPr>
              <w:t xml:space="preserve">as a Sleeping </w:t>
            </w:r>
            <w:r>
              <w:rPr>
                <w:rFonts w:cs="Times New Roman"/>
                <w:b/>
              </w:rPr>
              <w:t>A</w:t>
            </w:r>
            <w:r w:rsidRPr="00F30459">
              <w:rPr>
                <w:rFonts w:cs="Times New Roman"/>
                <w:b/>
              </w:rPr>
              <w:t>rea</w:t>
            </w:r>
          </w:p>
        </w:tc>
      </w:tr>
      <w:tr w:rsidR="00727E5F" w:rsidRPr="008026D4" w14:paraId="67CFFD43" w14:textId="77777777" w:rsidTr="00CB67A2">
        <w:trPr>
          <w:trHeight w:val="20"/>
        </w:trPr>
        <w:tc>
          <w:tcPr>
            <w:tcW w:w="628" w:type="pct"/>
            <w:shd w:val="clear" w:color="auto" w:fill="BDD6EE" w:themeFill="accent1" w:themeFillTint="66"/>
          </w:tcPr>
          <w:p w14:paraId="523C7148" w14:textId="77777777" w:rsidR="00727E5F" w:rsidRPr="008026D4" w:rsidRDefault="00727E5F" w:rsidP="000E4A24">
            <w:pPr>
              <w:spacing w:after="0" w:line="240" w:lineRule="auto"/>
              <w:jc w:val="center"/>
              <w:rPr>
                <w:rFonts w:cs="Times New Roman"/>
                <w:b/>
              </w:rPr>
            </w:pPr>
            <w:r w:rsidRPr="008026D4">
              <w:rPr>
                <w:rFonts w:cs="Times New Roman"/>
                <w:b/>
              </w:rPr>
              <w:t>0</w:t>
            </w:r>
          </w:p>
        </w:tc>
        <w:tc>
          <w:tcPr>
            <w:tcW w:w="1093" w:type="pct"/>
            <w:shd w:val="clear" w:color="auto" w:fill="DEEAF6" w:themeFill="accent1" w:themeFillTint="33"/>
          </w:tcPr>
          <w:p w14:paraId="73D2CA65" w14:textId="77777777" w:rsidR="00727E5F" w:rsidRPr="008026D4" w:rsidRDefault="00727E5F">
            <w:pPr>
              <w:spacing w:after="0" w:line="240" w:lineRule="auto"/>
              <w:jc w:val="center"/>
              <w:rPr>
                <w:rFonts w:cs="Times New Roman"/>
              </w:rPr>
            </w:pPr>
            <w:r w:rsidRPr="008026D4">
              <w:rPr>
                <w:rFonts w:cs="Times New Roman"/>
              </w:rPr>
              <w:t>1</w:t>
            </w:r>
          </w:p>
        </w:tc>
        <w:tc>
          <w:tcPr>
            <w:tcW w:w="1093" w:type="pct"/>
            <w:shd w:val="clear" w:color="auto" w:fill="DEEAF6" w:themeFill="accent1" w:themeFillTint="33"/>
          </w:tcPr>
          <w:p w14:paraId="78AB6C77" w14:textId="77777777" w:rsidR="00727E5F" w:rsidRPr="008026D4" w:rsidRDefault="00727E5F">
            <w:pPr>
              <w:spacing w:after="0" w:line="240" w:lineRule="auto"/>
              <w:jc w:val="center"/>
              <w:rPr>
                <w:rFonts w:cs="Times New Roman"/>
              </w:rPr>
            </w:pPr>
            <w:r>
              <w:rPr>
                <w:rFonts w:cs="Times New Roman"/>
              </w:rPr>
              <w:t>1</w:t>
            </w:r>
          </w:p>
        </w:tc>
        <w:tc>
          <w:tcPr>
            <w:tcW w:w="2186" w:type="pct"/>
            <w:shd w:val="clear" w:color="auto" w:fill="DEEAF6" w:themeFill="accent1" w:themeFillTint="33"/>
          </w:tcPr>
          <w:p w14:paraId="636D0119" w14:textId="15410D8C" w:rsidR="00727E5F" w:rsidRPr="008026D4" w:rsidRDefault="00084BF8">
            <w:pPr>
              <w:spacing w:after="0" w:line="240" w:lineRule="auto"/>
              <w:jc w:val="center"/>
              <w:rPr>
                <w:rFonts w:cs="Times New Roman"/>
              </w:rPr>
            </w:pPr>
            <w:r>
              <w:rPr>
                <w:rFonts w:cs="Times New Roman"/>
              </w:rPr>
              <w:t>4</w:t>
            </w:r>
          </w:p>
        </w:tc>
      </w:tr>
      <w:tr w:rsidR="00727E5F" w:rsidRPr="008026D4" w14:paraId="7B098D51" w14:textId="77777777" w:rsidTr="00CB67A2">
        <w:trPr>
          <w:trHeight w:val="20"/>
        </w:trPr>
        <w:tc>
          <w:tcPr>
            <w:tcW w:w="628" w:type="pct"/>
            <w:shd w:val="clear" w:color="auto" w:fill="BDD6EE" w:themeFill="accent1" w:themeFillTint="66"/>
          </w:tcPr>
          <w:p w14:paraId="3133E3BC" w14:textId="77777777" w:rsidR="00727E5F" w:rsidRPr="008026D4" w:rsidRDefault="00727E5F" w:rsidP="000E4A24">
            <w:pPr>
              <w:spacing w:after="0" w:line="240" w:lineRule="auto"/>
              <w:jc w:val="center"/>
              <w:rPr>
                <w:rFonts w:cs="Times New Roman"/>
                <w:b/>
              </w:rPr>
            </w:pPr>
            <w:r w:rsidRPr="008026D4">
              <w:rPr>
                <w:rFonts w:cs="Times New Roman"/>
                <w:b/>
              </w:rPr>
              <w:t>1</w:t>
            </w:r>
          </w:p>
        </w:tc>
        <w:tc>
          <w:tcPr>
            <w:tcW w:w="1093" w:type="pct"/>
            <w:shd w:val="clear" w:color="auto" w:fill="DEEAF6" w:themeFill="accent1" w:themeFillTint="33"/>
          </w:tcPr>
          <w:p w14:paraId="2EB46875" w14:textId="77777777" w:rsidR="00727E5F" w:rsidRPr="008026D4" w:rsidRDefault="00727E5F">
            <w:pPr>
              <w:spacing w:after="0" w:line="240" w:lineRule="auto"/>
              <w:jc w:val="center"/>
              <w:rPr>
                <w:rFonts w:cs="Times New Roman"/>
              </w:rPr>
            </w:pPr>
            <w:r w:rsidRPr="008026D4">
              <w:rPr>
                <w:rFonts w:cs="Times New Roman"/>
              </w:rPr>
              <w:t>1</w:t>
            </w:r>
          </w:p>
        </w:tc>
        <w:tc>
          <w:tcPr>
            <w:tcW w:w="1093" w:type="pct"/>
            <w:shd w:val="clear" w:color="auto" w:fill="DEEAF6" w:themeFill="accent1" w:themeFillTint="33"/>
          </w:tcPr>
          <w:p w14:paraId="5A181D14" w14:textId="77777777" w:rsidR="00727E5F" w:rsidRPr="008026D4" w:rsidRDefault="00727E5F">
            <w:pPr>
              <w:spacing w:after="0" w:line="240" w:lineRule="auto"/>
              <w:jc w:val="center"/>
              <w:rPr>
                <w:rFonts w:cs="Times New Roman"/>
              </w:rPr>
            </w:pPr>
            <w:r>
              <w:rPr>
                <w:rFonts w:cs="Times New Roman"/>
              </w:rPr>
              <w:t>2</w:t>
            </w:r>
          </w:p>
        </w:tc>
        <w:tc>
          <w:tcPr>
            <w:tcW w:w="2186" w:type="pct"/>
            <w:shd w:val="clear" w:color="auto" w:fill="DEEAF6" w:themeFill="accent1" w:themeFillTint="33"/>
          </w:tcPr>
          <w:p w14:paraId="6A207A87" w14:textId="77777777" w:rsidR="00727E5F" w:rsidRPr="008026D4" w:rsidRDefault="00727E5F">
            <w:pPr>
              <w:spacing w:after="0" w:line="240" w:lineRule="auto"/>
              <w:jc w:val="center"/>
              <w:rPr>
                <w:rFonts w:cs="Times New Roman"/>
              </w:rPr>
            </w:pPr>
            <w:r>
              <w:rPr>
                <w:rFonts w:cs="Times New Roman"/>
              </w:rPr>
              <w:t>4</w:t>
            </w:r>
          </w:p>
        </w:tc>
      </w:tr>
      <w:tr w:rsidR="00727E5F" w:rsidRPr="008026D4" w14:paraId="14728F71" w14:textId="77777777" w:rsidTr="00CB67A2">
        <w:trPr>
          <w:trHeight w:val="20"/>
        </w:trPr>
        <w:tc>
          <w:tcPr>
            <w:tcW w:w="628" w:type="pct"/>
            <w:shd w:val="clear" w:color="auto" w:fill="BDD6EE" w:themeFill="accent1" w:themeFillTint="66"/>
          </w:tcPr>
          <w:p w14:paraId="387F5B6E" w14:textId="77777777" w:rsidR="00727E5F" w:rsidRPr="008026D4" w:rsidRDefault="00727E5F" w:rsidP="000E4A24">
            <w:pPr>
              <w:spacing w:after="0" w:line="240" w:lineRule="auto"/>
              <w:jc w:val="center"/>
              <w:rPr>
                <w:rFonts w:cs="Times New Roman"/>
                <w:b/>
              </w:rPr>
            </w:pPr>
            <w:r w:rsidRPr="008026D4">
              <w:rPr>
                <w:rFonts w:cs="Times New Roman"/>
                <w:b/>
              </w:rPr>
              <w:t>2</w:t>
            </w:r>
          </w:p>
        </w:tc>
        <w:tc>
          <w:tcPr>
            <w:tcW w:w="1093" w:type="pct"/>
            <w:shd w:val="clear" w:color="auto" w:fill="DEEAF6" w:themeFill="accent1" w:themeFillTint="33"/>
          </w:tcPr>
          <w:p w14:paraId="08E3604F" w14:textId="77777777" w:rsidR="00727E5F" w:rsidRPr="008026D4" w:rsidRDefault="00727E5F">
            <w:pPr>
              <w:spacing w:after="0" w:line="240" w:lineRule="auto"/>
              <w:jc w:val="center"/>
              <w:rPr>
                <w:rFonts w:cs="Times New Roman"/>
              </w:rPr>
            </w:pPr>
            <w:r w:rsidRPr="008026D4">
              <w:rPr>
                <w:rFonts w:cs="Times New Roman"/>
              </w:rPr>
              <w:t>2</w:t>
            </w:r>
          </w:p>
        </w:tc>
        <w:tc>
          <w:tcPr>
            <w:tcW w:w="1093" w:type="pct"/>
            <w:shd w:val="clear" w:color="auto" w:fill="DEEAF6" w:themeFill="accent1" w:themeFillTint="33"/>
          </w:tcPr>
          <w:p w14:paraId="15F265E8" w14:textId="77777777" w:rsidR="00727E5F" w:rsidRPr="008026D4" w:rsidRDefault="00727E5F">
            <w:pPr>
              <w:spacing w:after="0" w:line="240" w:lineRule="auto"/>
              <w:jc w:val="center"/>
              <w:rPr>
                <w:rFonts w:cs="Times New Roman"/>
              </w:rPr>
            </w:pPr>
            <w:r>
              <w:rPr>
                <w:rFonts w:cs="Times New Roman"/>
              </w:rPr>
              <w:t>4</w:t>
            </w:r>
          </w:p>
        </w:tc>
        <w:tc>
          <w:tcPr>
            <w:tcW w:w="2186" w:type="pct"/>
            <w:shd w:val="clear" w:color="auto" w:fill="DEEAF6" w:themeFill="accent1" w:themeFillTint="33"/>
          </w:tcPr>
          <w:p w14:paraId="0F3C3965" w14:textId="77777777" w:rsidR="00727E5F" w:rsidRPr="008026D4" w:rsidRDefault="00727E5F">
            <w:pPr>
              <w:spacing w:after="0" w:line="240" w:lineRule="auto"/>
              <w:jc w:val="center"/>
              <w:rPr>
                <w:rFonts w:cs="Times New Roman"/>
              </w:rPr>
            </w:pPr>
            <w:r>
              <w:rPr>
                <w:rFonts w:cs="Times New Roman"/>
              </w:rPr>
              <w:t>6</w:t>
            </w:r>
          </w:p>
        </w:tc>
      </w:tr>
      <w:tr w:rsidR="00727E5F" w:rsidRPr="008026D4" w14:paraId="0A99457C" w14:textId="77777777" w:rsidTr="00CB67A2">
        <w:trPr>
          <w:trHeight w:val="20"/>
        </w:trPr>
        <w:tc>
          <w:tcPr>
            <w:tcW w:w="628" w:type="pct"/>
            <w:shd w:val="clear" w:color="auto" w:fill="BDD6EE" w:themeFill="accent1" w:themeFillTint="66"/>
          </w:tcPr>
          <w:p w14:paraId="09F59AED" w14:textId="77777777" w:rsidR="00727E5F" w:rsidRPr="008026D4" w:rsidRDefault="00727E5F" w:rsidP="000E4A24">
            <w:pPr>
              <w:spacing w:after="0" w:line="240" w:lineRule="auto"/>
              <w:jc w:val="center"/>
              <w:rPr>
                <w:rFonts w:cs="Times New Roman"/>
                <w:b/>
              </w:rPr>
            </w:pPr>
            <w:r w:rsidRPr="008026D4">
              <w:rPr>
                <w:rFonts w:cs="Times New Roman"/>
                <w:b/>
              </w:rPr>
              <w:t>3</w:t>
            </w:r>
          </w:p>
        </w:tc>
        <w:tc>
          <w:tcPr>
            <w:tcW w:w="1093" w:type="pct"/>
            <w:shd w:val="clear" w:color="auto" w:fill="DEEAF6" w:themeFill="accent1" w:themeFillTint="33"/>
          </w:tcPr>
          <w:p w14:paraId="2E452468" w14:textId="77777777" w:rsidR="00727E5F" w:rsidRPr="008026D4" w:rsidRDefault="00727E5F">
            <w:pPr>
              <w:spacing w:after="0" w:line="240" w:lineRule="auto"/>
              <w:jc w:val="center"/>
              <w:rPr>
                <w:rFonts w:cs="Times New Roman"/>
              </w:rPr>
            </w:pPr>
            <w:r>
              <w:rPr>
                <w:rFonts w:cs="Times New Roman"/>
              </w:rPr>
              <w:t>4</w:t>
            </w:r>
          </w:p>
        </w:tc>
        <w:tc>
          <w:tcPr>
            <w:tcW w:w="1093" w:type="pct"/>
            <w:shd w:val="clear" w:color="auto" w:fill="DEEAF6" w:themeFill="accent1" w:themeFillTint="33"/>
          </w:tcPr>
          <w:p w14:paraId="2D926700" w14:textId="77777777" w:rsidR="00727E5F" w:rsidRPr="008026D4" w:rsidRDefault="00727E5F">
            <w:pPr>
              <w:spacing w:after="0" w:line="240" w:lineRule="auto"/>
              <w:jc w:val="center"/>
              <w:rPr>
                <w:rFonts w:cs="Times New Roman"/>
              </w:rPr>
            </w:pPr>
            <w:r>
              <w:rPr>
                <w:rFonts w:cs="Times New Roman"/>
              </w:rPr>
              <w:t>6</w:t>
            </w:r>
          </w:p>
        </w:tc>
        <w:tc>
          <w:tcPr>
            <w:tcW w:w="2186" w:type="pct"/>
            <w:shd w:val="clear" w:color="auto" w:fill="DEEAF6" w:themeFill="accent1" w:themeFillTint="33"/>
          </w:tcPr>
          <w:p w14:paraId="64862DD6" w14:textId="77777777" w:rsidR="00727E5F" w:rsidRPr="008026D4" w:rsidRDefault="00727E5F">
            <w:pPr>
              <w:spacing w:after="0" w:line="240" w:lineRule="auto"/>
              <w:jc w:val="center"/>
              <w:rPr>
                <w:rFonts w:cs="Times New Roman"/>
              </w:rPr>
            </w:pPr>
            <w:r>
              <w:rPr>
                <w:rFonts w:cs="Times New Roman"/>
              </w:rPr>
              <w:t>8</w:t>
            </w:r>
          </w:p>
        </w:tc>
      </w:tr>
      <w:tr w:rsidR="00727E5F" w:rsidRPr="008026D4" w14:paraId="12AF01E7" w14:textId="77777777" w:rsidTr="00CB67A2">
        <w:trPr>
          <w:trHeight w:val="20"/>
        </w:trPr>
        <w:tc>
          <w:tcPr>
            <w:tcW w:w="628" w:type="pct"/>
            <w:shd w:val="clear" w:color="auto" w:fill="BDD6EE" w:themeFill="accent1" w:themeFillTint="66"/>
          </w:tcPr>
          <w:p w14:paraId="350B5840" w14:textId="77777777" w:rsidR="00727E5F" w:rsidRPr="008026D4" w:rsidRDefault="00727E5F" w:rsidP="000E4A24">
            <w:pPr>
              <w:spacing w:after="0" w:line="240" w:lineRule="auto"/>
              <w:jc w:val="center"/>
              <w:rPr>
                <w:rFonts w:cs="Times New Roman"/>
                <w:b/>
              </w:rPr>
            </w:pPr>
            <w:r w:rsidRPr="008026D4">
              <w:rPr>
                <w:rFonts w:cs="Times New Roman"/>
                <w:b/>
              </w:rPr>
              <w:t>4</w:t>
            </w:r>
          </w:p>
        </w:tc>
        <w:tc>
          <w:tcPr>
            <w:tcW w:w="1093" w:type="pct"/>
            <w:shd w:val="clear" w:color="auto" w:fill="DEEAF6" w:themeFill="accent1" w:themeFillTint="33"/>
          </w:tcPr>
          <w:p w14:paraId="0F455D8E" w14:textId="77777777" w:rsidR="00727E5F" w:rsidRPr="008026D4" w:rsidRDefault="00727E5F">
            <w:pPr>
              <w:spacing w:after="0" w:line="240" w:lineRule="auto"/>
              <w:jc w:val="center"/>
              <w:rPr>
                <w:rFonts w:cs="Times New Roman"/>
              </w:rPr>
            </w:pPr>
            <w:r w:rsidRPr="008026D4">
              <w:rPr>
                <w:rFonts w:cs="Times New Roman"/>
              </w:rPr>
              <w:t>6</w:t>
            </w:r>
          </w:p>
        </w:tc>
        <w:tc>
          <w:tcPr>
            <w:tcW w:w="1093" w:type="pct"/>
            <w:shd w:val="clear" w:color="auto" w:fill="DEEAF6" w:themeFill="accent1" w:themeFillTint="33"/>
          </w:tcPr>
          <w:p w14:paraId="7322BCF1" w14:textId="77777777" w:rsidR="00727E5F" w:rsidRPr="008026D4" w:rsidRDefault="00727E5F">
            <w:pPr>
              <w:spacing w:after="0" w:line="240" w:lineRule="auto"/>
              <w:jc w:val="center"/>
              <w:rPr>
                <w:rFonts w:cs="Times New Roman"/>
              </w:rPr>
            </w:pPr>
            <w:r>
              <w:rPr>
                <w:rFonts w:cs="Times New Roman"/>
              </w:rPr>
              <w:t>8</w:t>
            </w:r>
          </w:p>
        </w:tc>
        <w:tc>
          <w:tcPr>
            <w:tcW w:w="2186" w:type="pct"/>
            <w:shd w:val="clear" w:color="auto" w:fill="DEEAF6" w:themeFill="accent1" w:themeFillTint="33"/>
          </w:tcPr>
          <w:p w14:paraId="16B757C6" w14:textId="77777777" w:rsidR="00727E5F" w:rsidRPr="008026D4" w:rsidRDefault="00727E5F">
            <w:pPr>
              <w:spacing w:after="0" w:line="240" w:lineRule="auto"/>
              <w:jc w:val="center"/>
              <w:rPr>
                <w:rFonts w:cs="Times New Roman"/>
              </w:rPr>
            </w:pPr>
            <w:r>
              <w:rPr>
                <w:rFonts w:cs="Times New Roman"/>
              </w:rPr>
              <w:t>10</w:t>
            </w:r>
          </w:p>
        </w:tc>
      </w:tr>
      <w:tr w:rsidR="00727E5F" w:rsidRPr="008026D4" w14:paraId="0BE04A02" w14:textId="77777777" w:rsidTr="00CB67A2">
        <w:trPr>
          <w:trHeight w:val="20"/>
        </w:trPr>
        <w:tc>
          <w:tcPr>
            <w:tcW w:w="628" w:type="pct"/>
            <w:shd w:val="clear" w:color="auto" w:fill="BDD6EE" w:themeFill="accent1" w:themeFillTint="66"/>
          </w:tcPr>
          <w:p w14:paraId="5EE8AC85" w14:textId="77777777" w:rsidR="00727E5F" w:rsidRPr="008026D4" w:rsidRDefault="00727E5F" w:rsidP="000E4A24">
            <w:pPr>
              <w:spacing w:after="0" w:line="240" w:lineRule="auto"/>
              <w:jc w:val="center"/>
              <w:rPr>
                <w:rFonts w:cs="Times New Roman"/>
                <w:b/>
              </w:rPr>
            </w:pPr>
            <w:r w:rsidRPr="008026D4">
              <w:rPr>
                <w:rFonts w:cs="Times New Roman"/>
                <w:b/>
              </w:rPr>
              <w:t>5</w:t>
            </w:r>
          </w:p>
        </w:tc>
        <w:tc>
          <w:tcPr>
            <w:tcW w:w="1093" w:type="pct"/>
            <w:shd w:val="clear" w:color="auto" w:fill="DEEAF6" w:themeFill="accent1" w:themeFillTint="33"/>
          </w:tcPr>
          <w:p w14:paraId="1F2F4D99" w14:textId="77777777" w:rsidR="00727E5F" w:rsidRPr="008026D4" w:rsidRDefault="00727E5F">
            <w:pPr>
              <w:spacing w:after="0" w:line="240" w:lineRule="auto"/>
              <w:jc w:val="center"/>
              <w:rPr>
                <w:rFonts w:cs="Times New Roman"/>
              </w:rPr>
            </w:pPr>
            <w:r w:rsidRPr="008026D4">
              <w:rPr>
                <w:rFonts w:cs="Times New Roman"/>
              </w:rPr>
              <w:t>8</w:t>
            </w:r>
          </w:p>
        </w:tc>
        <w:tc>
          <w:tcPr>
            <w:tcW w:w="1093" w:type="pct"/>
            <w:shd w:val="clear" w:color="auto" w:fill="DEEAF6" w:themeFill="accent1" w:themeFillTint="33"/>
          </w:tcPr>
          <w:p w14:paraId="74C0B3E8" w14:textId="77777777" w:rsidR="00727E5F" w:rsidRPr="008026D4" w:rsidRDefault="00727E5F">
            <w:pPr>
              <w:spacing w:after="0" w:line="240" w:lineRule="auto"/>
              <w:jc w:val="center"/>
              <w:rPr>
                <w:rFonts w:cs="Times New Roman"/>
              </w:rPr>
            </w:pPr>
            <w:r>
              <w:rPr>
                <w:rFonts w:cs="Times New Roman"/>
              </w:rPr>
              <w:t>10</w:t>
            </w:r>
          </w:p>
        </w:tc>
        <w:tc>
          <w:tcPr>
            <w:tcW w:w="2186" w:type="pct"/>
            <w:shd w:val="clear" w:color="auto" w:fill="DEEAF6" w:themeFill="accent1" w:themeFillTint="33"/>
          </w:tcPr>
          <w:p w14:paraId="1FC2B682" w14:textId="77777777" w:rsidR="00727E5F" w:rsidRPr="008026D4" w:rsidRDefault="00727E5F">
            <w:pPr>
              <w:spacing w:after="0" w:line="240" w:lineRule="auto"/>
              <w:jc w:val="center"/>
              <w:rPr>
                <w:rFonts w:cs="Times New Roman"/>
              </w:rPr>
            </w:pPr>
            <w:r>
              <w:rPr>
                <w:rFonts w:cs="Times New Roman"/>
              </w:rPr>
              <w:t>12</w:t>
            </w:r>
          </w:p>
        </w:tc>
      </w:tr>
      <w:tr w:rsidR="002C6FB6" w:rsidRPr="008026D4" w14:paraId="5B8ED543" w14:textId="77777777" w:rsidTr="00CB67A2">
        <w:trPr>
          <w:trHeight w:val="20"/>
        </w:trPr>
        <w:tc>
          <w:tcPr>
            <w:tcW w:w="628" w:type="pct"/>
            <w:shd w:val="clear" w:color="auto" w:fill="BDD6EE" w:themeFill="accent1" w:themeFillTint="66"/>
          </w:tcPr>
          <w:p w14:paraId="70532162" w14:textId="462F67CB" w:rsidR="002C6FB6" w:rsidRPr="008026D4" w:rsidRDefault="002C6FB6" w:rsidP="002C6FB6">
            <w:pPr>
              <w:spacing w:after="0" w:line="240" w:lineRule="auto"/>
              <w:jc w:val="center"/>
              <w:rPr>
                <w:rFonts w:cs="Times New Roman"/>
                <w:b/>
              </w:rPr>
            </w:pPr>
            <w:r>
              <w:rPr>
                <w:rFonts w:cs="Times New Roman"/>
                <w:b/>
              </w:rPr>
              <w:t>6</w:t>
            </w:r>
          </w:p>
        </w:tc>
        <w:tc>
          <w:tcPr>
            <w:tcW w:w="1093" w:type="pct"/>
            <w:shd w:val="clear" w:color="auto" w:fill="DEEAF6" w:themeFill="accent1" w:themeFillTint="33"/>
          </w:tcPr>
          <w:p w14:paraId="403492CE" w14:textId="23ADB0A9" w:rsidR="002C6FB6" w:rsidRPr="008026D4" w:rsidRDefault="002C6FB6" w:rsidP="002C6FB6">
            <w:pPr>
              <w:spacing w:after="0" w:line="240" w:lineRule="auto"/>
              <w:jc w:val="center"/>
              <w:rPr>
                <w:rFonts w:cs="Times New Roman"/>
              </w:rPr>
            </w:pPr>
            <w:r>
              <w:rPr>
                <w:rFonts w:cs="Times New Roman"/>
              </w:rPr>
              <w:t>10</w:t>
            </w:r>
          </w:p>
        </w:tc>
        <w:tc>
          <w:tcPr>
            <w:tcW w:w="1093" w:type="pct"/>
            <w:shd w:val="clear" w:color="auto" w:fill="DEEAF6" w:themeFill="accent1" w:themeFillTint="33"/>
          </w:tcPr>
          <w:p w14:paraId="3BF0B962" w14:textId="595F1C09" w:rsidR="002C6FB6" w:rsidRDefault="002C6FB6" w:rsidP="002C6FB6">
            <w:pPr>
              <w:spacing w:after="0" w:line="240" w:lineRule="auto"/>
              <w:jc w:val="center"/>
              <w:rPr>
                <w:rFonts w:cs="Times New Roman"/>
              </w:rPr>
            </w:pPr>
            <w:r>
              <w:rPr>
                <w:rFonts w:cs="Times New Roman"/>
              </w:rPr>
              <w:t>12</w:t>
            </w:r>
          </w:p>
        </w:tc>
        <w:tc>
          <w:tcPr>
            <w:tcW w:w="2186" w:type="pct"/>
            <w:shd w:val="clear" w:color="auto" w:fill="DEEAF6" w:themeFill="accent1" w:themeFillTint="33"/>
          </w:tcPr>
          <w:p w14:paraId="1D04C88F" w14:textId="30C35A8A" w:rsidR="002C6FB6" w:rsidRDefault="002C6FB6" w:rsidP="002C6FB6">
            <w:pPr>
              <w:spacing w:after="0" w:line="240" w:lineRule="auto"/>
              <w:jc w:val="center"/>
              <w:rPr>
                <w:rFonts w:cs="Times New Roman"/>
              </w:rPr>
            </w:pPr>
            <w:r>
              <w:rPr>
                <w:rFonts w:cs="Times New Roman"/>
              </w:rPr>
              <w:t>14</w:t>
            </w:r>
          </w:p>
        </w:tc>
      </w:tr>
    </w:tbl>
    <w:p w14:paraId="7A454AC6" w14:textId="22E1BAC8" w:rsidR="0034655E" w:rsidRPr="002A61C8" w:rsidRDefault="0034655E" w:rsidP="000E4A24">
      <w:pPr>
        <w:pStyle w:val="NoSpacing"/>
        <w:rPr>
          <w:szCs w:val="24"/>
        </w:rPr>
      </w:pPr>
    </w:p>
    <w:p w14:paraId="4F527F85" w14:textId="77777777" w:rsidR="0034655E" w:rsidRPr="00997CAD" w:rsidRDefault="0034655E">
      <w:pPr>
        <w:pStyle w:val="NoSpacing"/>
        <w:numPr>
          <w:ilvl w:val="1"/>
          <w:numId w:val="86"/>
        </w:numPr>
        <w:rPr>
          <w:rFonts w:cs="Times New Roman"/>
          <w:b/>
          <w:u w:val="single"/>
        </w:rPr>
      </w:pPr>
      <w:r w:rsidRPr="00997CAD">
        <w:rPr>
          <w:rFonts w:cs="Times New Roman"/>
          <w:b/>
          <w:u w:val="single"/>
        </w:rPr>
        <w:t>Rent Standard and Rent Reasonableness</w:t>
      </w:r>
    </w:p>
    <w:p w14:paraId="6BBE8BB7" w14:textId="1507CB5E" w:rsidR="00D50DBE" w:rsidRDefault="00D50DBE" w:rsidP="00D50DBE">
      <w:pPr>
        <w:pStyle w:val="NoSpacing"/>
        <w:ind w:left="720"/>
        <w:rPr>
          <w:rFonts w:cs="Times New Roman"/>
        </w:rPr>
      </w:pPr>
      <w:r>
        <w:rPr>
          <w:rFonts w:cs="Times New Roman"/>
        </w:rPr>
        <w:t>HOPWA grantees</w:t>
      </w:r>
      <w:r w:rsidRPr="00B437D9">
        <w:rPr>
          <w:rFonts w:cs="Times New Roman"/>
        </w:rPr>
        <w:t xml:space="preserve"> </w:t>
      </w:r>
      <w:r>
        <w:rPr>
          <w:rFonts w:cs="Times New Roman"/>
        </w:rPr>
        <w:t xml:space="preserve">that authorize rental assistance activities </w:t>
      </w:r>
      <w:r w:rsidRPr="00B437D9">
        <w:rPr>
          <w:rFonts w:cs="Times New Roman"/>
        </w:rPr>
        <w:t>must have rent standard</w:t>
      </w:r>
      <w:r>
        <w:rPr>
          <w:rFonts w:cs="Times New Roman"/>
        </w:rPr>
        <w:t>s</w:t>
      </w:r>
      <w:r w:rsidRPr="00B437D9">
        <w:rPr>
          <w:rFonts w:cs="Times New Roman"/>
        </w:rPr>
        <w:t>, which set limit</w:t>
      </w:r>
      <w:r>
        <w:rPr>
          <w:rFonts w:cs="Times New Roman"/>
        </w:rPr>
        <w:t>s</w:t>
      </w:r>
      <w:r w:rsidRPr="00B437D9">
        <w:rPr>
          <w:rFonts w:cs="Times New Roman"/>
        </w:rPr>
        <w:t xml:space="preserve"> for housing costs for each unit size, from efficiencies to six-bedroom units.</w:t>
      </w:r>
      <w:r>
        <w:rPr>
          <w:rFonts w:cs="Times New Roman"/>
        </w:rPr>
        <w:t xml:space="preserve"> </w:t>
      </w:r>
      <w:r w:rsidRPr="00B437D9">
        <w:rPr>
          <w:rFonts w:cs="Times New Roman"/>
        </w:rPr>
        <w:t xml:space="preserve">Rent standards should allow eligible households a reasonable selection of </w:t>
      </w:r>
      <w:r>
        <w:rPr>
          <w:rFonts w:cs="Times New Roman"/>
        </w:rPr>
        <w:t>decent</w:t>
      </w:r>
      <w:r w:rsidRPr="00B437D9">
        <w:rPr>
          <w:rFonts w:cs="Times New Roman"/>
        </w:rPr>
        <w:t xml:space="preserve">, safe, and sanitary units in a range of neighborhoods. </w:t>
      </w:r>
      <w:r>
        <w:rPr>
          <w:rFonts w:cs="Times New Roman"/>
        </w:rPr>
        <w:t xml:space="preserve">As the grantee, DSHS must establish these rent standards, and any Project Sponsor using DSHS HOPWA Program funds to provide rental assistance must adopt them. </w:t>
      </w:r>
      <w:r w:rsidRPr="00B437D9">
        <w:rPr>
          <w:rFonts w:cs="Times New Roman"/>
        </w:rPr>
        <w:t>Low rent standards make it difficult for households to find acceptable units</w:t>
      </w:r>
      <w:r w:rsidRPr="0099782B">
        <w:t xml:space="preserve"> </w:t>
      </w:r>
      <w:r w:rsidRPr="0099782B">
        <w:rPr>
          <w:rFonts w:cs="Times New Roman"/>
        </w:rPr>
        <w:t>in neighborhoods close to medical care, transportation, employment, schools, and other resources</w:t>
      </w:r>
      <w:r>
        <w:rPr>
          <w:rFonts w:cs="Times New Roman"/>
        </w:rPr>
        <w:t>. H</w:t>
      </w:r>
      <w:r w:rsidRPr="00B437D9">
        <w:rPr>
          <w:rFonts w:cs="Times New Roman"/>
        </w:rPr>
        <w:t>igh rent standards can limit the number of households</w:t>
      </w:r>
      <w:r>
        <w:rPr>
          <w:rFonts w:cs="Times New Roman"/>
        </w:rPr>
        <w:t xml:space="preserve"> Project Sponsors serve given</w:t>
      </w:r>
      <w:r w:rsidRPr="00B437D9">
        <w:rPr>
          <w:rFonts w:cs="Times New Roman"/>
        </w:rPr>
        <w:t xml:space="preserve"> </w:t>
      </w:r>
      <w:r w:rsidR="00804CEF">
        <w:rPr>
          <w:rFonts w:cs="Times New Roman"/>
        </w:rPr>
        <w:t>finite</w:t>
      </w:r>
      <w:r w:rsidRPr="00B437D9">
        <w:rPr>
          <w:rFonts w:cs="Times New Roman"/>
        </w:rPr>
        <w:t xml:space="preserve"> funding.</w:t>
      </w:r>
    </w:p>
    <w:p w14:paraId="0802D4FC" w14:textId="77777777" w:rsidR="00D50DBE" w:rsidRDefault="00D50DBE" w:rsidP="00D50DBE">
      <w:pPr>
        <w:pStyle w:val="NoSpacing"/>
        <w:ind w:left="720"/>
        <w:rPr>
          <w:rFonts w:cs="Times New Roman"/>
        </w:rPr>
      </w:pPr>
    </w:p>
    <w:p w14:paraId="6FB1716E" w14:textId="77777777" w:rsidR="00D50DBE" w:rsidRDefault="00D50DBE" w:rsidP="00D50DBE">
      <w:pPr>
        <w:pStyle w:val="NoSpacing"/>
        <w:ind w:left="720"/>
        <w:rPr>
          <w:rFonts w:cs="Times New Roman"/>
        </w:rPr>
      </w:pPr>
      <w:r w:rsidRPr="008026D4">
        <w:rPr>
          <w:rFonts w:cs="Times New Roman"/>
        </w:rPr>
        <w:t>Per 24 CFR §574.320(a)</w:t>
      </w:r>
      <w:r>
        <w:rPr>
          <w:rFonts w:cs="Times New Roman"/>
        </w:rPr>
        <w:t>(2)</w:t>
      </w:r>
      <w:r w:rsidRPr="008026D4">
        <w:rPr>
          <w:rFonts w:cs="Times New Roman"/>
        </w:rPr>
        <w:t>,</w:t>
      </w:r>
      <w:r>
        <w:rPr>
          <w:rFonts w:cs="Times New Roman"/>
        </w:rPr>
        <w:t xml:space="preserve"> t</w:t>
      </w:r>
      <w:r w:rsidRPr="00345A11">
        <w:rPr>
          <w:rFonts w:cs="Times New Roman"/>
        </w:rPr>
        <w:t xml:space="preserve">he rent standard </w:t>
      </w:r>
      <w:r>
        <w:rPr>
          <w:rFonts w:cs="Times New Roman"/>
        </w:rPr>
        <w:t>cannot exceed</w:t>
      </w:r>
      <w:r w:rsidRPr="00345A11">
        <w:rPr>
          <w:rFonts w:cs="Times New Roman"/>
        </w:rPr>
        <w:t xml:space="preserve"> </w:t>
      </w:r>
      <w:r>
        <w:rPr>
          <w:rFonts w:cs="Times New Roman"/>
        </w:rPr>
        <w:t xml:space="preserve">1) </w:t>
      </w:r>
      <w:r w:rsidRPr="00345A11">
        <w:rPr>
          <w:rFonts w:cs="Times New Roman"/>
        </w:rPr>
        <w:t xml:space="preserve">the published </w:t>
      </w:r>
      <w:r>
        <w:rPr>
          <w:rFonts w:cs="Times New Roman"/>
        </w:rPr>
        <w:t>F</w:t>
      </w:r>
      <w:r w:rsidRPr="00345A11">
        <w:rPr>
          <w:rFonts w:cs="Times New Roman"/>
        </w:rPr>
        <w:t xml:space="preserve">air </w:t>
      </w:r>
      <w:r>
        <w:rPr>
          <w:rFonts w:cs="Times New Roman"/>
        </w:rPr>
        <w:t>M</w:t>
      </w:r>
      <w:r w:rsidRPr="00345A11">
        <w:rPr>
          <w:rFonts w:cs="Times New Roman"/>
        </w:rPr>
        <w:t xml:space="preserve">arket </w:t>
      </w:r>
      <w:r>
        <w:rPr>
          <w:rFonts w:cs="Times New Roman"/>
        </w:rPr>
        <w:t>R</w:t>
      </w:r>
      <w:r w:rsidRPr="00345A11">
        <w:rPr>
          <w:rFonts w:cs="Times New Roman"/>
        </w:rPr>
        <w:t xml:space="preserve">ent (FMR) or </w:t>
      </w:r>
      <w:r>
        <w:rPr>
          <w:rFonts w:cs="Times New Roman"/>
        </w:rPr>
        <w:t xml:space="preserve">2) </w:t>
      </w:r>
      <w:r w:rsidRPr="00345A11">
        <w:rPr>
          <w:rFonts w:cs="Times New Roman"/>
        </w:rPr>
        <w:t>the HUD-approved community-wide exception rent</w:t>
      </w:r>
      <w:r>
        <w:rPr>
          <w:rFonts w:cs="Times New Roman"/>
        </w:rPr>
        <w:t xml:space="preserve">. </w:t>
      </w:r>
      <w:r w:rsidRPr="000423CC">
        <w:rPr>
          <w:rFonts w:cs="Times New Roman"/>
        </w:rPr>
        <w:t xml:space="preserve">The DSHS HOPWA Program </w:t>
      </w:r>
      <w:r>
        <w:rPr>
          <w:rFonts w:cs="Times New Roman"/>
        </w:rPr>
        <w:t xml:space="preserve">uses a </w:t>
      </w:r>
      <w:r w:rsidRPr="007C7F72">
        <w:rPr>
          <w:rFonts w:cs="Times New Roman"/>
        </w:rPr>
        <w:t>HUD-approved community-wide exception rent</w:t>
      </w:r>
      <w:r>
        <w:rPr>
          <w:rFonts w:cs="Times New Roman"/>
        </w:rPr>
        <w:t xml:space="preserve"> based on documented </w:t>
      </w:r>
      <w:r w:rsidRPr="00F056B5">
        <w:rPr>
          <w:rFonts w:cs="Times New Roman"/>
        </w:rPr>
        <w:t>local housing costs and the housing needs of low-income PLWH in Texas</w:t>
      </w:r>
      <w:r w:rsidRPr="000423CC">
        <w:rPr>
          <w:rFonts w:cs="Times New Roman"/>
        </w:rPr>
        <w:t xml:space="preserve">. </w:t>
      </w:r>
      <w:r>
        <w:rPr>
          <w:rFonts w:cs="Times New Roman"/>
        </w:rPr>
        <w:t>Project Sponsors use</w:t>
      </w:r>
      <w:r w:rsidRPr="000423CC">
        <w:rPr>
          <w:rFonts w:cs="Times New Roman"/>
        </w:rPr>
        <w:t xml:space="preserve"> </w:t>
      </w:r>
      <w:r>
        <w:rPr>
          <w:rFonts w:cs="Times New Roman"/>
        </w:rPr>
        <w:t>1) 130</w:t>
      </w:r>
      <w:r w:rsidRPr="000423CC">
        <w:rPr>
          <w:rFonts w:cs="Times New Roman"/>
        </w:rPr>
        <w:t xml:space="preserve"> percent of the Small Area Fair Market Rent (SAFMR) where available, or </w:t>
      </w:r>
      <w:r>
        <w:rPr>
          <w:rFonts w:cs="Times New Roman"/>
        </w:rPr>
        <w:t>2) 130</w:t>
      </w:r>
      <w:r w:rsidRPr="000423CC">
        <w:rPr>
          <w:rFonts w:cs="Times New Roman"/>
        </w:rPr>
        <w:t xml:space="preserve"> percent of the FMR where</w:t>
      </w:r>
      <w:r>
        <w:rPr>
          <w:rFonts w:cs="Times New Roman"/>
        </w:rPr>
        <w:t xml:space="preserve"> </w:t>
      </w:r>
      <w:r w:rsidRPr="000423CC">
        <w:rPr>
          <w:rFonts w:cs="Times New Roman"/>
        </w:rPr>
        <w:t>not.</w:t>
      </w:r>
      <w:r>
        <w:rPr>
          <w:rFonts w:cs="Times New Roman"/>
        </w:rPr>
        <w:t xml:space="preserve"> </w:t>
      </w:r>
      <w:r w:rsidRPr="003317E1">
        <w:rPr>
          <w:rFonts w:cs="Times New Roman"/>
        </w:rPr>
        <w:t xml:space="preserve">FMRs </w:t>
      </w:r>
      <w:r>
        <w:rPr>
          <w:rFonts w:cs="Times New Roman"/>
        </w:rPr>
        <w:t xml:space="preserve">and SAFMRs </w:t>
      </w:r>
      <w:r w:rsidRPr="003317E1">
        <w:rPr>
          <w:rFonts w:cs="Times New Roman"/>
        </w:rPr>
        <w:t>are estimates of 40</w:t>
      </w:r>
      <w:r w:rsidRPr="004405BD">
        <w:rPr>
          <w:rFonts w:cs="Times New Roman"/>
          <w:vertAlign w:val="superscript"/>
        </w:rPr>
        <w:t>th</w:t>
      </w:r>
      <w:r w:rsidRPr="003317E1">
        <w:rPr>
          <w:rFonts w:cs="Times New Roman"/>
        </w:rPr>
        <w:t xml:space="preserve"> percentile gross rents for standard quality units</w:t>
      </w:r>
      <w:r>
        <w:rPr>
          <w:rFonts w:cs="Times New Roman"/>
        </w:rPr>
        <w:t>,</w:t>
      </w:r>
      <w:r w:rsidRPr="003317E1">
        <w:rPr>
          <w:rFonts w:cs="Times New Roman"/>
        </w:rPr>
        <w:t xml:space="preserve"> </w:t>
      </w:r>
      <w:r>
        <w:rPr>
          <w:rFonts w:cs="Times New Roman"/>
        </w:rPr>
        <w:t>adjusted for each unit size,</w:t>
      </w:r>
      <w:r w:rsidRPr="003317E1">
        <w:rPr>
          <w:rFonts w:cs="Times New Roman"/>
        </w:rPr>
        <w:t xml:space="preserve"> within a designated </w:t>
      </w:r>
      <w:r>
        <w:rPr>
          <w:rFonts w:cs="Times New Roman"/>
        </w:rPr>
        <w:t>area</w:t>
      </w:r>
      <w:r w:rsidRPr="003317E1">
        <w:rPr>
          <w:rFonts w:cs="Times New Roman"/>
        </w:rPr>
        <w:t>.</w:t>
      </w:r>
      <w:r>
        <w:rPr>
          <w:rFonts w:cs="Times New Roman"/>
        </w:rPr>
        <w:t xml:space="preserve"> “Gross rent” means the </w:t>
      </w:r>
      <w:r w:rsidRPr="003317E1">
        <w:rPr>
          <w:rFonts w:cs="Times New Roman"/>
        </w:rPr>
        <w:t xml:space="preserve">unit rent plus the cost of all tenant-paid utilities, </w:t>
      </w:r>
      <w:r>
        <w:rPr>
          <w:rFonts w:cs="Times New Roman"/>
        </w:rPr>
        <w:t xml:space="preserve">including </w:t>
      </w:r>
      <w:r w:rsidRPr="00300728">
        <w:rPr>
          <w:rFonts w:cs="Times New Roman"/>
        </w:rPr>
        <w:t xml:space="preserve">electricity, fuel (e.g., natural gas, oil), water, sewer, and trash removal, but </w:t>
      </w:r>
      <w:r>
        <w:rPr>
          <w:rFonts w:cs="Times New Roman"/>
        </w:rPr>
        <w:t>excluding</w:t>
      </w:r>
      <w:r w:rsidRPr="00300728">
        <w:rPr>
          <w:rFonts w:cs="Times New Roman"/>
        </w:rPr>
        <w:t xml:space="preserve"> telephone, internet, and cable</w:t>
      </w:r>
      <w:r>
        <w:rPr>
          <w:rFonts w:cs="Times New Roman"/>
        </w:rPr>
        <w:t xml:space="preserve"> services. </w:t>
      </w:r>
      <w:r w:rsidRPr="007C7F72">
        <w:rPr>
          <w:rFonts w:cs="Times New Roman"/>
        </w:rPr>
        <w:t>HUD’s Office of Policy Development and Research</w:t>
      </w:r>
      <w:r>
        <w:rPr>
          <w:rFonts w:cs="Times New Roman"/>
        </w:rPr>
        <w:t xml:space="preserve"> (PD&amp;R) calculates</w:t>
      </w:r>
      <w:r w:rsidRPr="003317E1">
        <w:rPr>
          <w:rFonts w:cs="Times New Roman"/>
        </w:rPr>
        <w:t xml:space="preserve"> </w:t>
      </w:r>
      <w:r>
        <w:rPr>
          <w:rFonts w:cs="Times New Roman"/>
        </w:rPr>
        <w:t>FMRs for counties and SAFMRs for zip codes within metropolitan areas. PD&amp;R typically publishes FMRs and SAFMRs in October of each year</w:t>
      </w:r>
      <w:r w:rsidRPr="00BC7D65">
        <w:rPr>
          <w:rFonts w:cs="Times New Roman"/>
        </w:rPr>
        <w:t xml:space="preserve"> </w:t>
      </w:r>
      <w:r w:rsidRPr="003317E1">
        <w:rPr>
          <w:rFonts w:cs="Times New Roman"/>
        </w:rPr>
        <w:t xml:space="preserve">and </w:t>
      </w:r>
      <w:r>
        <w:rPr>
          <w:rFonts w:cs="Times New Roman"/>
        </w:rPr>
        <w:t>makes them</w:t>
      </w:r>
      <w:r w:rsidRPr="003317E1">
        <w:rPr>
          <w:rFonts w:cs="Times New Roman"/>
        </w:rPr>
        <w:t xml:space="preserve"> available </w:t>
      </w:r>
      <w:hyperlink r:id="rId101" w:history="1">
        <w:r w:rsidRPr="003D3BC2">
          <w:rPr>
            <w:rStyle w:val="Hyperlink"/>
            <w:rFonts w:cs="Times New Roman"/>
          </w:rPr>
          <w:t>here</w:t>
        </w:r>
      </w:hyperlink>
      <w:r>
        <w:rPr>
          <w:rFonts w:cs="Times New Roman"/>
        </w:rPr>
        <w:t>. DSHS</w:t>
      </w:r>
      <w:r w:rsidRPr="00D351A2">
        <w:rPr>
          <w:rFonts w:cs="Times New Roman"/>
        </w:rPr>
        <w:t xml:space="preserve"> review</w:t>
      </w:r>
      <w:r>
        <w:rPr>
          <w:rFonts w:cs="Times New Roman"/>
        </w:rPr>
        <w:t>s</w:t>
      </w:r>
      <w:r w:rsidRPr="00D351A2">
        <w:rPr>
          <w:rFonts w:cs="Times New Roman"/>
        </w:rPr>
        <w:t xml:space="preserve"> </w:t>
      </w:r>
      <w:r>
        <w:rPr>
          <w:rFonts w:cs="Times New Roman"/>
        </w:rPr>
        <w:t xml:space="preserve">its rent standards annually </w:t>
      </w:r>
      <w:r w:rsidRPr="00D351A2">
        <w:rPr>
          <w:rFonts w:cs="Times New Roman"/>
        </w:rPr>
        <w:t xml:space="preserve">to </w:t>
      </w:r>
      <w:r>
        <w:rPr>
          <w:rFonts w:cs="Times New Roman"/>
        </w:rPr>
        <w:t xml:space="preserve">ensure they </w:t>
      </w:r>
      <w:r w:rsidRPr="00D351A2">
        <w:rPr>
          <w:rFonts w:cs="Times New Roman"/>
        </w:rPr>
        <w:t xml:space="preserve">correspond with </w:t>
      </w:r>
      <w:r>
        <w:rPr>
          <w:rFonts w:cs="Times New Roman"/>
        </w:rPr>
        <w:t>PD&amp;R’s current</w:t>
      </w:r>
      <w:r w:rsidRPr="00D351A2">
        <w:rPr>
          <w:rFonts w:cs="Times New Roman"/>
        </w:rPr>
        <w:t xml:space="preserve"> FMR</w:t>
      </w:r>
      <w:r>
        <w:rPr>
          <w:rFonts w:cs="Times New Roman"/>
        </w:rPr>
        <w:t>s</w:t>
      </w:r>
      <w:r w:rsidRPr="00D351A2">
        <w:rPr>
          <w:rFonts w:cs="Times New Roman"/>
        </w:rPr>
        <w:t xml:space="preserve"> </w:t>
      </w:r>
      <w:r>
        <w:rPr>
          <w:rFonts w:cs="Times New Roman"/>
        </w:rPr>
        <w:t xml:space="preserve">and SAFMRs. </w:t>
      </w:r>
      <w:r w:rsidRPr="00342721">
        <w:rPr>
          <w:rFonts w:cs="Times New Roman"/>
        </w:rPr>
        <w:t xml:space="preserve">As part of its annual review, </w:t>
      </w:r>
      <w:r>
        <w:rPr>
          <w:rFonts w:cs="Times New Roman"/>
        </w:rPr>
        <w:t>DSHS</w:t>
      </w:r>
      <w:r w:rsidRPr="00342721">
        <w:rPr>
          <w:rFonts w:cs="Times New Roman"/>
        </w:rPr>
        <w:t xml:space="preserve"> </w:t>
      </w:r>
      <w:r>
        <w:rPr>
          <w:rFonts w:cs="Times New Roman"/>
        </w:rPr>
        <w:t xml:space="preserve">1) </w:t>
      </w:r>
      <w:r w:rsidRPr="00342721">
        <w:rPr>
          <w:rFonts w:cs="Times New Roman"/>
        </w:rPr>
        <w:t>increase</w:t>
      </w:r>
      <w:r>
        <w:rPr>
          <w:rFonts w:cs="Times New Roman"/>
        </w:rPr>
        <w:t>s</w:t>
      </w:r>
      <w:r w:rsidRPr="00342721">
        <w:rPr>
          <w:rFonts w:cs="Times New Roman"/>
        </w:rPr>
        <w:t xml:space="preserve"> each FMR and SAFMR in Texas by 30 percent</w:t>
      </w:r>
      <w:r>
        <w:rPr>
          <w:rFonts w:cs="Times New Roman"/>
        </w:rPr>
        <w:t xml:space="preserve"> to establish the rent standards, 2) </w:t>
      </w:r>
      <w:r w:rsidRPr="00D351A2">
        <w:rPr>
          <w:rFonts w:cs="Times New Roman"/>
        </w:rPr>
        <w:t>update</w:t>
      </w:r>
      <w:r>
        <w:rPr>
          <w:rFonts w:cs="Times New Roman"/>
        </w:rPr>
        <w:t>s and publishes</w:t>
      </w:r>
      <w:r w:rsidRPr="00D351A2">
        <w:rPr>
          <w:rFonts w:cs="Times New Roman"/>
        </w:rPr>
        <w:t xml:space="preserve"> </w:t>
      </w:r>
      <w:r>
        <w:rPr>
          <w:rFonts w:cs="Times New Roman"/>
        </w:rPr>
        <w:t xml:space="preserve">these </w:t>
      </w:r>
      <w:r w:rsidRPr="00D351A2">
        <w:rPr>
          <w:rFonts w:cs="Times New Roman"/>
        </w:rPr>
        <w:t xml:space="preserve">rent standards within 90 days of </w:t>
      </w:r>
      <w:r>
        <w:rPr>
          <w:rFonts w:cs="Times New Roman"/>
        </w:rPr>
        <w:t>the annual review, and 3) provides an effective date by which Project Sponsors must adopt these rent standards</w:t>
      </w:r>
      <w:r w:rsidRPr="00861B1C">
        <w:rPr>
          <w:rFonts w:cs="Times New Roman"/>
        </w:rPr>
        <w:t>.</w:t>
      </w:r>
    </w:p>
    <w:p w14:paraId="05597769" w14:textId="77777777" w:rsidR="00D50DBE" w:rsidRDefault="00D50DBE" w:rsidP="00D50DBE">
      <w:pPr>
        <w:pStyle w:val="NoSpacing"/>
        <w:ind w:left="720"/>
        <w:rPr>
          <w:rFonts w:cs="Times New Roman"/>
        </w:rPr>
      </w:pPr>
    </w:p>
    <w:p w14:paraId="5446A0BB" w14:textId="2953D589" w:rsidR="00D50DBE" w:rsidRPr="004250E1" w:rsidRDefault="00D50DBE" w:rsidP="00D50DBE">
      <w:pPr>
        <w:pStyle w:val="NoSpacing"/>
        <w:ind w:left="720"/>
        <w:rPr>
          <w:rFonts w:cstheme="minorHAnsi"/>
        </w:rPr>
      </w:pPr>
      <w:r>
        <w:t xml:space="preserve">Further, </w:t>
      </w:r>
      <w:r w:rsidRPr="006F1E46">
        <w:t xml:space="preserve">24 </w:t>
      </w:r>
      <w:r w:rsidRPr="00875F85">
        <w:t>§</w:t>
      </w:r>
      <w:r w:rsidRPr="006F1E46">
        <w:t>CFR 574.320(a)(2) allow</w:t>
      </w:r>
      <w:r>
        <w:t>s</w:t>
      </w:r>
      <w:r w:rsidRPr="006F1E46">
        <w:t xml:space="preserve"> </w:t>
      </w:r>
      <w:r>
        <w:t xml:space="preserve">Project Sponsors </w:t>
      </w:r>
      <w:r w:rsidRPr="006F1E46">
        <w:t>to increase the rent standard by 10</w:t>
      </w:r>
      <w:r>
        <w:t xml:space="preserve"> percent</w:t>
      </w:r>
      <w:r w:rsidRPr="006F1E46">
        <w:t xml:space="preserve"> for up to 20</w:t>
      </w:r>
      <w:r>
        <w:t xml:space="preserve"> percent</w:t>
      </w:r>
      <w:r w:rsidRPr="006F1E46">
        <w:t xml:space="preserve"> of the units that receive rental assistance</w:t>
      </w:r>
      <w:r>
        <w:t xml:space="preserve"> </w:t>
      </w:r>
      <w:r w:rsidRPr="006F1E46">
        <w:t xml:space="preserve">on a unit-by-unit basis (i.e., Project Sponsors may use 110 percent of the rent standard for </w:t>
      </w:r>
      <w:r>
        <w:t>1</w:t>
      </w:r>
      <w:r w:rsidRPr="006F1E46">
        <w:t xml:space="preserve"> out of </w:t>
      </w:r>
      <w:r>
        <w:t>5</w:t>
      </w:r>
      <w:r w:rsidRPr="006F1E46">
        <w:t xml:space="preserve"> of the combined households that receive TBRA or TSH services </w:t>
      </w:r>
      <w:r>
        <w:t>at any given time</w:t>
      </w:r>
      <w:r w:rsidRPr="006F1E46">
        <w:t xml:space="preserve">). </w:t>
      </w:r>
      <w:r w:rsidRPr="0066056D">
        <w:t>Project Sponsors</w:t>
      </w:r>
      <w:r>
        <w:t xml:space="preserve"> must </w:t>
      </w:r>
      <w:r w:rsidRPr="0066056D">
        <w:t xml:space="preserve">collaborate with </w:t>
      </w:r>
      <w:r w:rsidR="00570DA0">
        <w:t>their AA</w:t>
      </w:r>
      <w:r w:rsidRPr="0066056D">
        <w:t xml:space="preserve"> to develop </w:t>
      </w:r>
      <w:r>
        <w:t xml:space="preserve">a Rent Standard Increase policy </w:t>
      </w:r>
      <w:r w:rsidRPr="0066056D">
        <w:t xml:space="preserve">and tracking method </w:t>
      </w:r>
      <w:r>
        <w:t>before increasing the rent standard for a unit</w:t>
      </w:r>
      <w:r w:rsidRPr="0066056D">
        <w:t>.</w:t>
      </w:r>
      <w:r>
        <w:t xml:space="preserve"> The</w:t>
      </w:r>
      <w:r w:rsidRPr="00217842">
        <w:t xml:space="preserve"> policy should describe the circumstances in which a Project Sponsor would increase the rent standard for a </w:t>
      </w:r>
      <w:r>
        <w:t xml:space="preserve">proposed </w:t>
      </w:r>
      <w:r w:rsidRPr="00217842">
        <w:t xml:space="preserve">unit. For example, the </w:t>
      </w:r>
      <w:r>
        <w:t xml:space="preserve">Project Sponsor might grant an </w:t>
      </w:r>
      <w:r w:rsidRPr="00217842">
        <w:t xml:space="preserve">exception </w:t>
      </w:r>
      <w:r>
        <w:t>to</w:t>
      </w:r>
      <w:r w:rsidRPr="00217842">
        <w:t xml:space="preserve"> a household that needs </w:t>
      </w:r>
      <w:r>
        <w:t xml:space="preserve">housing located </w:t>
      </w:r>
      <w:r w:rsidRPr="004250E1">
        <w:rPr>
          <w:rFonts w:cstheme="minorHAnsi"/>
        </w:rPr>
        <w:t xml:space="preserve">near a medical provider in the center of town where housing costs </w:t>
      </w:r>
      <w:r w:rsidR="00592C34">
        <w:rPr>
          <w:rFonts w:cstheme="minorHAnsi"/>
        </w:rPr>
        <w:t>more</w:t>
      </w:r>
      <w:r w:rsidRPr="004250E1">
        <w:rPr>
          <w:rFonts w:cstheme="minorHAnsi"/>
        </w:rPr>
        <w:t>.</w:t>
      </w:r>
    </w:p>
    <w:p w14:paraId="3490F881" w14:textId="77777777" w:rsidR="00D50DBE" w:rsidRPr="004250E1" w:rsidRDefault="00D50DBE" w:rsidP="00D50DBE">
      <w:pPr>
        <w:pStyle w:val="NoSpacing"/>
        <w:ind w:left="720"/>
        <w:rPr>
          <w:rFonts w:cstheme="minorHAnsi"/>
        </w:rPr>
      </w:pPr>
    </w:p>
    <w:p w14:paraId="389A4D26" w14:textId="77777777" w:rsidR="00D50DBE" w:rsidRPr="008026D4" w:rsidRDefault="00D50DBE" w:rsidP="00D50DBE">
      <w:pPr>
        <w:pStyle w:val="NoSpacing"/>
        <w:ind w:left="720"/>
      </w:pPr>
      <w:r w:rsidRPr="00A4304B">
        <w:t xml:space="preserve">When </w:t>
      </w:r>
      <w:r>
        <w:t>examining</w:t>
      </w:r>
      <w:r w:rsidRPr="00A4304B">
        <w:t xml:space="preserve"> whether a </w:t>
      </w:r>
      <w:r>
        <w:t xml:space="preserve">proposed </w:t>
      </w:r>
      <w:r w:rsidRPr="00A4304B">
        <w:t xml:space="preserve">unit </w:t>
      </w:r>
      <w:r>
        <w:t>meets</w:t>
      </w:r>
      <w:r w:rsidRPr="00A4304B">
        <w:t xml:space="preserve"> the rent standard, Project Sponsors need to know the amount of several costs</w:t>
      </w:r>
      <w:r>
        <w:t>, including</w:t>
      </w:r>
      <w:r w:rsidRPr="008026D4">
        <w:t>:</w:t>
      </w:r>
    </w:p>
    <w:p w14:paraId="128E6DF2" w14:textId="77777777" w:rsidR="00D50DBE" w:rsidRPr="008026D4" w:rsidRDefault="00D50DBE" w:rsidP="00D50DBE">
      <w:pPr>
        <w:pStyle w:val="NoSpacing"/>
        <w:numPr>
          <w:ilvl w:val="0"/>
          <w:numId w:val="3"/>
        </w:numPr>
        <w:ind w:left="1260"/>
        <w:rPr>
          <w:rFonts w:cs="Times New Roman"/>
        </w:rPr>
      </w:pPr>
      <w:r>
        <w:rPr>
          <w:rFonts w:cs="Times New Roman"/>
        </w:rPr>
        <w:t>The r</w:t>
      </w:r>
      <w:r w:rsidRPr="008026D4">
        <w:rPr>
          <w:rFonts w:cs="Times New Roman"/>
        </w:rPr>
        <w:t xml:space="preserve">ent requested by the </w:t>
      </w:r>
      <w:r>
        <w:rPr>
          <w:rFonts w:cs="Times New Roman"/>
        </w:rPr>
        <w:t>owner;</w:t>
      </w:r>
    </w:p>
    <w:p w14:paraId="7D1C86CC" w14:textId="77777777" w:rsidR="00D50DBE" w:rsidRPr="008026D4" w:rsidRDefault="00D50DBE" w:rsidP="00D50DBE">
      <w:pPr>
        <w:pStyle w:val="NoSpacing"/>
        <w:numPr>
          <w:ilvl w:val="0"/>
          <w:numId w:val="3"/>
        </w:numPr>
        <w:ind w:left="1260"/>
        <w:rPr>
          <w:rFonts w:cs="Times New Roman"/>
        </w:rPr>
      </w:pPr>
      <w:r>
        <w:rPr>
          <w:rFonts w:cs="Times New Roman"/>
        </w:rPr>
        <w:t>The b</w:t>
      </w:r>
      <w:r w:rsidRPr="008026D4">
        <w:rPr>
          <w:rFonts w:cs="Times New Roman"/>
        </w:rPr>
        <w:t xml:space="preserve">asic utilities included in the rent </w:t>
      </w:r>
      <w:r>
        <w:rPr>
          <w:rFonts w:cs="Times New Roman"/>
        </w:rPr>
        <w:t xml:space="preserve">paid </w:t>
      </w:r>
      <w:r w:rsidRPr="008026D4">
        <w:rPr>
          <w:rFonts w:cs="Times New Roman"/>
        </w:rPr>
        <w:t xml:space="preserve">to the </w:t>
      </w:r>
      <w:r>
        <w:rPr>
          <w:rFonts w:cs="Times New Roman"/>
        </w:rPr>
        <w:t>owner; and</w:t>
      </w:r>
    </w:p>
    <w:p w14:paraId="4A6C2E8E" w14:textId="77777777" w:rsidR="00D50DBE" w:rsidRPr="008026D4" w:rsidRDefault="00D50DBE" w:rsidP="00D50DBE">
      <w:pPr>
        <w:pStyle w:val="NoSpacing"/>
        <w:numPr>
          <w:ilvl w:val="0"/>
          <w:numId w:val="3"/>
        </w:numPr>
        <w:ind w:left="1260"/>
        <w:rPr>
          <w:rFonts w:cs="Times New Roman"/>
        </w:rPr>
      </w:pPr>
      <w:r>
        <w:rPr>
          <w:rFonts w:cs="Times New Roman"/>
        </w:rPr>
        <w:t>The b</w:t>
      </w:r>
      <w:r w:rsidRPr="008026D4">
        <w:rPr>
          <w:rFonts w:cs="Times New Roman"/>
        </w:rPr>
        <w:t xml:space="preserve">asic utilities </w:t>
      </w:r>
      <w:r>
        <w:rPr>
          <w:rFonts w:cs="Times New Roman"/>
        </w:rPr>
        <w:t>paid</w:t>
      </w:r>
      <w:r w:rsidRPr="008026D4">
        <w:rPr>
          <w:rFonts w:cs="Times New Roman"/>
        </w:rPr>
        <w:t xml:space="preserve"> separately in addition to the rent paid to the </w:t>
      </w:r>
      <w:r>
        <w:rPr>
          <w:rFonts w:cs="Times New Roman"/>
        </w:rPr>
        <w:t>owner.</w:t>
      </w:r>
    </w:p>
    <w:p w14:paraId="3342CD89" w14:textId="77777777" w:rsidR="00D50DBE" w:rsidRDefault="00D50DBE" w:rsidP="00D50DBE">
      <w:pPr>
        <w:pStyle w:val="NoSpacing"/>
        <w:ind w:left="720"/>
        <w:rPr>
          <w:rFonts w:cs="Times New Roman"/>
        </w:rPr>
      </w:pPr>
    </w:p>
    <w:p w14:paraId="24D3D358" w14:textId="77777777" w:rsidR="00D50DBE" w:rsidRDefault="00D50DBE" w:rsidP="00D50DBE">
      <w:pPr>
        <w:pStyle w:val="NoSpacing"/>
        <w:ind w:left="720"/>
        <w:rPr>
          <w:rFonts w:cs="Times New Roman"/>
        </w:rPr>
      </w:pPr>
      <w:r w:rsidRPr="00066B7E">
        <w:rPr>
          <w:rFonts w:cs="Times New Roman"/>
        </w:rPr>
        <w:t xml:space="preserve">Project Sponsors </w:t>
      </w:r>
      <w:r>
        <w:rPr>
          <w:rFonts w:cs="Times New Roman"/>
        </w:rPr>
        <w:t>select</w:t>
      </w:r>
      <w:r w:rsidRPr="0002195B">
        <w:rPr>
          <w:rFonts w:cs="Times New Roman"/>
        </w:rPr>
        <w:t xml:space="preserve"> the</w:t>
      </w:r>
      <w:r>
        <w:rPr>
          <w:rFonts w:cs="Times New Roman"/>
        </w:rPr>
        <w:t xml:space="preserve"> household’s rent standard by </w:t>
      </w:r>
      <w:r w:rsidRPr="00066B7E">
        <w:rPr>
          <w:rFonts w:cs="Times New Roman"/>
        </w:rPr>
        <w:t>refer</w:t>
      </w:r>
      <w:r>
        <w:rPr>
          <w:rFonts w:cs="Times New Roman"/>
        </w:rPr>
        <w:t>ring</w:t>
      </w:r>
      <w:r w:rsidRPr="00066B7E">
        <w:rPr>
          <w:rFonts w:cs="Times New Roman"/>
        </w:rPr>
        <w:t xml:space="preserve"> to the Occupancy Standards </w:t>
      </w:r>
      <w:r w:rsidRPr="00A4304B">
        <w:rPr>
          <w:rFonts w:cs="Times New Roman"/>
        </w:rPr>
        <w:t>(see 6. Occupancy Standards above)</w:t>
      </w:r>
      <w:r>
        <w:rPr>
          <w:rFonts w:cs="Times New Roman"/>
        </w:rPr>
        <w:t xml:space="preserve">, determining the </w:t>
      </w:r>
      <w:r w:rsidRPr="00796919">
        <w:rPr>
          <w:rFonts w:cs="Times New Roman"/>
        </w:rPr>
        <w:t xml:space="preserve">unit size </w:t>
      </w:r>
      <w:r>
        <w:rPr>
          <w:rFonts w:cs="Times New Roman"/>
        </w:rPr>
        <w:t>the</w:t>
      </w:r>
      <w:r w:rsidRPr="00796919">
        <w:rPr>
          <w:rFonts w:cs="Times New Roman"/>
        </w:rPr>
        <w:t xml:space="preserve"> household qualifies for</w:t>
      </w:r>
      <w:r>
        <w:rPr>
          <w:rFonts w:cs="Times New Roman"/>
        </w:rPr>
        <w:t>, and identifying the corresponding rent standard.</w:t>
      </w:r>
      <w:r w:rsidRPr="00066B7E">
        <w:rPr>
          <w:rFonts w:cs="Times New Roman"/>
        </w:rPr>
        <w:t xml:space="preserve"> </w:t>
      </w:r>
      <w:r w:rsidRPr="00A4304B">
        <w:rPr>
          <w:rFonts w:cs="Times New Roman"/>
        </w:rPr>
        <w:t>A household may occupy a unit</w:t>
      </w:r>
      <w:r>
        <w:rPr>
          <w:rFonts w:cs="Times New Roman"/>
        </w:rPr>
        <w:t xml:space="preserve"> sized smaller or </w:t>
      </w:r>
      <w:r w:rsidRPr="00A4304B">
        <w:rPr>
          <w:rFonts w:cs="Times New Roman"/>
        </w:rPr>
        <w:t xml:space="preserve">larger than specified by the </w:t>
      </w:r>
      <w:r w:rsidRPr="00A4304B">
        <w:rPr>
          <w:rFonts w:cs="Times New Roman"/>
        </w:rPr>
        <w:lastRenderedPageBreak/>
        <w:t xml:space="preserve">Occupancy Standards, but in such instances, Project Sponsors use the rent standard for </w:t>
      </w:r>
      <w:r>
        <w:rPr>
          <w:rFonts w:cs="Times New Roman"/>
        </w:rPr>
        <w:t>the lower of either 1) the unit size allowed by the Occupancy Standards or 2) the actual unit size</w:t>
      </w:r>
      <w:r w:rsidRPr="00A4304B">
        <w:rPr>
          <w:rFonts w:cs="Times New Roman"/>
        </w:rPr>
        <w:t xml:space="preserve">. For example, if a household qualifies for a one-bedroom unit, but </w:t>
      </w:r>
      <w:r>
        <w:rPr>
          <w:rFonts w:cs="Times New Roman"/>
        </w:rPr>
        <w:t>selects</w:t>
      </w:r>
      <w:r w:rsidRPr="00A4304B">
        <w:rPr>
          <w:rFonts w:cs="Times New Roman"/>
        </w:rPr>
        <w:t xml:space="preserve"> a two-bedroom unit, </w:t>
      </w:r>
      <w:r>
        <w:rPr>
          <w:rFonts w:cs="Times New Roman"/>
        </w:rPr>
        <w:t>the</w:t>
      </w:r>
      <w:r w:rsidRPr="00A4304B">
        <w:rPr>
          <w:rFonts w:cs="Times New Roman"/>
        </w:rPr>
        <w:t xml:space="preserve"> Project Sponsor </w:t>
      </w:r>
      <w:r>
        <w:rPr>
          <w:rFonts w:cs="Times New Roman"/>
        </w:rPr>
        <w:t>will use</w:t>
      </w:r>
      <w:r w:rsidRPr="00A4304B">
        <w:rPr>
          <w:rFonts w:cs="Times New Roman"/>
        </w:rPr>
        <w:t xml:space="preserve"> the rent standard for a one-bedroom unit. </w:t>
      </w:r>
      <w:r>
        <w:rPr>
          <w:rFonts w:cs="Times New Roman"/>
        </w:rPr>
        <w:t>Similarly, if a household qualifies for a two-bedroom unit, but selects a one-bedroom unit, the Project Sponsor will use the rent standard for a one-bedroom unit.</w:t>
      </w:r>
    </w:p>
    <w:p w14:paraId="6D5F90E3" w14:textId="77777777" w:rsidR="00D50DBE" w:rsidRDefault="00D50DBE" w:rsidP="00D50DBE">
      <w:pPr>
        <w:pStyle w:val="NoSpacing"/>
        <w:ind w:left="720"/>
        <w:rPr>
          <w:rFonts w:cs="Times New Roman"/>
        </w:rPr>
      </w:pPr>
    </w:p>
    <w:p w14:paraId="2AC3E12D" w14:textId="1CDD9100" w:rsidR="00DB1844" w:rsidRPr="00DB1844" w:rsidRDefault="00DB1844" w:rsidP="00DB1844">
      <w:pPr>
        <w:pStyle w:val="NoSpacing"/>
        <w:ind w:left="720"/>
        <w:rPr>
          <w:rFonts w:cs="Times New Roman"/>
        </w:rPr>
      </w:pPr>
      <w:r w:rsidRPr="00DB1844">
        <w:rPr>
          <w:rFonts w:cs="Times New Roman"/>
        </w:rPr>
        <w:t xml:space="preserve">The current effective rent standard always applies to the initial rent standard examination for a proposed unit. If a rent standard increases, then the higher rent standard will apply to current units at the next interim or annual rent standard reexamination. If a rent standard decreases, then the lower rent standard will not apply to current units already approved under the higher rent standard. Project Sponsors will hold households occupying such units </w:t>
      </w:r>
      <w:r w:rsidR="008F3B00">
        <w:rPr>
          <w:rFonts w:cs="Times New Roman"/>
        </w:rPr>
        <w:t xml:space="preserve">harmless </w:t>
      </w:r>
      <w:r w:rsidRPr="00DB1844">
        <w:rPr>
          <w:rFonts w:cs="Times New Roman"/>
        </w:rPr>
        <w:t>until they move to a new unit. This will minimize the threat of housing instability for affected households during subsequent interim or annual rent standard reexaminations.</w:t>
      </w:r>
    </w:p>
    <w:p w14:paraId="37A23C50" w14:textId="77777777" w:rsidR="00DB1844" w:rsidRPr="00DB1844" w:rsidRDefault="00DB1844" w:rsidP="00DB1844">
      <w:pPr>
        <w:pStyle w:val="NoSpacing"/>
        <w:ind w:left="720"/>
        <w:rPr>
          <w:rFonts w:cs="Times New Roman"/>
        </w:rPr>
      </w:pPr>
    </w:p>
    <w:p w14:paraId="2CCCF144" w14:textId="0C29E14E" w:rsidR="00D50DBE" w:rsidRDefault="00DB1844" w:rsidP="00D50DBE">
      <w:pPr>
        <w:pStyle w:val="NoSpacing"/>
        <w:ind w:left="720"/>
        <w:rPr>
          <w:rFonts w:cs="Times New Roman"/>
        </w:rPr>
      </w:pPr>
      <w:r w:rsidRPr="00DB1844">
        <w:rPr>
          <w:rFonts w:cs="Times New Roman"/>
        </w:rPr>
        <w:t>If a current household’s authorized unit size changes during an interim reexamination, then the household’s rent standard will depend on their new authorized unit size and the current effective rent standard at the next annual rent standard reexamination.</w:t>
      </w:r>
    </w:p>
    <w:p w14:paraId="4D508D80" w14:textId="77777777" w:rsidR="00D50DBE" w:rsidRDefault="00D50DBE" w:rsidP="00D50DBE">
      <w:pPr>
        <w:pStyle w:val="NoSpacing"/>
        <w:ind w:left="720"/>
        <w:rPr>
          <w:rFonts w:cs="Times New Roman"/>
        </w:rPr>
      </w:pPr>
    </w:p>
    <w:p w14:paraId="26515280" w14:textId="00699C96" w:rsidR="00D50DBE" w:rsidRPr="008026D4" w:rsidRDefault="00D50DBE" w:rsidP="00D50DBE">
      <w:pPr>
        <w:pStyle w:val="NoSpacing"/>
        <w:ind w:left="720"/>
        <w:rPr>
          <w:rFonts w:cs="Times New Roman"/>
        </w:rPr>
      </w:pPr>
      <w:r>
        <w:rPr>
          <w:rFonts w:cs="Times New Roman"/>
        </w:rPr>
        <w:t xml:space="preserve">Per </w:t>
      </w:r>
      <w:r w:rsidRPr="00BB08B5">
        <w:rPr>
          <w:rFonts w:cs="Times New Roman"/>
        </w:rPr>
        <w:t xml:space="preserve">24 </w:t>
      </w:r>
      <w:r w:rsidRPr="00875F85">
        <w:rPr>
          <w:rFonts w:cs="Times New Roman"/>
        </w:rPr>
        <w:t>§</w:t>
      </w:r>
      <w:r w:rsidRPr="00BB08B5">
        <w:rPr>
          <w:rFonts w:cs="Times New Roman"/>
        </w:rPr>
        <w:t>CFR 574.320 (a)(3)</w:t>
      </w:r>
      <w:r>
        <w:rPr>
          <w:rFonts w:cs="Times New Roman"/>
        </w:rPr>
        <w:t xml:space="preserve">, </w:t>
      </w:r>
      <w:r w:rsidRPr="009541ED">
        <w:rPr>
          <w:rFonts w:cs="Times New Roman"/>
        </w:rPr>
        <w:t xml:space="preserve">the </w:t>
      </w:r>
      <w:r>
        <w:rPr>
          <w:rFonts w:cs="Times New Roman"/>
        </w:rPr>
        <w:t>gross rent of the proposed unit</w:t>
      </w:r>
      <w:r w:rsidRPr="009541ED">
        <w:rPr>
          <w:rFonts w:cs="Times New Roman"/>
        </w:rPr>
        <w:t xml:space="preserve"> </w:t>
      </w:r>
      <w:r>
        <w:rPr>
          <w:rFonts w:cs="Times New Roman"/>
        </w:rPr>
        <w:t xml:space="preserve">1) </w:t>
      </w:r>
      <w:r w:rsidRPr="009541ED">
        <w:rPr>
          <w:rFonts w:cs="Times New Roman"/>
        </w:rPr>
        <w:t>must</w:t>
      </w:r>
      <w:r>
        <w:rPr>
          <w:rFonts w:cs="Times New Roman"/>
        </w:rPr>
        <w:t xml:space="preserve"> reasonably relate to the gross rents charged for</w:t>
      </w:r>
      <w:r w:rsidRPr="009541ED">
        <w:rPr>
          <w:rFonts w:cs="Times New Roman"/>
        </w:rPr>
        <w:t xml:space="preserve"> comparable unassisted units in the private market and </w:t>
      </w:r>
      <w:r>
        <w:rPr>
          <w:rFonts w:cs="Times New Roman"/>
        </w:rPr>
        <w:t>2) cannot exceed the</w:t>
      </w:r>
      <w:r w:rsidRPr="009541ED">
        <w:rPr>
          <w:rFonts w:cs="Times New Roman"/>
        </w:rPr>
        <w:t xml:space="preserve"> </w:t>
      </w:r>
      <w:r>
        <w:rPr>
          <w:rFonts w:cs="Times New Roman"/>
        </w:rPr>
        <w:t xml:space="preserve">gross </w:t>
      </w:r>
      <w:r w:rsidRPr="009541ED">
        <w:rPr>
          <w:rFonts w:cs="Times New Roman"/>
        </w:rPr>
        <w:t xml:space="preserve">rents charged </w:t>
      </w:r>
      <w:r>
        <w:rPr>
          <w:rFonts w:cs="Times New Roman"/>
        </w:rPr>
        <w:t xml:space="preserve">for </w:t>
      </w:r>
      <w:r w:rsidRPr="009541ED">
        <w:rPr>
          <w:rFonts w:cs="Times New Roman"/>
        </w:rPr>
        <w:t>comparable unassisted units</w:t>
      </w:r>
      <w:r>
        <w:rPr>
          <w:rFonts w:cs="Times New Roman"/>
        </w:rPr>
        <w:t xml:space="preserve"> owned by the same owner. Project Sponsors should</w:t>
      </w:r>
      <w:r w:rsidRPr="00BB08B5">
        <w:rPr>
          <w:rFonts w:cs="Times New Roman"/>
        </w:rPr>
        <w:t xml:space="preserve"> not assume that the </w:t>
      </w:r>
      <w:r>
        <w:rPr>
          <w:rFonts w:cs="Times New Roman"/>
        </w:rPr>
        <w:t>gross rent</w:t>
      </w:r>
      <w:r w:rsidRPr="00BB08B5">
        <w:rPr>
          <w:rFonts w:cs="Times New Roman"/>
        </w:rPr>
        <w:t xml:space="preserve"> </w:t>
      </w:r>
      <w:r>
        <w:rPr>
          <w:rFonts w:cs="Times New Roman"/>
        </w:rPr>
        <w:t>of the proposed unit meets rent reasonableness requirements</w:t>
      </w:r>
      <w:r w:rsidRPr="00BB08B5">
        <w:rPr>
          <w:rFonts w:cs="Times New Roman"/>
        </w:rPr>
        <w:t xml:space="preserve"> if </w:t>
      </w:r>
      <w:r>
        <w:rPr>
          <w:rFonts w:cs="Times New Roman"/>
        </w:rPr>
        <w:t>it</w:t>
      </w:r>
      <w:r w:rsidRPr="00BB08B5">
        <w:rPr>
          <w:rFonts w:cs="Times New Roman"/>
        </w:rPr>
        <w:t xml:space="preserve"> </w:t>
      </w:r>
      <w:r>
        <w:rPr>
          <w:rFonts w:cs="Times New Roman"/>
        </w:rPr>
        <w:t>falls</w:t>
      </w:r>
      <w:r w:rsidRPr="00BB08B5">
        <w:rPr>
          <w:rFonts w:cs="Times New Roman"/>
        </w:rPr>
        <w:t xml:space="preserve"> within the established rent standard. </w:t>
      </w:r>
      <w:r>
        <w:rPr>
          <w:rFonts w:cs="Times New Roman"/>
        </w:rPr>
        <w:t>A</w:t>
      </w:r>
      <w:r w:rsidRPr="00BB08B5">
        <w:rPr>
          <w:rFonts w:cs="Times New Roman"/>
        </w:rPr>
        <w:t xml:space="preserve"> </w:t>
      </w:r>
      <w:r>
        <w:rPr>
          <w:rFonts w:cs="Times New Roman"/>
        </w:rPr>
        <w:t xml:space="preserve">proposed </w:t>
      </w:r>
      <w:r w:rsidRPr="00BB08B5">
        <w:rPr>
          <w:rFonts w:cs="Times New Roman"/>
        </w:rPr>
        <w:t xml:space="preserve">unit may </w:t>
      </w:r>
      <w:r>
        <w:rPr>
          <w:rFonts w:cs="Times New Roman"/>
        </w:rPr>
        <w:t xml:space="preserve">meet rent standard </w:t>
      </w:r>
      <w:r w:rsidR="009C621C">
        <w:rPr>
          <w:rFonts w:cs="Times New Roman"/>
        </w:rPr>
        <w:t>requirements but</w:t>
      </w:r>
      <w:r>
        <w:rPr>
          <w:rFonts w:cs="Times New Roman"/>
        </w:rPr>
        <w:t xml:space="preserve"> fail to meet rent reasonableness requirements. Project Sponsors 1) </w:t>
      </w:r>
      <w:r w:rsidRPr="00BB08B5">
        <w:rPr>
          <w:rFonts w:cs="Times New Roman"/>
        </w:rPr>
        <w:t xml:space="preserve">document for each </w:t>
      </w:r>
      <w:r>
        <w:rPr>
          <w:rFonts w:cs="Times New Roman"/>
        </w:rPr>
        <w:t xml:space="preserve">proposed </w:t>
      </w:r>
      <w:r w:rsidRPr="00BB08B5">
        <w:rPr>
          <w:rFonts w:cs="Times New Roman"/>
        </w:rPr>
        <w:t>unit that</w:t>
      </w:r>
      <w:r>
        <w:rPr>
          <w:rFonts w:cs="Times New Roman"/>
        </w:rPr>
        <w:t xml:space="preserve"> the owner charged </w:t>
      </w:r>
      <w:r w:rsidRPr="00BB08B5">
        <w:rPr>
          <w:rFonts w:cs="Times New Roman"/>
        </w:rPr>
        <w:t xml:space="preserve">a reasonable </w:t>
      </w:r>
      <w:r>
        <w:rPr>
          <w:rFonts w:cs="Times New Roman"/>
        </w:rPr>
        <w:t xml:space="preserve">gross </w:t>
      </w:r>
      <w:r w:rsidRPr="00BB08B5">
        <w:rPr>
          <w:rFonts w:cs="Times New Roman"/>
        </w:rPr>
        <w:t xml:space="preserve">rent </w:t>
      </w:r>
      <w:r>
        <w:rPr>
          <w:rFonts w:cs="Times New Roman"/>
        </w:rPr>
        <w:t>when compared with the gross rents of other similar</w:t>
      </w:r>
      <w:r w:rsidRPr="00BB08B5">
        <w:rPr>
          <w:rFonts w:cs="Times New Roman"/>
        </w:rPr>
        <w:t xml:space="preserve"> units in the private </w:t>
      </w:r>
      <w:r>
        <w:rPr>
          <w:rFonts w:cs="Times New Roman"/>
        </w:rPr>
        <w:t xml:space="preserve">unassisted </w:t>
      </w:r>
      <w:r w:rsidRPr="00BB08B5">
        <w:rPr>
          <w:rFonts w:cs="Times New Roman"/>
        </w:rPr>
        <w:t xml:space="preserve">market and </w:t>
      </w:r>
      <w:r>
        <w:rPr>
          <w:rFonts w:cs="Times New Roman"/>
        </w:rPr>
        <w:t xml:space="preserve">2) </w:t>
      </w:r>
      <w:r w:rsidRPr="00BB08B5">
        <w:rPr>
          <w:rFonts w:cs="Times New Roman"/>
        </w:rPr>
        <w:t xml:space="preserve">verify, if applicable, that the </w:t>
      </w:r>
      <w:r>
        <w:rPr>
          <w:rFonts w:cs="Times New Roman"/>
        </w:rPr>
        <w:t>owner charged a reasonable gross rent when co</w:t>
      </w:r>
      <w:r w:rsidRPr="00BB08B5">
        <w:rPr>
          <w:rFonts w:cs="Times New Roman"/>
        </w:rPr>
        <w:t>mpared</w:t>
      </w:r>
      <w:r>
        <w:rPr>
          <w:rFonts w:cs="Times New Roman"/>
        </w:rPr>
        <w:t xml:space="preserve"> with</w:t>
      </w:r>
      <w:r w:rsidRPr="00BB08B5">
        <w:rPr>
          <w:rFonts w:cs="Times New Roman"/>
        </w:rPr>
        <w:t xml:space="preserve"> the </w:t>
      </w:r>
      <w:r>
        <w:rPr>
          <w:rFonts w:cs="Times New Roman"/>
        </w:rPr>
        <w:t xml:space="preserve">gross </w:t>
      </w:r>
      <w:r w:rsidRPr="00BB08B5">
        <w:rPr>
          <w:rFonts w:cs="Times New Roman"/>
        </w:rPr>
        <w:t>rent</w:t>
      </w:r>
      <w:r>
        <w:rPr>
          <w:rFonts w:cs="Times New Roman"/>
        </w:rPr>
        <w:t>s</w:t>
      </w:r>
      <w:r w:rsidRPr="00BB08B5">
        <w:rPr>
          <w:rFonts w:cs="Times New Roman"/>
        </w:rPr>
        <w:t xml:space="preserve"> of other </w:t>
      </w:r>
      <w:r>
        <w:rPr>
          <w:rFonts w:cs="Times New Roman"/>
        </w:rPr>
        <w:t>similar</w:t>
      </w:r>
      <w:r w:rsidRPr="00BB08B5">
        <w:rPr>
          <w:rFonts w:cs="Times New Roman"/>
        </w:rPr>
        <w:t xml:space="preserve"> units owned by the same </w:t>
      </w:r>
      <w:r>
        <w:rPr>
          <w:rFonts w:cs="Times New Roman"/>
        </w:rPr>
        <w:t xml:space="preserve">owner. Project Sponsors compare the gross rent of the proposed unit to the average gross rent of two similar units, accounting for </w:t>
      </w:r>
      <w:r>
        <w:t>unit</w:t>
      </w:r>
      <w:r>
        <w:rPr>
          <w:rFonts w:cs="Times New Roman"/>
        </w:rPr>
        <w:t xml:space="preserve"> </w:t>
      </w:r>
      <w:r w:rsidRPr="008026D4">
        <w:rPr>
          <w:rFonts w:cs="Times New Roman"/>
        </w:rPr>
        <w:t>size, type, age</w:t>
      </w:r>
      <w:r>
        <w:rPr>
          <w:rFonts w:cs="Times New Roman"/>
        </w:rPr>
        <w:t>,</w:t>
      </w:r>
      <w:r w:rsidRPr="008026D4">
        <w:rPr>
          <w:rFonts w:cs="Times New Roman"/>
        </w:rPr>
        <w:t xml:space="preserve"> </w:t>
      </w:r>
      <w:r>
        <w:rPr>
          <w:rFonts w:cs="Times New Roman"/>
        </w:rPr>
        <w:t xml:space="preserve">location, </w:t>
      </w:r>
      <w:r w:rsidRPr="008026D4">
        <w:rPr>
          <w:rFonts w:cs="Times New Roman"/>
        </w:rPr>
        <w:t>amenities</w:t>
      </w:r>
      <w:r>
        <w:rPr>
          <w:rFonts w:cs="Times New Roman"/>
        </w:rPr>
        <w:t>,</w:t>
      </w:r>
      <w:r w:rsidRPr="008026D4">
        <w:rPr>
          <w:rFonts w:cs="Times New Roman"/>
        </w:rPr>
        <w:t xml:space="preserve"> and </w:t>
      </w:r>
      <w:r>
        <w:rPr>
          <w:rFonts w:cs="Times New Roman"/>
        </w:rPr>
        <w:t>utilities</w:t>
      </w:r>
      <w:r w:rsidRPr="008026D4">
        <w:rPr>
          <w:rFonts w:cs="Times New Roman"/>
        </w:rPr>
        <w:t>.</w:t>
      </w:r>
    </w:p>
    <w:p w14:paraId="18D6BAAA" w14:textId="77777777" w:rsidR="00D50DBE" w:rsidRPr="008026D4" w:rsidRDefault="00D50DBE" w:rsidP="00D50DBE">
      <w:pPr>
        <w:pStyle w:val="NoSpacing"/>
        <w:numPr>
          <w:ilvl w:val="0"/>
          <w:numId w:val="4"/>
        </w:numPr>
        <w:ind w:left="1260"/>
        <w:rPr>
          <w:rFonts w:cs="Times New Roman"/>
        </w:rPr>
      </w:pPr>
      <w:r>
        <w:rPr>
          <w:rFonts w:cs="Times New Roman"/>
          <w:i/>
        </w:rPr>
        <w:t>Size.</w:t>
      </w:r>
      <w:r w:rsidRPr="008026D4">
        <w:rPr>
          <w:rFonts w:cs="Times New Roman"/>
        </w:rPr>
        <w:t xml:space="preserve"> </w:t>
      </w:r>
      <w:proofErr w:type="gramStart"/>
      <w:r>
        <w:rPr>
          <w:rFonts w:cs="Times New Roman"/>
        </w:rPr>
        <w:t>Compare</w:t>
      </w:r>
      <w:proofErr w:type="gramEnd"/>
      <w:r w:rsidRPr="008026D4">
        <w:rPr>
          <w:rFonts w:cs="Times New Roman"/>
        </w:rPr>
        <w:t xml:space="preserve"> to units with similar</w:t>
      </w:r>
      <w:r>
        <w:rPr>
          <w:rFonts w:cs="Times New Roman"/>
        </w:rPr>
        <w:t xml:space="preserve"> </w:t>
      </w:r>
      <w:r w:rsidRPr="008026D4">
        <w:rPr>
          <w:rFonts w:cs="Times New Roman"/>
        </w:rPr>
        <w:t>bedrooms, bathrooms, and square feet.</w:t>
      </w:r>
    </w:p>
    <w:p w14:paraId="00C3CE26" w14:textId="77777777" w:rsidR="00D50DBE" w:rsidRPr="008026D4" w:rsidRDefault="00D50DBE" w:rsidP="00D50DBE">
      <w:pPr>
        <w:pStyle w:val="NoSpacing"/>
        <w:numPr>
          <w:ilvl w:val="0"/>
          <w:numId w:val="4"/>
        </w:numPr>
        <w:ind w:left="1260"/>
        <w:rPr>
          <w:rFonts w:cs="Times New Roman"/>
        </w:rPr>
      </w:pPr>
      <w:r>
        <w:rPr>
          <w:rFonts w:cs="Times New Roman"/>
          <w:i/>
        </w:rPr>
        <w:t>Type.</w:t>
      </w:r>
      <w:r w:rsidRPr="008026D4">
        <w:rPr>
          <w:rFonts w:cs="Times New Roman"/>
        </w:rPr>
        <w:t xml:space="preserve"> </w:t>
      </w:r>
      <w:proofErr w:type="gramStart"/>
      <w:r>
        <w:rPr>
          <w:rFonts w:cs="Times New Roman"/>
        </w:rPr>
        <w:t>Compare</w:t>
      </w:r>
      <w:proofErr w:type="gramEnd"/>
      <w:r>
        <w:rPr>
          <w:rFonts w:cs="Times New Roman"/>
        </w:rPr>
        <w:t xml:space="preserve"> to units of similar type </w:t>
      </w:r>
      <w:r w:rsidRPr="008026D4">
        <w:rPr>
          <w:rFonts w:cs="Times New Roman"/>
        </w:rPr>
        <w:t>(e.g., house, duplex, apartment, etc.)</w:t>
      </w:r>
      <w:r>
        <w:rPr>
          <w:rFonts w:cs="Times New Roman"/>
        </w:rPr>
        <w:t>.</w:t>
      </w:r>
    </w:p>
    <w:p w14:paraId="72C838BB" w14:textId="77777777" w:rsidR="00D50DBE" w:rsidRPr="008026D4" w:rsidRDefault="00D50DBE" w:rsidP="00D50DBE">
      <w:pPr>
        <w:pStyle w:val="NoSpacing"/>
        <w:numPr>
          <w:ilvl w:val="0"/>
          <w:numId w:val="4"/>
        </w:numPr>
        <w:ind w:left="1260"/>
        <w:rPr>
          <w:rFonts w:cs="Times New Roman"/>
        </w:rPr>
      </w:pPr>
      <w:r>
        <w:rPr>
          <w:rFonts w:cs="Times New Roman"/>
          <w:i/>
        </w:rPr>
        <w:t>Amenities.</w:t>
      </w:r>
      <w:r w:rsidRPr="008026D4">
        <w:rPr>
          <w:rFonts w:cs="Times New Roman"/>
        </w:rPr>
        <w:t xml:space="preserve"> </w:t>
      </w:r>
      <w:proofErr w:type="gramStart"/>
      <w:r>
        <w:rPr>
          <w:rFonts w:cs="Times New Roman"/>
        </w:rPr>
        <w:t>Compare</w:t>
      </w:r>
      <w:proofErr w:type="gramEnd"/>
      <w:r w:rsidRPr="008026D4">
        <w:rPr>
          <w:rFonts w:cs="Times New Roman"/>
        </w:rPr>
        <w:t xml:space="preserve"> to units with similar amenities (appliances, patios, etc.)</w:t>
      </w:r>
      <w:r>
        <w:rPr>
          <w:rFonts w:cs="Times New Roman"/>
        </w:rPr>
        <w:t>.</w:t>
      </w:r>
    </w:p>
    <w:p w14:paraId="06354F3B" w14:textId="77777777" w:rsidR="00D50DBE" w:rsidRDefault="00D50DBE" w:rsidP="00D50DBE">
      <w:pPr>
        <w:pStyle w:val="NoSpacing"/>
        <w:numPr>
          <w:ilvl w:val="0"/>
          <w:numId w:val="4"/>
        </w:numPr>
        <w:ind w:left="1260"/>
        <w:rPr>
          <w:rFonts w:cs="Times New Roman"/>
        </w:rPr>
      </w:pPr>
      <w:r>
        <w:rPr>
          <w:rFonts w:cs="Times New Roman"/>
          <w:i/>
        </w:rPr>
        <w:t>Location.</w:t>
      </w:r>
      <w:r w:rsidRPr="008026D4">
        <w:rPr>
          <w:rFonts w:cs="Times New Roman"/>
        </w:rPr>
        <w:t xml:space="preserve"> </w:t>
      </w:r>
      <w:r>
        <w:rPr>
          <w:rFonts w:cs="Times New Roman"/>
        </w:rPr>
        <w:t>Compare</w:t>
      </w:r>
      <w:r w:rsidRPr="008026D4">
        <w:rPr>
          <w:rFonts w:cs="Times New Roman"/>
        </w:rPr>
        <w:t xml:space="preserve"> to units </w:t>
      </w:r>
      <w:r>
        <w:rPr>
          <w:rFonts w:cs="Times New Roman"/>
        </w:rPr>
        <w:t>in the same or similar</w:t>
      </w:r>
      <w:r w:rsidRPr="008026D4">
        <w:rPr>
          <w:rFonts w:cs="Times New Roman"/>
        </w:rPr>
        <w:t xml:space="preserve"> areas.</w:t>
      </w:r>
    </w:p>
    <w:p w14:paraId="462D3BA9" w14:textId="77777777" w:rsidR="00D50DBE" w:rsidRPr="00861B1C" w:rsidRDefault="00D50DBE" w:rsidP="00D50DBE">
      <w:pPr>
        <w:pStyle w:val="NoSpacing"/>
        <w:ind w:left="720"/>
        <w:rPr>
          <w:rFonts w:cs="Times New Roman"/>
          <w:iCs/>
        </w:rPr>
      </w:pPr>
    </w:p>
    <w:p w14:paraId="5056A932" w14:textId="1C372471" w:rsidR="00D50DBE" w:rsidRDefault="00D50DBE" w:rsidP="00D50DBE">
      <w:pPr>
        <w:pStyle w:val="NoSpacing"/>
        <w:ind w:left="720"/>
        <w:rPr>
          <w:rFonts w:cs="Times New Roman"/>
        </w:rPr>
      </w:pPr>
      <w:r w:rsidRPr="008026D4">
        <w:rPr>
          <w:rFonts w:cs="Times New Roman"/>
        </w:rPr>
        <w:t xml:space="preserve">If the </w:t>
      </w:r>
      <w:r>
        <w:rPr>
          <w:rFonts w:cs="Times New Roman"/>
        </w:rPr>
        <w:t>gross rent of the proposed unit</w:t>
      </w:r>
      <w:r w:rsidRPr="008026D4">
        <w:rPr>
          <w:rFonts w:cs="Times New Roman"/>
        </w:rPr>
        <w:t xml:space="preserve"> exceeds the lower of the rent standard or the reasonable rent, then </w:t>
      </w:r>
      <w:r>
        <w:rPr>
          <w:rFonts w:cs="Times New Roman"/>
        </w:rPr>
        <w:t>the Project Sponsor cannot provide TSH services</w:t>
      </w:r>
      <w:r w:rsidRPr="008026D4">
        <w:rPr>
          <w:rFonts w:cs="Times New Roman"/>
        </w:rPr>
        <w:t>.</w:t>
      </w:r>
      <w:r>
        <w:rPr>
          <w:rFonts w:cs="Times New Roman"/>
        </w:rPr>
        <w:t xml:space="preserve"> </w:t>
      </w:r>
      <w:r w:rsidRPr="007216F2">
        <w:rPr>
          <w:rFonts w:cs="Times New Roman"/>
        </w:rPr>
        <w:t xml:space="preserve">To ensure compliance with this requirement, Project </w:t>
      </w:r>
      <w:r w:rsidRPr="008026D4">
        <w:rPr>
          <w:rFonts w:cs="Times New Roman"/>
        </w:rPr>
        <w:t>Sponsors</w:t>
      </w:r>
      <w:r>
        <w:rPr>
          <w:rFonts w:cs="Times New Roman"/>
        </w:rPr>
        <w:t xml:space="preserve"> </w:t>
      </w:r>
      <w:r w:rsidRPr="008026D4">
        <w:rPr>
          <w:rFonts w:cs="Times New Roman"/>
        </w:rPr>
        <w:t xml:space="preserve">complete </w:t>
      </w:r>
      <w:r w:rsidRPr="003F5DA4">
        <w:rPr>
          <w:rFonts w:cs="Times New Roman"/>
          <w:b/>
          <w:color w:val="5B9BD5" w:themeColor="accent1"/>
        </w:rPr>
        <w:t xml:space="preserve">Form H: Rent Standard and Rent Reasonableness </w:t>
      </w:r>
      <w:r>
        <w:rPr>
          <w:rFonts w:cs="Times New Roman"/>
          <w:b/>
          <w:color w:val="5B9BD5" w:themeColor="accent1"/>
        </w:rPr>
        <w:t>Examination</w:t>
      </w:r>
      <w:r w:rsidRPr="008026D4">
        <w:rPr>
          <w:rFonts w:cs="Times New Roman"/>
        </w:rPr>
        <w:t xml:space="preserve"> for each unit </w:t>
      </w:r>
      <w:r w:rsidRPr="002F6849">
        <w:rPr>
          <w:rFonts w:cs="Times New Roman"/>
        </w:rPr>
        <w:t xml:space="preserve">before </w:t>
      </w:r>
      <w:r>
        <w:rPr>
          <w:rFonts w:cs="Times New Roman"/>
        </w:rPr>
        <w:t>TSH</w:t>
      </w:r>
      <w:r w:rsidRPr="002F6849">
        <w:rPr>
          <w:rFonts w:cs="Times New Roman"/>
        </w:rPr>
        <w:t xml:space="preserve"> services start and annual </w:t>
      </w:r>
      <w:r>
        <w:rPr>
          <w:rFonts w:cs="Times New Roman"/>
        </w:rPr>
        <w:t xml:space="preserve">eligibility </w:t>
      </w:r>
      <w:r w:rsidRPr="002F6849">
        <w:rPr>
          <w:rFonts w:cs="Times New Roman"/>
        </w:rPr>
        <w:t xml:space="preserve">recertifications. </w:t>
      </w:r>
      <w:r>
        <w:rPr>
          <w:rFonts w:cs="Times New Roman"/>
        </w:rPr>
        <w:t xml:space="preserve">Also, they complete Form H </w:t>
      </w:r>
      <w:r w:rsidRPr="002F6849">
        <w:rPr>
          <w:rFonts w:cs="Times New Roman"/>
        </w:rPr>
        <w:t xml:space="preserve">if </w:t>
      </w:r>
      <w:r>
        <w:rPr>
          <w:rFonts w:cs="Times New Roman"/>
        </w:rPr>
        <w:t>household</w:t>
      </w:r>
      <w:r w:rsidRPr="002F6849">
        <w:rPr>
          <w:rFonts w:cs="Times New Roman"/>
        </w:rPr>
        <w:t xml:space="preserve"> residency</w:t>
      </w:r>
      <w:r>
        <w:rPr>
          <w:rFonts w:cs="Times New Roman"/>
        </w:rPr>
        <w:t>, composition,</w:t>
      </w:r>
      <w:r w:rsidRPr="002F6849">
        <w:rPr>
          <w:rFonts w:cs="Times New Roman"/>
        </w:rPr>
        <w:t xml:space="preserve"> or rent</w:t>
      </w:r>
      <w:r>
        <w:rPr>
          <w:rFonts w:cs="Times New Roman"/>
        </w:rPr>
        <w:t xml:space="preserve"> have changed</w:t>
      </w:r>
      <w:r w:rsidRPr="008026D4">
        <w:rPr>
          <w:rFonts w:cs="Times New Roman"/>
        </w:rPr>
        <w:t>.</w:t>
      </w:r>
    </w:p>
    <w:p w14:paraId="27A5C519" w14:textId="77777777" w:rsidR="00D50DBE" w:rsidRDefault="00D50DBE" w:rsidP="00D50DBE">
      <w:pPr>
        <w:pStyle w:val="NoSpacing"/>
        <w:ind w:left="720"/>
        <w:rPr>
          <w:rFonts w:cs="Times New Roman"/>
          <w:color w:val="C00000"/>
        </w:rPr>
      </w:pPr>
      <w:r w:rsidRPr="001D4010">
        <w:rPr>
          <w:rFonts w:cs="Times New Roman"/>
          <w:b/>
          <w:color w:val="C00000"/>
        </w:rPr>
        <w:t xml:space="preserve">NOTE: </w:t>
      </w:r>
      <w:r w:rsidRPr="00ED208F">
        <w:rPr>
          <w:rFonts w:cs="Times New Roman"/>
          <w:color w:val="C00000"/>
        </w:rPr>
        <w:t xml:space="preserve">Project Sponsors must attach comparison unit </w:t>
      </w:r>
      <w:r>
        <w:rPr>
          <w:rFonts w:cs="Times New Roman"/>
          <w:color w:val="C00000"/>
        </w:rPr>
        <w:t xml:space="preserve">documentation and a </w:t>
      </w:r>
      <w:r w:rsidRPr="00ED208F">
        <w:rPr>
          <w:rFonts w:cs="Times New Roman"/>
          <w:color w:val="C00000"/>
        </w:rPr>
        <w:t>utility schedule</w:t>
      </w:r>
      <w:r>
        <w:rPr>
          <w:rFonts w:cs="Times New Roman"/>
          <w:color w:val="C00000"/>
        </w:rPr>
        <w:t xml:space="preserve"> to Form H</w:t>
      </w:r>
      <w:r w:rsidRPr="00ED208F">
        <w:rPr>
          <w:rFonts w:cs="Times New Roman"/>
          <w:color w:val="C00000"/>
        </w:rPr>
        <w:t>.</w:t>
      </w:r>
    </w:p>
    <w:p w14:paraId="1D871312" w14:textId="77777777" w:rsidR="00D50DBE" w:rsidRDefault="00D50DBE" w:rsidP="00D50DBE">
      <w:pPr>
        <w:pStyle w:val="NoSpacing"/>
        <w:ind w:left="720"/>
        <w:rPr>
          <w:rFonts w:cs="Times New Roman"/>
          <w:b/>
          <w:color w:val="C00000"/>
        </w:rPr>
      </w:pPr>
      <w:r w:rsidRPr="00DA098E">
        <w:rPr>
          <w:rFonts w:cs="Times New Roman"/>
          <w:b/>
          <w:color w:val="C00000"/>
        </w:rPr>
        <w:t>NOTE:</w:t>
      </w:r>
      <w:r>
        <w:rPr>
          <w:rFonts w:cs="Times New Roman"/>
          <w:color w:val="C00000"/>
        </w:rPr>
        <w:t xml:space="preserve"> Form H automatically selects a rent standard based on zip code, county, and authorized unit size. Form H returns a </w:t>
      </w:r>
      <w:r w:rsidRPr="007216F2">
        <w:rPr>
          <w:rFonts w:cs="Times New Roman"/>
          <w:color w:val="C00000"/>
        </w:rPr>
        <w:t xml:space="preserve">zip-code-level rent standard </w:t>
      </w:r>
      <w:r>
        <w:rPr>
          <w:rFonts w:cs="Times New Roman"/>
          <w:color w:val="C00000"/>
        </w:rPr>
        <w:t>where</w:t>
      </w:r>
      <w:r w:rsidRPr="007216F2">
        <w:rPr>
          <w:rFonts w:cs="Times New Roman"/>
          <w:color w:val="C00000"/>
        </w:rPr>
        <w:t xml:space="preserve"> available</w:t>
      </w:r>
      <w:r>
        <w:rPr>
          <w:rFonts w:cs="Times New Roman"/>
          <w:color w:val="C00000"/>
        </w:rPr>
        <w:t xml:space="preserve"> and </w:t>
      </w:r>
      <w:r w:rsidRPr="007216F2">
        <w:rPr>
          <w:rFonts w:cs="Times New Roman"/>
          <w:color w:val="C00000"/>
        </w:rPr>
        <w:t>a county-level rent standard</w:t>
      </w:r>
      <w:r>
        <w:rPr>
          <w:rFonts w:cs="Times New Roman"/>
          <w:color w:val="C00000"/>
        </w:rPr>
        <w:t xml:space="preserve"> where not</w:t>
      </w:r>
      <w:r w:rsidRPr="007216F2">
        <w:rPr>
          <w:rFonts w:cs="Times New Roman"/>
          <w:color w:val="C00000"/>
        </w:rPr>
        <w:t>.</w:t>
      </w:r>
    </w:p>
    <w:p w14:paraId="35CF6A09" w14:textId="3BA3C185" w:rsidR="009317C2" w:rsidRDefault="00D50DBE">
      <w:pPr>
        <w:pStyle w:val="NoSpacing"/>
        <w:ind w:left="720"/>
        <w:rPr>
          <w:rFonts w:cs="Times New Roman"/>
        </w:rPr>
      </w:pPr>
      <w:r>
        <w:rPr>
          <w:rFonts w:cs="Times New Roman"/>
          <w:b/>
          <w:color w:val="C00000"/>
        </w:rPr>
        <w:t>NOTE:</w:t>
      </w:r>
      <w:r>
        <w:rPr>
          <w:rFonts w:cs="Times New Roman"/>
          <w:color w:val="C00000"/>
        </w:rPr>
        <w:t xml:space="preserve"> See </w:t>
      </w:r>
      <w:r w:rsidRPr="009658B2">
        <w:rPr>
          <w:rFonts w:cs="Times New Roman"/>
          <w:color w:val="C00000"/>
        </w:rPr>
        <w:t xml:space="preserve">Appendix H: </w:t>
      </w:r>
      <w:r>
        <w:rPr>
          <w:rFonts w:cs="Times New Roman"/>
          <w:color w:val="C00000"/>
        </w:rPr>
        <w:t xml:space="preserve">Rental Assistance </w:t>
      </w:r>
      <w:r w:rsidRPr="009658B2">
        <w:rPr>
          <w:rFonts w:cs="Times New Roman"/>
          <w:color w:val="C00000"/>
        </w:rPr>
        <w:t>Instructions for Shared Housing Arrangements</w:t>
      </w:r>
      <w:r>
        <w:rPr>
          <w:rFonts w:cs="Times New Roman"/>
          <w:color w:val="C00000"/>
        </w:rPr>
        <w:t>.</w:t>
      </w:r>
    </w:p>
    <w:p w14:paraId="3902A1FC" w14:textId="77777777" w:rsidR="00C13584" w:rsidRPr="00ED208F" w:rsidRDefault="00C13584" w:rsidP="00DE48B8">
      <w:pPr>
        <w:pStyle w:val="NoSpacing"/>
        <w:ind w:left="720"/>
        <w:rPr>
          <w:rFonts w:cs="Times New Roman"/>
        </w:rPr>
      </w:pPr>
    </w:p>
    <w:p w14:paraId="629B62CD" w14:textId="77777777" w:rsidR="0034655E" w:rsidRPr="00997CAD" w:rsidRDefault="0034655E">
      <w:pPr>
        <w:pStyle w:val="NoSpacing"/>
        <w:numPr>
          <w:ilvl w:val="1"/>
          <w:numId w:val="86"/>
        </w:numPr>
        <w:rPr>
          <w:rFonts w:cs="Times New Roman"/>
          <w:b/>
          <w:u w:val="single"/>
        </w:rPr>
      </w:pPr>
      <w:r w:rsidRPr="00997CAD">
        <w:rPr>
          <w:rFonts w:cs="Times New Roman"/>
          <w:b/>
          <w:u w:val="single"/>
        </w:rPr>
        <w:t xml:space="preserve">Calculating </w:t>
      </w:r>
      <w:r>
        <w:rPr>
          <w:rFonts w:cs="Times New Roman"/>
          <w:b/>
          <w:u w:val="single"/>
        </w:rPr>
        <w:t xml:space="preserve">Monthly </w:t>
      </w:r>
      <w:r w:rsidRPr="00997CAD">
        <w:rPr>
          <w:rFonts w:cs="Times New Roman"/>
          <w:b/>
          <w:u w:val="single"/>
        </w:rPr>
        <w:t xml:space="preserve">Household and </w:t>
      </w:r>
      <w:r>
        <w:rPr>
          <w:rFonts w:cs="Times New Roman"/>
          <w:b/>
          <w:u w:val="single"/>
        </w:rPr>
        <w:t>Project Sponsor</w:t>
      </w:r>
      <w:r w:rsidRPr="00997CAD">
        <w:rPr>
          <w:rFonts w:cs="Times New Roman"/>
          <w:b/>
          <w:u w:val="single"/>
        </w:rPr>
        <w:t xml:space="preserve"> </w:t>
      </w:r>
      <w:r>
        <w:rPr>
          <w:rFonts w:cs="Times New Roman"/>
          <w:b/>
          <w:u w:val="single"/>
        </w:rPr>
        <w:t>Rent Payments</w:t>
      </w:r>
    </w:p>
    <w:p w14:paraId="5790AC04" w14:textId="12DF8D38" w:rsidR="00C9153E" w:rsidRDefault="00280FE3" w:rsidP="00DA098E">
      <w:pPr>
        <w:pStyle w:val="NoSpacing"/>
        <w:ind w:left="720"/>
        <w:rPr>
          <w:rFonts w:cs="Times New Roman"/>
        </w:rPr>
      </w:pPr>
      <w:r>
        <w:rPr>
          <w:rFonts w:cs="Times New Roman"/>
        </w:rPr>
        <w:t>TSH</w:t>
      </w:r>
      <w:r w:rsidR="0034655E" w:rsidRPr="008026D4">
        <w:rPr>
          <w:rFonts w:cs="Times New Roman"/>
        </w:rPr>
        <w:t xml:space="preserve"> </w:t>
      </w:r>
      <w:r w:rsidR="00EC37C2" w:rsidRPr="00EC37C2">
        <w:rPr>
          <w:rFonts w:cs="Times New Roman"/>
        </w:rPr>
        <w:t>pays the difference between the household’s calculated monthly rent payment and the rent specified in their lease agreement.</w:t>
      </w:r>
      <w:r w:rsidR="0034655E">
        <w:rPr>
          <w:rFonts w:cs="Times New Roman"/>
        </w:rPr>
        <w:t xml:space="preserve"> </w:t>
      </w:r>
      <w:r w:rsidR="0034655E" w:rsidRPr="008026D4">
        <w:rPr>
          <w:rFonts w:cs="Times New Roman"/>
        </w:rPr>
        <w:t xml:space="preserve">Project Sponsors </w:t>
      </w:r>
      <w:r w:rsidR="00781D43">
        <w:rPr>
          <w:rFonts w:cs="Times New Roman"/>
        </w:rPr>
        <w:t>collect rental assistance subsidies</w:t>
      </w:r>
      <w:r w:rsidR="0034655E" w:rsidRPr="008026D4">
        <w:rPr>
          <w:rFonts w:cs="Times New Roman"/>
        </w:rPr>
        <w:t xml:space="preserve"> and, in </w:t>
      </w:r>
      <w:r w:rsidR="00EC37C2">
        <w:rPr>
          <w:rFonts w:cs="Times New Roman"/>
        </w:rPr>
        <w:t>some</w:t>
      </w:r>
      <w:r w:rsidR="00EC37C2" w:rsidRPr="008026D4">
        <w:rPr>
          <w:rFonts w:cs="Times New Roman"/>
        </w:rPr>
        <w:t xml:space="preserve"> </w:t>
      </w:r>
      <w:r w:rsidR="0034655E" w:rsidRPr="008026D4">
        <w:rPr>
          <w:rFonts w:cs="Times New Roman"/>
        </w:rPr>
        <w:t xml:space="preserve">circumstances, </w:t>
      </w:r>
      <w:r w:rsidR="00781D43">
        <w:rPr>
          <w:rFonts w:cs="Times New Roman"/>
        </w:rPr>
        <w:t xml:space="preserve">make payments to </w:t>
      </w:r>
      <w:r w:rsidR="0034655E" w:rsidRPr="008026D4">
        <w:rPr>
          <w:rFonts w:cs="Times New Roman"/>
        </w:rPr>
        <w:t>utility vendors</w:t>
      </w:r>
      <w:r w:rsidR="00D03272">
        <w:rPr>
          <w:rFonts w:cs="Times New Roman"/>
        </w:rPr>
        <w:t xml:space="preserve"> in the form of a utility reimbursement</w:t>
      </w:r>
      <w:r w:rsidR="0034655E" w:rsidRPr="008026D4">
        <w:rPr>
          <w:rFonts w:cs="Times New Roman"/>
        </w:rPr>
        <w:t xml:space="preserve">. Per 24 CFR §574.310(d), households receiving </w:t>
      </w:r>
      <w:r>
        <w:rPr>
          <w:rFonts w:cs="Times New Roman"/>
        </w:rPr>
        <w:t>TSH</w:t>
      </w:r>
      <w:r w:rsidR="0034655E" w:rsidRPr="008026D4">
        <w:rPr>
          <w:rFonts w:cs="Times New Roman"/>
        </w:rPr>
        <w:t xml:space="preserve"> </w:t>
      </w:r>
      <w:r w:rsidR="00A95CBD" w:rsidRPr="008026D4">
        <w:rPr>
          <w:rFonts w:cs="Times New Roman"/>
        </w:rPr>
        <w:t xml:space="preserve">services must pay as rent, including utilities, an amount </w:t>
      </w:r>
      <w:r w:rsidR="00A95CBD">
        <w:rPr>
          <w:rFonts w:cs="Times New Roman"/>
        </w:rPr>
        <w:t>equaling</w:t>
      </w:r>
      <w:r w:rsidR="00A95CBD" w:rsidRPr="008026D4">
        <w:rPr>
          <w:rFonts w:cs="Times New Roman"/>
        </w:rPr>
        <w:t xml:space="preserve"> the higher of 1) 30 percent of the household</w:t>
      </w:r>
      <w:r w:rsidR="00A95CBD">
        <w:rPr>
          <w:rFonts w:cs="Times New Roman"/>
        </w:rPr>
        <w:t>’</w:t>
      </w:r>
      <w:r w:rsidR="00A95CBD" w:rsidRPr="008026D4">
        <w:rPr>
          <w:rFonts w:cs="Times New Roman"/>
        </w:rPr>
        <w:t xml:space="preserve">s monthly adjusted income </w:t>
      </w:r>
      <w:r w:rsidR="00A95CBD">
        <w:rPr>
          <w:rFonts w:cs="Times New Roman"/>
        </w:rPr>
        <w:t xml:space="preserve">as </w:t>
      </w:r>
      <w:r w:rsidR="00A95CBD" w:rsidRPr="008026D4">
        <w:rPr>
          <w:rFonts w:cs="Times New Roman"/>
        </w:rPr>
        <w:t>desc</w:t>
      </w:r>
      <w:r w:rsidR="00A95CBD">
        <w:rPr>
          <w:rFonts w:cs="Times New Roman"/>
        </w:rPr>
        <w:t xml:space="preserve">ribed in </w:t>
      </w:r>
      <w:hyperlink r:id="rId102" w:anchor="p-5.611(a)" w:history="1">
        <w:r w:rsidR="00A95CBD" w:rsidRPr="00E948C7">
          <w:rPr>
            <w:rStyle w:val="Hyperlink"/>
            <w:rFonts w:cs="Times New Roman"/>
          </w:rPr>
          <w:t>24 CFR §5.611</w:t>
        </w:r>
      </w:hyperlink>
      <w:r w:rsidR="00A95CBD">
        <w:rPr>
          <w:rFonts w:cs="Times New Roman"/>
        </w:rPr>
        <w:t>,</w:t>
      </w:r>
      <w:r w:rsidR="00A95CBD" w:rsidRPr="008026D4">
        <w:rPr>
          <w:rFonts w:cs="Times New Roman"/>
        </w:rPr>
        <w:t xml:space="preserve"> 2) 10 percent of the household</w:t>
      </w:r>
      <w:r w:rsidR="00A95CBD">
        <w:rPr>
          <w:rFonts w:cs="Times New Roman"/>
        </w:rPr>
        <w:t>’</w:t>
      </w:r>
      <w:r w:rsidR="00A95CBD" w:rsidRPr="008026D4">
        <w:rPr>
          <w:rFonts w:cs="Times New Roman"/>
        </w:rPr>
        <w:t>s monthly income</w:t>
      </w:r>
      <w:r w:rsidR="00A95CBD">
        <w:rPr>
          <w:rFonts w:cs="Times New Roman"/>
        </w:rPr>
        <w:t>,</w:t>
      </w:r>
      <w:r w:rsidR="00A95CBD" w:rsidRPr="008026D4">
        <w:rPr>
          <w:rFonts w:cs="Times New Roman"/>
        </w:rPr>
        <w:t xml:space="preserve"> or 3) </w:t>
      </w:r>
      <w:r w:rsidR="002C716F" w:rsidRPr="002C716F">
        <w:rPr>
          <w:rFonts w:cs="Times New Roman"/>
        </w:rPr>
        <w:t>the household’s monthly welfare payments from a public agency designated to meet housing costs</w:t>
      </w:r>
      <w:r w:rsidR="00A95CBD" w:rsidRPr="008026D4">
        <w:rPr>
          <w:rFonts w:cs="Times New Roman"/>
        </w:rPr>
        <w:t xml:space="preserve">. </w:t>
      </w:r>
      <w:r w:rsidR="00A95CBD" w:rsidRPr="006F014B">
        <w:rPr>
          <w:rFonts w:cs="Times New Roman"/>
        </w:rPr>
        <w:t xml:space="preserve">The </w:t>
      </w:r>
      <w:r w:rsidR="00A95CBD" w:rsidRPr="00C12F4F">
        <w:rPr>
          <w:rFonts w:cs="Times New Roman"/>
          <w:b/>
          <w:color w:val="70AD47" w:themeColor="accent6"/>
        </w:rPr>
        <w:t>Determining Household Annual Adjusted Income Guide</w:t>
      </w:r>
      <w:r w:rsidR="00A95CBD">
        <w:rPr>
          <w:rFonts w:cs="Times New Roman"/>
        </w:rPr>
        <w:t xml:space="preserve"> outlines acceptable forms of deduction verification and deduction calculation guidance. </w:t>
      </w:r>
      <w:r w:rsidR="00A95CBD" w:rsidRPr="008026D4">
        <w:rPr>
          <w:rFonts w:cs="Times New Roman"/>
        </w:rPr>
        <w:t xml:space="preserve">To accurately calculate the </w:t>
      </w:r>
      <w:r w:rsidR="00A95CBD">
        <w:rPr>
          <w:rFonts w:cs="Times New Roman"/>
        </w:rPr>
        <w:t xml:space="preserve">household’s monthly rent payment </w:t>
      </w:r>
      <w:r w:rsidR="0034655E" w:rsidRPr="008026D4">
        <w:rPr>
          <w:rFonts w:cs="Times New Roman"/>
        </w:rPr>
        <w:t>and</w:t>
      </w:r>
      <w:r w:rsidR="0034655E">
        <w:rPr>
          <w:rFonts w:cs="Times New Roman"/>
        </w:rPr>
        <w:t xml:space="preserve"> rent</w:t>
      </w:r>
      <w:r w:rsidR="00781D43">
        <w:rPr>
          <w:rFonts w:cs="Times New Roman"/>
        </w:rPr>
        <w:t>al assistance subsidy</w:t>
      </w:r>
      <w:r w:rsidR="0034655E" w:rsidRPr="008026D4">
        <w:rPr>
          <w:rFonts w:cs="Times New Roman"/>
        </w:rPr>
        <w:t xml:space="preserve">, Project Sponsors complete </w:t>
      </w:r>
      <w:r w:rsidR="0034655E" w:rsidRPr="003F5DA4">
        <w:rPr>
          <w:rFonts w:cs="Times New Roman"/>
          <w:b/>
          <w:color w:val="5B9BD5" w:themeColor="accent1"/>
        </w:rPr>
        <w:t xml:space="preserve">Form I: </w:t>
      </w:r>
      <w:r w:rsidR="0034655E" w:rsidRPr="00914AAE">
        <w:rPr>
          <w:rFonts w:cs="Times New Roman"/>
          <w:b/>
          <w:color w:val="5B9BD5" w:themeColor="accent1"/>
        </w:rPr>
        <w:t xml:space="preserve">Rental Assistance </w:t>
      </w:r>
      <w:r w:rsidR="0034655E" w:rsidRPr="003F5DA4">
        <w:rPr>
          <w:rFonts w:cs="Times New Roman"/>
          <w:b/>
          <w:color w:val="5B9BD5" w:themeColor="accent1"/>
        </w:rPr>
        <w:t>Worksheet</w:t>
      </w:r>
      <w:r w:rsidR="0034655E" w:rsidRPr="003F5DA4">
        <w:rPr>
          <w:rFonts w:cs="Times New Roman"/>
          <w:color w:val="5B9BD5" w:themeColor="accent1"/>
        </w:rPr>
        <w:t xml:space="preserve"> </w:t>
      </w:r>
      <w:r w:rsidR="0034655E" w:rsidRPr="008026D4">
        <w:rPr>
          <w:rFonts w:cs="Times New Roman"/>
        </w:rPr>
        <w:t xml:space="preserve">before </w:t>
      </w:r>
      <w:r>
        <w:rPr>
          <w:rFonts w:cs="Times New Roman"/>
        </w:rPr>
        <w:t>TSH</w:t>
      </w:r>
      <w:r w:rsidR="0034655E" w:rsidRPr="008026D4">
        <w:rPr>
          <w:rFonts w:cs="Times New Roman"/>
        </w:rPr>
        <w:t xml:space="preserve"> </w:t>
      </w:r>
      <w:r w:rsidR="0034655E" w:rsidRPr="008026D4">
        <w:rPr>
          <w:rFonts w:cs="Times New Roman"/>
        </w:rPr>
        <w:lastRenderedPageBreak/>
        <w:t xml:space="preserve">services start and annual </w:t>
      </w:r>
      <w:r w:rsidR="00F93842">
        <w:rPr>
          <w:rFonts w:cs="Times New Roman"/>
        </w:rPr>
        <w:t xml:space="preserve">eligibility </w:t>
      </w:r>
      <w:r w:rsidR="0034655E" w:rsidRPr="008026D4">
        <w:rPr>
          <w:rFonts w:cs="Times New Roman"/>
        </w:rPr>
        <w:t xml:space="preserve">recertifications. Also, </w:t>
      </w:r>
      <w:r w:rsidR="0087756B">
        <w:rPr>
          <w:rFonts w:cs="Times New Roman"/>
        </w:rPr>
        <w:t>they complete Form I</w:t>
      </w:r>
      <w:r w:rsidR="0034655E" w:rsidRPr="008026D4">
        <w:rPr>
          <w:rFonts w:cs="Times New Roman"/>
        </w:rPr>
        <w:t xml:space="preserve"> if </w:t>
      </w:r>
      <w:r w:rsidR="00FB332A" w:rsidRPr="00FB332A">
        <w:rPr>
          <w:rFonts w:cs="Times New Roman"/>
        </w:rPr>
        <w:t xml:space="preserve">household </w:t>
      </w:r>
      <w:r w:rsidR="00F93842">
        <w:rPr>
          <w:rFonts w:cs="Times New Roman"/>
        </w:rPr>
        <w:t>eligibility factors</w:t>
      </w:r>
      <w:r w:rsidR="00FB332A" w:rsidRPr="00FB332A" w:rsidDel="00FB332A">
        <w:rPr>
          <w:rFonts w:cs="Times New Roman"/>
        </w:rPr>
        <w:t xml:space="preserve"> </w:t>
      </w:r>
      <w:r w:rsidR="0034655E">
        <w:rPr>
          <w:rFonts w:cs="Times New Roman"/>
        </w:rPr>
        <w:t>or rent</w:t>
      </w:r>
      <w:r w:rsidR="00FB332A">
        <w:rPr>
          <w:rFonts w:cs="Times New Roman"/>
        </w:rPr>
        <w:t xml:space="preserve"> have changed</w:t>
      </w:r>
      <w:r w:rsidR="0034655E" w:rsidRPr="008026D4">
        <w:rPr>
          <w:rFonts w:cs="Times New Roman"/>
        </w:rPr>
        <w:t>.</w:t>
      </w:r>
    </w:p>
    <w:p w14:paraId="043A6A41" w14:textId="77777777" w:rsidR="002A566B" w:rsidRPr="00DE48B8" w:rsidRDefault="002A566B" w:rsidP="00DE48B8">
      <w:pPr>
        <w:pStyle w:val="NoSpacing"/>
        <w:ind w:left="720"/>
        <w:rPr>
          <w:rFonts w:cs="Times New Roman"/>
          <w:b/>
          <w:u w:val="single"/>
        </w:rPr>
      </w:pPr>
    </w:p>
    <w:p w14:paraId="4783C042" w14:textId="7B40E913" w:rsidR="0034655E" w:rsidRPr="00997CAD" w:rsidRDefault="0034655E">
      <w:pPr>
        <w:pStyle w:val="NoSpacing"/>
        <w:numPr>
          <w:ilvl w:val="1"/>
          <w:numId w:val="86"/>
        </w:numPr>
        <w:rPr>
          <w:rFonts w:cs="Times New Roman"/>
          <w:b/>
          <w:u w:val="single"/>
        </w:rPr>
      </w:pPr>
      <w:r w:rsidRPr="00C9153E">
        <w:rPr>
          <w:rFonts w:cs="Times New Roman"/>
          <w:b/>
          <w:u w:val="single"/>
        </w:rPr>
        <w:t>Utility Allo</w:t>
      </w:r>
      <w:r w:rsidRPr="00997CAD">
        <w:rPr>
          <w:rFonts w:cs="Times New Roman"/>
          <w:b/>
          <w:u w:val="single"/>
        </w:rPr>
        <w:t>wances and Reimbursements</w:t>
      </w:r>
    </w:p>
    <w:p w14:paraId="33CFD779" w14:textId="6E21617B" w:rsidR="000602AC" w:rsidRDefault="000602AC">
      <w:pPr>
        <w:pStyle w:val="NoSpacing"/>
        <w:ind w:left="720"/>
        <w:rPr>
          <w:rFonts w:cs="Times New Roman"/>
        </w:rPr>
      </w:pPr>
      <w:r w:rsidRPr="000602AC">
        <w:rPr>
          <w:rFonts w:cs="Times New Roman"/>
        </w:rPr>
        <w:t xml:space="preserve">Households receiving </w:t>
      </w:r>
      <w:r>
        <w:rPr>
          <w:rFonts w:cs="Times New Roman"/>
        </w:rPr>
        <w:t>TSH</w:t>
      </w:r>
      <w:r w:rsidRPr="000602AC">
        <w:rPr>
          <w:rFonts w:cs="Times New Roman"/>
        </w:rPr>
        <w:t xml:space="preserve"> services must receive a utility allowance if they pay a separate utility vendor in addition to rent and utilities paid to the </w:t>
      </w:r>
      <w:r>
        <w:rPr>
          <w:rFonts w:cs="Times New Roman"/>
        </w:rPr>
        <w:t>Project Sponsor</w:t>
      </w:r>
      <w:r w:rsidRPr="000602AC">
        <w:rPr>
          <w:rFonts w:cs="Times New Roman"/>
        </w:rPr>
        <w:t xml:space="preserve">. </w:t>
      </w:r>
      <w:r w:rsidR="0087756B" w:rsidRPr="0087756B">
        <w:rPr>
          <w:rFonts w:cs="Times New Roman"/>
        </w:rPr>
        <w:t xml:space="preserve">Households only receive an allowance for utility costs not paid by another source. Project Sponsors prorate allowances for shared housing arrangements (See Appendix H: Rental Assistance Instructions for Shared Housing Arrangements). Project Sponsors may request current copies of HUD-approved utility schedules from local Public Housing Agencies. Project Sponsors use the utility allowance for the lower of either the number of bedrooms allowed by the Occupancy Standards or the actual number of bedrooms in the unit. In the event a household’s allowance exceeds </w:t>
      </w:r>
      <w:r w:rsidR="006E0470">
        <w:rPr>
          <w:rFonts w:cs="Times New Roman"/>
        </w:rPr>
        <w:t>their calculated monthly</w:t>
      </w:r>
      <w:r w:rsidR="0087756B" w:rsidRPr="0087756B">
        <w:rPr>
          <w:rFonts w:cs="Times New Roman"/>
        </w:rPr>
        <w:t xml:space="preserve"> rent payment, the household’s adjusted rent payment </w:t>
      </w:r>
      <w:r w:rsidR="006E0470">
        <w:rPr>
          <w:rFonts w:cs="Times New Roman"/>
        </w:rPr>
        <w:t>will equal</w:t>
      </w:r>
      <w:r w:rsidR="0087756B" w:rsidRPr="0087756B">
        <w:rPr>
          <w:rFonts w:cs="Times New Roman"/>
        </w:rPr>
        <w:t xml:space="preserve"> $0 and the Project Sponsor </w:t>
      </w:r>
      <w:r w:rsidR="006E0470">
        <w:rPr>
          <w:rFonts w:cs="Times New Roman"/>
        </w:rPr>
        <w:t>will pay</w:t>
      </w:r>
      <w:r w:rsidR="0087756B" w:rsidRPr="0087756B">
        <w:rPr>
          <w:rFonts w:cs="Times New Roman"/>
        </w:rPr>
        <w:t xml:space="preserve"> the difference to the utility vendor in the form of a utility reimbursement. Failure to provide a reimbursement of this amount would violate 24 CFR §574.310(d). Per 24 CFR §982.514, Project Sponsors must notify the client of the amount paid to the utility vendor and maintain a copy of the notification in the household’s record.</w:t>
      </w:r>
    </w:p>
    <w:p w14:paraId="73592CC8" w14:textId="11A5A871" w:rsidR="002A566B" w:rsidRPr="0087756B" w:rsidRDefault="002A566B" w:rsidP="00DE48B8">
      <w:pPr>
        <w:pStyle w:val="NoSpacing"/>
        <w:ind w:left="720"/>
      </w:pPr>
    </w:p>
    <w:p w14:paraId="0B55AEE3" w14:textId="15542DC6" w:rsidR="004F672E" w:rsidRPr="00F53A05" w:rsidRDefault="003F6AA2" w:rsidP="00066B7E">
      <w:pPr>
        <w:pStyle w:val="Heading3"/>
      </w:pPr>
      <w:bookmarkStart w:id="35" w:name="_Toc140755473"/>
      <w:r w:rsidRPr="00F53A05">
        <w:t>Permanent Housing Placement (PHP) Services</w:t>
      </w:r>
      <w:bookmarkEnd w:id="35"/>
    </w:p>
    <w:p w14:paraId="29B6CB5A" w14:textId="77777777" w:rsidR="003F6AA2" w:rsidRPr="001B2577" w:rsidRDefault="003F6AA2">
      <w:pPr>
        <w:pStyle w:val="NoSpacing"/>
        <w:numPr>
          <w:ilvl w:val="1"/>
          <w:numId w:val="42"/>
        </w:numPr>
        <w:rPr>
          <w:rFonts w:cs="Times New Roman"/>
          <w:b/>
          <w:u w:val="single"/>
        </w:rPr>
      </w:pPr>
      <w:r w:rsidRPr="001B2577">
        <w:rPr>
          <w:rFonts w:cs="Times New Roman"/>
          <w:b/>
          <w:u w:val="single"/>
        </w:rPr>
        <w:t>Purpose</w:t>
      </w:r>
    </w:p>
    <w:p w14:paraId="175D8563" w14:textId="0107D7E6" w:rsidR="003F6AA2" w:rsidRDefault="003F6AA2" w:rsidP="00DA098E">
      <w:pPr>
        <w:pStyle w:val="NoSpacing"/>
        <w:ind w:left="720"/>
        <w:rPr>
          <w:rFonts w:cs="Times New Roman"/>
        </w:rPr>
      </w:pPr>
      <w:r>
        <w:rPr>
          <w:rFonts w:cs="Times New Roman"/>
        </w:rPr>
        <w:t xml:space="preserve">Per 24 CFR </w:t>
      </w:r>
      <w:r w:rsidRPr="00E72C80">
        <w:rPr>
          <w:rFonts w:cs="Times New Roman"/>
        </w:rPr>
        <w:t>§</w:t>
      </w:r>
      <w:r w:rsidRPr="003F6AA2">
        <w:rPr>
          <w:rFonts w:cs="Times New Roman"/>
        </w:rPr>
        <w:t>574.300(b)(7)</w:t>
      </w:r>
      <w:r>
        <w:rPr>
          <w:rFonts w:cs="Times New Roman"/>
        </w:rPr>
        <w:t xml:space="preserve">, </w:t>
      </w:r>
      <w:r w:rsidRPr="003F6AA2">
        <w:rPr>
          <w:rFonts w:cs="Times New Roman"/>
        </w:rPr>
        <w:t>PHP help</w:t>
      </w:r>
      <w:r w:rsidR="009E59DD">
        <w:rPr>
          <w:rFonts w:cs="Times New Roman"/>
        </w:rPr>
        <w:t>s</w:t>
      </w:r>
      <w:r w:rsidRPr="003F6AA2">
        <w:rPr>
          <w:rFonts w:cs="Times New Roman"/>
        </w:rPr>
        <w:t xml:space="preserve"> </w:t>
      </w:r>
      <w:r>
        <w:rPr>
          <w:rFonts w:cs="Times New Roman"/>
        </w:rPr>
        <w:t>households</w:t>
      </w:r>
      <w:r w:rsidR="00096780">
        <w:rPr>
          <w:rFonts w:cs="Times New Roman"/>
        </w:rPr>
        <w:t xml:space="preserve"> access</w:t>
      </w:r>
      <w:r w:rsidR="009E59DD">
        <w:rPr>
          <w:rFonts w:cs="Times New Roman"/>
        </w:rPr>
        <w:t>, secure,</w:t>
      </w:r>
      <w:r w:rsidR="00096780">
        <w:rPr>
          <w:rFonts w:cs="Times New Roman"/>
        </w:rPr>
        <w:t xml:space="preserve"> and</w:t>
      </w:r>
      <w:r w:rsidRPr="003F6AA2">
        <w:rPr>
          <w:rFonts w:cs="Times New Roman"/>
        </w:rPr>
        <w:t xml:space="preserve"> establish </w:t>
      </w:r>
      <w:r w:rsidR="009E59DD">
        <w:rPr>
          <w:rFonts w:cs="Times New Roman"/>
        </w:rPr>
        <w:t xml:space="preserve">a </w:t>
      </w:r>
      <w:r>
        <w:rPr>
          <w:rFonts w:cs="Times New Roman"/>
        </w:rPr>
        <w:t>permanent</w:t>
      </w:r>
      <w:r w:rsidRPr="003F6AA2">
        <w:rPr>
          <w:rFonts w:cs="Times New Roman"/>
        </w:rPr>
        <w:t xml:space="preserve"> residence</w:t>
      </w:r>
      <w:r w:rsidR="009E59DD">
        <w:rPr>
          <w:rFonts w:cs="Times New Roman"/>
        </w:rPr>
        <w:t xml:space="preserve">, </w:t>
      </w:r>
      <w:r w:rsidR="00A81E86">
        <w:rPr>
          <w:rFonts w:cs="Times New Roman"/>
        </w:rPr>
        <w:t>maintain</w:t>
      </w:r>
      <w:r w:rsidR="007B2C16">
        <w:rPr>
          <w:rFonts w:cs="Times New Roman"/>
        </w:rPr>
        <w:t>ed</w:t>
      </w:r>
      <w:r w:rsidR="00A81E86">
        <w:rPr>
          <w:rFonts w:cs="Times New Roman"/>
        </w:rPr>
        <w:t xml:space="preserve"> either on their own or with the help of ongoing rental assistance.</w:t>
      </w:r>
      <w:r w:rsidR="009A7D04">
        <w:rPr>
          <w:rFonts w:cs="Times New Roman"/>
        </w:rPr>
        <w:t xml:space="preserve"> </w:t>
      </w:r>
      <w:r w:rsidR="007B2C16">
        <w:rPr>
          <w:rFonts w:cs="Times New Roman"/>
        </w:rPr>
        <w:t xml:space="preserve">Project Sponsors can use </w:t>
      </w:r>
      <w:r w:rsidR="00D13F50">
        <w:rPr>
          <w:rFonts w:cs="Times New Roman"/>
        </w:rPr>
        <w:t>PHP as a standalone service or in co</w:t>
      </w:r>
      <w:r w:rsidR="00180936">
        <w:rPr>
          <w:rFonts w:cs="Times New Roman"/>
        </w:rPr>
        <w:t>njunction with other HOPWA or non-HOPWA housing assistance services.</w:t>
      </w:r>
    </w:p>
    <w:p w14:paraId="3E11153E" w14:textId="77777777" w:rsidR="00BE4BAB" w:rsidRDefault="00BE4BAB">
      <w:pPr>
        <w:pStyle w:val="NoSpacing"/>
        <w:rPr>
          <w:rFonts w:cs="Times New Roman"/>
        </w:rPr>
      </w:pPr>
    </w:p>
    <w:p w14:paraId="0517833D" w14:textId="721279DF" w:rsidR="003F6AA2" w:rsidRPr="001B2577" w:rsidRDefault="003F6AA2">
      <w:pPr>
        <w:pStyle w:val="NoSpacing"/>
        <w:numPr>
          <w:ilvl w:val="1"/>
          <w:numId w:val="42"/>
        </w:numPr>
        <w:rPr>
          <w:rFonts w:cs="Times New Roman"/>
          <w:b/>
          <w:u w:val="single"/>
        </w:rPr>
      </w:pPr>
      <w:r w:rsidRPr="001B2577">
        <w:rPr>
          <w:rFonts w:cs="Times New Roman"/>
          <w:b/>
          <w:u w:val="single"/>
        </w:rPr>
        <w:t>Eligible Costs</w:t>
      </w:r>
    </w:p>
    <w:p w14:paraId="17875093" w14:textId="55CEF387" w:rsidR="00033DB0" w:rsidRPr="00ED208F" w:rsidRDefault="00BA149A">
      <w:pPr>
        <w:pStyle w:val="NoSpacing"/>
        <w:numPr>
          <w:ilvl w:val="2"/>
          <w:numId w:val="8"/>
        </w:numPr>
        <w:tabs>
          <w:tab w:val="left" w:pos="1530"/>
        </w:tabs>
        <w:rPr>
          <w:rFonts w:cs="Times New Roman"/>
          <w:b/>
        </w:rPr>
      </w:pPr>
      <w:r w:rsidRPr="00ED208F">
        <w:rPr>
          <w:rFonts w:cs="Times New Roman"/>
          <w:b/>
        </w:rPr>
        <w:t xml:space="preserve">Service </w:t>
      </w:r>
      <w:r w:rsidR="0000116B">
        <w:rPr>
          <w:rFonts w:cs="Times New Roman"/>
          <w:b/>
        </w:rPr>
        <w:t xml:space="preserve">Delivery </w:t>
      </w:r>
      <w:r w:rsidRPr="00ED208F">
        <w:rPr>
          <w:rFonts w:cs="Times New Roman"/>
          <w:b/>
        </w:rPr>
        <w:t>Costs</w:t>
      </w:r>
    </w:p>
    <w:p w14:paraId="47B85150" w14:textId="415E23B6" w:rsidR="006B40A6" w:rsidRDefault="0096731F" w:rsidP="002A61C8">
      <w:pPr>
        <w:pStyle w:val="NoSpacing"/>
        <w:ind w:left="1440"/>
        <w:rPr>
          <w:rFonts w:cs="Times New Roman"/>
        </w:rPr>
      </w:pPr>
      <w:bookmarkStart w:id="36" w:name="_Hlk94096030"/>
      <w:r w:rsidRPr="0096731F">
        <w:rPr>
          <w:rFonts w:cs="Times New Roman"/>
        </w:rPr>
        <w:t xml:space="preserve">Generally, service delivery costs include personnel, travel, equipment, and supplies. Costs must be </w:t>
      </w:r>
      <w:r w:rsidR="00D47D01">
        <w:rPr>
          <w:rFonts w:cs="Times New Roman"/>
        </w:rPr>
        <w:t xml:space="preserve">necessary, </w:t>
      </w:r>
      <w:r w:rsidRPr="0096731F">
        <w:rPr>
          <w:rFonts w:cs="Times New Roman"/>
        </w:rPr>
        <w:t>reasonable, allowable, documented</w:t>
      </w:r>
      <w:r>
        <w:rPr>
          <w:rFonts w:cs="Times New Roman"/>
        </w:rPr>
        <w:t>,</w:t>
      </w:r>
      <w:r w:rsidRPr="0096731F">
        <w:rPr>
          <w:rFonts w:cs="Times New Roman"/>
        </w:rPr>
        <w:t xml:space="preserve"> and allocable to </w:t>
      </w:r>
      <w:r>
        <w:rPr>
          <w:rFonts w:cs="Times New Roman"/>
        </w:rPr>
        <w:t>PHP</w:t>
      </w:r>
      <w:r w:rsidRPr="0096731F">
        <w:rPr>
          <w:rFonts w:cs="Times New Roman"/>
        </w:rPr>
        <w:t xml:space="preserve">. </w:t>
      </w:r>
      <w:r>
        <w:rPr>
          <w:rFonts w:cs="Times New Roman"/>
        </w:rPr>
        <w:t>PHP</w:t>
      </w:r>
      <w:r w:rsidRPr="0096731F">
        <w:rPr>
          <w:rFonts w:cs="Times New Roman"/>
        </w:rPr>
        <w:t xml:space="preserve"> service delivery </w:t>
      </w:r>
      <w:r w:rsidR="0026256B" w:rsidRPr="0026256B">
        <w:rPr>
          <w:rFonts w:cs="Times New Roman"/>
        </w:rPr>
        <w:t xml:space="preserve">activities </w:t>
      </w:r>
      <w:r w:rsidRPr="0096731F">
        <w:rPr>
          <w:rFonts w:cs="Times New Roman"/>
        </w:rPr>
        <w:t>may include:</w:t>
      </w:r>
    </w:p>
    <w:bookmarkEnd w:id="36"/>
    <w:p w14:paraId="1483E5DC" w14:textId="77777777" w:rsidR="006B40A6" w:rsidRDefault="006B40A6" w:rsidP="0013270A">
      <w:pPr>
        <w:pStyle w:val="NoSpacing"/>
        <w:numPr>
          <w:ilvl w:val="0"/>
          <w:numId w:val="148"/>
        </w:numPr>
        <w:ind w:left="1890" w:hanging="450"/>
        <w:rPr>
          <w:rFonts w:ascii="Calibri" w:hAnsi="Calibri" w:cs="Calibri"/>
          <w:szCs w:val="20"/>
        </w:rPr>
      </w:pPr>
      <w:r>
        <w:rPr>
          <w:rFonts w:ascii="Calibri" w:hAnsi="Calibri" w:cs="Calibri"/>
          <w:szCs w:val="20"/>
        </w:rPr>
        <w:t>Assessing housing status and needs</w:t>
      </w:r>
    </w:p>
    <w:p w14:paraId="2315F3C7" w14:textId="77777777" w:rsidR="006B40A6" w:rsidRPr="005D2A73" w:rsidRDefault="006B40A6" w:rsidP="0013270A">
      <w:pPr>
        <w:pStyle w:val="NoSpacing"/>
        <w:numPr>
          <w:ilvl w:val="0"/>
          <w:numId w:val="148"/>
        </w:numPr>
        <w:ind w:left="1890" w:hanging="450"/>
        <w:rPr>
          <w:rFonts w:ascii="Calibri" w:hAnsi="Calibri" w:cs="Calibri"/>
          <w:szCs w:val="20"/>
        </w:rPr>
      </w:pPr>
      <w:r w:rsidRPr="005D2A73">
        <w:rPr>
          <w:rFonts w:ascii="Calibri" w:hAnsi="Calibri" w:cs="Calibri"/>
          <w:szCs w:val="20"/>
        </w:rPr>
        <w:t xml:space="preserve">Collecting program eligibility documentation </w:t>
      </w:r>
      <w:r>
        <w:rPr>
          <w:rFonts w:ascii="Calibri" w:hAnsi="Calibri" w:cs="Calibri"/>
          <w:szCs w:val="20"/>
        </w:rPr>
        <w:t>and qualifying households for</w:t>
      </w:r>
      <w:r w:rsidRPr="005D2A73">
        <w:rPr>
          <w:rFonts w:ascii="Calibri" w:hAnsi="Calibri" w:cs="Calibri"/>
          <w:szCs w:val="20"/>
        </w:rPr>
        <w:t xml:space="preserve"> PHP services</w:t>
      </w:r>
    </w:p>
    <w:p w14:paraId="1C35DE61" w14:textId="77777777" w:rsidR="006B40A6" w:rsidRPr="00164C95" w:rsidRDefault="006B40A6" w:rsidP="0013270A">
      <w:pPr>
        <w:pStyle w:val="NoSpacing"/>
        <w:numPr>
          <w:ilvl w:val="0"/>
          <w:numId w:val="148"/>
        </w:numPr>
        <w:ind w:left="1890" w:hanging="450"/>
        <w:rPr>
          <w:rFonts w:ascii="Calibri" w:hAnsi="Calibri" w:cs="Calibri"/>
          <w:szCs w:val="20"/>
        </w:rPr>
      </w:pPr>
      <w:r w:rsidRPr="00164C95">
        <w:rPr>
          <w:rFonts w:ascii="Calibri" w:hAnsi="Calibri" w:cs="Calibri"/>
          <w:szCs w:val="20"/>
        </w:rPr>
        <w:t>Performing initial eligibility certifications and annual</w:t>
      </w:r>
      <w:r>
        <w:rPr>
          <w:rFonts w:ascii="Calibri" w:hAnsi="Calibri" w:cs="Calibri"/>
          <w:szCs w:val="20"/>
        </w:rPr>
        <w:t xml:space="preserve"> and interim</w:t>
      </w:r>
      <w:r w:rsidRPr="00164C95">
        <w:rPr>
          <w:rFonts w:ascii="Calibri" w:hAnsi="Calibri" w:cs="Calibri"/>
          <w:szCs w:val="20"/>
        </w:rPr>
        <w:t xml:space="preserve"> eligibility recertifications</w:t>
      </w:r>
    </w:p>
    <w:p w14:paraId="59A0F4D8" w14:textId="2E9A09CC" w:rsidR="006B40A6" w:rsidRPr="00164C95" w:rsidRDefault="00C9681D" w:rsidP="0013270A">
      <w:pPr>
        <w:pStyle w:val="NoSpacing"/>
        <w:numPr>
          <w:ilvl w:val="0"/>
          <w:numId w:val="148"/>
        </w:numPr>
        <w:ind w:left="1890" w:hanging="450"/>
        <w:rPr>
          <w:rFonts w:ascii="Calibri" w:hAnsi="Calibri" w:cs="Calibri"/>
          <w:szCs w:val="20"/>
        </w:rPr>
      </w:pPr>
      <w:r w:rsidRPr="00C9681D">
        <w:rPr>
          <w:rFonts w:ascii="Calibri" w:hAnsi="Calibri" w:cs="Calibri"/>
          <w:szCs w:val="20"/>
        </w:rPr>
        <w:t>Referring ineligible households to other housing assistance services</w:t>
      </w:r>
      <w:r w:rsidRPr="00C9681D" w:rsidDel="00C9681D">
        <w:rPr>
          <w:rFonts w:ascii="Calibri" w:hAnsi="Calibri" w:cs="Calibri"/>
          <w:szCs w:val="20"/>
        </w:rPr>
        <w:t xml:space="preserve"> </w:t>
      </w:r>
    </w:p>
    <w:p w14:paraId="0EDDF8DC" w14:textId="77777777" w:rsidR="006B40A6" w:rsidRPr="002C64D1" w:rsidRDefault="006B40A6" w:rsidP="0013270A">
      <w:pPr>
        <w:pStyle w:val="NoSpacing"/>
        <w:numPr>
          <w:ilvl w:val="0"/>
          <w:numId w:val="148"/>
        </w:numPr>
        <w:ind w:left="1890" w:hanging="450"/>
        <w:rPr>
          <w:rFonts w:ascii="Calibri" w:hAnsi="Calibri" w:cs="Calibri"/>
          <w:szCs w:val="20"/>
        </w:rPr>
      </w:pPr>
      <w:r w:rsidRPr="002C64D1">
        <w:rPr>
          <w:rFonts w:ascii="Calibri" w:hAnsi="Calibri" w:cs="Calibri"/>
          <w:szCs w:val="20"/>
        </w:rPr>
        <w:t>Completing the File Structure Checklist and Forms A, B, C, D, E, F, G, L, O, and P</w:t>
      </w:r>
    </w:p>
    <w:p w14:paraId="74A0C318" w14:textId="77777777" w:rsidR="006B40A6" w:rsidRPr="00164C95" w:rsidRDefault="006B40A6" w:rsidP="0013270A">
      <w:pPr>
        <w:pStyle w:val="NoSpacing"/>
        <w:numPr>
          <w:ilvl w:val="0"/>
          <w:numId w:val="148"/>
        </w:numPr>
        <w:ind w:left="1890" w:hanging="450"/>
        <w:rPr>
          <w:rFonts w:ascii="Calibri" w:hAnsi="Calibri" w:cs="Calibri"/>
          <w:szCs w:val="20"/>
        </w:rPr>
      </w:pPr>
      <w:r>
        <w:rPr>
          <w:rFonts w:ascii="Calibri" w:hAnsi="Calibri" w:cs="Calibri"/>
          <w:szCs w:val="20"/>
        </w:rPr>
        <w:t>Completing and distributing applicable VAWA materials</w:t>
      </w:r>
    </w:p>
    <w:p w14:paraId="5669723E" w14:textId="4DF108D2" w:rsidR="006B40A6" w:rsidRPr="00164C95" w:rsidRDefault="006B40A6" w:rsidP="0013270A">
      <w:pPr>
        <w:pStyle w:val="NoSpacing"/>
        <w:numPr>
          <w:ilvl w:val="0"/>
          <w:numId w:val="148"/>
        </w:numPr>
        <w:ind w:left="1890" w:hanging="450"/>
        <w:rPr>
          <w:rFonts w:ascii="Calibri" w:hAnsi="Calibri" w:cs="Calibri"/>
          <w:szCs w:val="20"/>
        </w:rPr>
      </w:pPr>
      <w:r w:rsidRPr="00164C95">
        <w:rPr>
          <w:rFonts w:ascii="Calibri" w:hAnsi="Calibri" w:cs="Calibri"/>
          <w:szCs w:val="20"/>
        </w:rPr>
        <w:t xml:space="preserve">Collecting supporting documentation </w:t>
      </w:r>
      <w:r>
        <w:rPr>
          <w:rFonts w:ascii="Calibri" w:hAnsi="Calibri" w:cs="Calibri"/>
          <w:szCs w:val="20"/>
        </w:rPr>
        <w:t xml:space="preserve">and attaching it </w:t>
      </w:r>
      <w:r w:rsidRPr="00164C95">
        <w:rPr>
          <w:rFonts w:ascii="Calibri" w:hAnsi="Calibri" w:cs="Calibri"/>
          <w:szCs w:val="20"/>
        </w:rPr>
        <w:t xml:space="preserve">to </w:t>
      </w:r>
      <w:r>
        <w:rPr>
          <w:rFonts w:ascii="Calibri" w:hAnsi="Calibri" w:cs="Calibri"/>
          <w:szCs w:val="20"/>
        </w:rPr>
        <w:t xml:space="preserve">program forms </w:t>
      </w:r>
      <w:r w:rsidR="00FD5ABA">
        <w:rPr>
          <w:rFonts w:ascii="Calibri" w:hAnsi="Calibri" w:cs="Calibri"/>
          <w:szCs w:val="20"/>
        </w:rPr>
        <w:t xml:space="preserve">if </w:t>
      </w:r>
      <w:r>
        <w:rPr>
          <w:rFonts w:ascii="Calibri" w:hAnsi="Calibri" w:cs="Calibri"/>
          <w:szCs w:val="20"/>
        </w:rPr>
        <w:t>required or</w:t>
      </w:r>
      <w:r w:rsidRPr="00164C95">
        <w:rPr>
          <w:rFonts w:ascii="Calibri" w:hAnsi="Calibri" w:cs="Calibri"/>
          <w:szCs w:val="20"/>
        </w:rPr>
        <w:t xml:space="preserve"> applicable</w:t>
      </w:r>
    </w:p>
    <w:p w14:paraId="26509E8D" w14:textId="77777777" w:rsidR="006B40A6" w:rsidRPr="00164C95" w:rsidRDefault="006B40A6" w:rsidP="0013270A">
      <w:pPr>
        <w:pStyle w:val="NoSpacing"/>
        <w:numPr>
          <w:ilvl w:val="0"/>
          <w:numId w:val="148"/>
        </w:numPr>
        <w:ind w:left="1890" w:hanging="450"/>
        <w:rPr>
          <w:rFonts w:ascii="Calibri" w:hAnsi="Calibri" w:cs="Calibri"/>
          <w:szCs w:val="20"/>
        </w:rPr>
      </w:pPr>
      <w:r w:rsidRPr="00164C95">
        <w:rPr>
          <w:rFonts w:ascii="Calibri" w:hAnsi="Calibri" w:cs="Calibri"/>
          <w:szCs w:val="20"/>
        </w:rPr>
        <w:t xml:space="preserve">Traveling to proposed units </w:t>
      </w:r>
      <w:r>
        <w:rPr>
          <w:rFonts w:ascii="Calibri" w:hAnsi="Calibri" w:cs="Calibri"/>
          <w:szCs w:val="20"/>
        </w:rPr>
        <w:t>to complete HQS</w:t>
      </w:r>
      <w:r w:rsidRPr="00164C95">
        <w:rPr>
          <w:rFonts w:ascii="Calibri" w:hAnsi="Calibri" w:cs="Calibri"/>
          <w:szCs w:val="20"/>
        </w:rPr>
        <w:t xml:space="preserve"> inspections</w:t>
      </w:r>
      <w:r>
        <w:rPr>
          <w:rFonts w:ascii="Calibri" w:hAnsi="Calibri" w:cs="Calibri"/>
          <w:szCs w:val="20"/>
        </w:rPr>
        <w:t xml:space="preserve"> (if necessary)</w:t>
      </w:r>
    </w:p>
    <w:p w14:paraId="7DDF3B85" w14:textId="4FCDEF96" w:rsidR="006B40A6" w:rsidRDefault="006B40A6" w:rsidP="0013270A">
      <w:pPr>
        <w:pStyle w:val="NoSpacing"/>
        <w:numPr>
          <w:ilvl w:val="0"/>
          <w:numId w:val="148"/>
        </w:numPr>
        <w:ind w:left="1890" w:hanging="450"/>
        <w:rPr>
          <w:rFonts w:ascii="Calibri" w:hAnsi="Calibri" w:cs="Calibri"/>
          <w:szCs w:val="20"/>
        </w:rPr>
      </w:pPr>
      <w:r w:rsidRPr="00164C95">
        <w:rPr>
          <w:rFonts w:ascii="Calibri" w:hAnsi="Calibri" w:cs="Calibri"/>
          <w:szCs w:val="20"/>
        </w:rPr>
        <w:t>Communicating with owners</w:t>
      </w:r>
      <w:r>
        <w:rPr>
          <w:rFonts w:ascii="Calibri" w:hAnsi="Calibri" w:cs="Calibri"/>
          <w:szCs w:val="20"/>
        </w:rPr>
        <w:t xml:space="preserve"> and</w:t>
      </w:r>
      <w:r w:rsidRPr="00164C95">
        <w:rPr>
          <w:rFonts w:ascii="Calibri" w:hAnsi="Calibri" w:cs="Calibri"/>
          <w:szCs w:val="20"/>
        </w:rPr>
        <w:t xml:space="preserve"> </w:t>
      </w:r>
      <w:r>
        <w:rPr>
          <w:rFonts w:ascii="Calibri" w:hAnsi="Calibri" w:cs="Calibri"/>
          <w:szCs w:val="20"/>
        </w:rPr>
        <w:t>utility</w:t>
      </w:r>
      <w:r w:rsidRPr="00164C95">
        <w:rPr>
          <w:rFonts w:ascii="Calibri" w:hAnsi="Calibri" w:cs="Calibri"/>
          <w:szCs w:val="20"/>
        </w:rPr>
        <w:t xml:space="preserve"> companies about program requirements</w:t>
      </w:r>
    </w:p>
    <w:p w14:paraId="77FB5546" w14:textId="77777777" w:rsidR="006B40A6" w:rsidRDefault="006B40A6" w:rsidP="0013270A">
      <w:pPr>
        <w:pStyle w:val="NoSpacing"/>
        <w:numPr>
          <w:ilvl w:val="0"/>
          <w:numId w:val="148"/>
        </w:numPr>
        <w:ind w:left="1890" w:hanging="450"/>
        <w:rPr>
          <w:rFonts w:ascii="Calibri" w:hAnsi="Calibri" w:cs="Calibri"/>
          <w:szCs w:val="20"/>
        </w:rPr>
      </w:pPr>
      <w:r>
        <w:rPr>
          <w:rFonts w:ascii="Calibri" w:hAnsi="Calibri" w:cs="Calibri"/>
          <w:szCs w:val="20"/>
        </w:rPr>
        <w:t>Providing tenant counseling</w:t>
      </w:r>
    </w:p>
    <w:p w14:paraId="309046F6" w14:textId="7D7C8364" w:rsidR="00763409" w:rsidRDefault="006B40A6" w:rsidP="0013270A">
      <w:pPr>
        <w:pStyle w:val="NoSpacing"/>
        <w:numPr>
          <w:ilvl w:val="0"/>
          <w:numId w:val="148"/>
        </w:numPr>
        <w:ind w:left="1890" w:hanging="450"/>
        <w:rPr>
          <w:rFonts w:ascii="Calibri" w:hAnsi="Calibri" w:cs="Calibri"/>
          <w:szCs w:val="20"/>
        </w:rPr>
      </w:pPr>
      <w:r>
        <w:rPr>
          <w:rFonts w:ascii="Calibri" w:hAnsi="Calibri" w:cs="Calibri"/>
          <w:szCs w:val="20"/>
        </w:rPr>
        <w:t>Assisting households</w:t>
      </w:r>
      <w:r w:rsidR="00F622D4">
        <w:rPr>
          <w:rFonts w:ascii="Calibri" w:hAnsi="Calibri" w:cs="Calibri"/>
          <w:szCs w:val="20"/>
        </w:rPr>
        <w:t xml:space="preserve"> with unit searches</w:t>
      </w:r>
      <w:r w:rsidR="00763409">
        <w:rPr>
          <w:rFonts w:ascii="Calibri" w:hAnsi="Calibri" w:cs="Calibri"/>
          <w:szCs w:val="20"/>
        </w:rPr>
        <w:t xml:space="preserve"> and </w:t>
      </w:r>
      <w:r w:rsidR="00F622D4">
        <w:rPr>
          <w:rFonts w:ascii="Calibri" w:hAnsi="Calibri" w:cs="Calibri"/>
          <w:szCs w:val="20"/>
        </w:rPr>
        <w:t xml:space="preserve">securing rental units that meet </w:t>
      </w:r>
      <w:r w:rsidR="00763409">
        <w:rPr>
          <w:rFonts w:ascii="Calibri" w:hAnsi="Calibri" w:cs="Calibri"/>
          <w:szCs w:val="20"/>
        </w:rPr>
        <w:t>program requirements</w:t>
      </w:r>
    </w:p>
    <w:p w14:paraId="0003574B" w14:textId="7A3AD403" w:rsidR="006B40A6" w:rsidRDefault="00763409" w:rsidP="0013270A">
      <w:pPr>
        <w:pStyle w:val="NoSpacing"/>
        <w:numPr>
          <w:ilvl w:val="0"/>
          <w:numId w:val="148"/>
        </w:numPr>
        <w:ind w:left="1890" w:hanging="450"/>
        <w:rPr>
          <w:rFonts w:ascii="Calibri" w:hAnsi="Calibri" w:cs="Calibri"/>
          <w:szCs w:val="20"/>
        </w:rPr>
      </w:pPr>
      <w:r>
        <w:rPr>
          <w:rFonts w:ascii="Calibri" w:hAnsi="Calibri" w:cs="Calibri"/>
          <w:szCs w:val="20"/>
        </w:rPr>
        <w:t xml:space="preserve">Helping households understand </w:t>
      </w:r>
      <w:r w:rsidR="006B40A6">
        <w:rPr>
          <w:rFonts w:ascii="Calibri" w:hAnsi="Calibri" w:cs="Calibri"/>
          <w:szCs w:val="20"/>
        </w:rPr>
        <w:t xml:space="preserve">leases, </w:t>
      </w:r>
      <w:r w:rsidR="00F622D4">
        <w:rPr>
          <w:rFonts w:ascii="Calibri" w:hAnsi="Calibri" w:cs="Calibri"/>
          <w:szCs w:val="20"/>
        </w:rPr>
        <w:t>establish</w:t>
      </w:r>
      <w:r w:rsidR="006B40A6">
        <w:rPr>
          <w:rFonts w:ascii="Calibri" w:hAnsi="Calibri" w:cs="Calibri"/>
          <w:szCs w:val="20"/>
        </w:rPr>
        <w:t xml:space="preserve"> utilit</w:t>
      </w:r>
      <w:r w:rsidR="00F622D4">
        <w:rPr>
          <w:rFonts w:ascii="Calibri" w:hAnsi="Calibri" w:cs="Calibri"/>
          <w:szCs w:val="20"/>
        </w:rPr>
        <w:t>y services,</w:t>
      </w:r>
      <w:r w:rsidR="006B40A6">
        <w:rPr>
          <w:rFonts w:ascii="Calibri" w:hAnsi="Calibri" w:cs="Calibri"/>
          <w:szCs w:val="20"/>
        </w:rPr>
        <w:t xml:space="preserve"> and </w:t>
      </w:r>
      <w:r w:rsidR="00F622D4">
        <w:rPr>
          <w:rFonts w:ascii="Calibri" w:hAnsi="Calibri" w:cs="Calibri"/>
          <w:szCs w:val="20"/>
        </w:rPr>
        <w:t>mak</w:t>
      </w:r>
      <w:r>
        <w:rPr>
          <w:rFonts w:ascii="Calibri" w:hAnsi="Calibri" w:cs="Calibri"/>
          <w:szCs w:val="20"/>
        </w:rPr>
        <w:t>e</w:t>
      </w:r>
      <w:r w:rsidR="006B40A6">
        <w:rPr>
          <w:rFonts w:ascii="Calibri" w:hAnsi="Calibri" w:cs="Calibri"/>
          <w:szCs w:val="20"/>
        </w:rPr>
        <w:t xml:space="preserve"> moving arrangements</w:t>
      </w:r>
    </w:p>
    <w:p w14:paraId="6343CAA8" w14:textId="77777777" w:rsidR="006B40A6" w:rsidRPr="00164C95" w:rsidRDefault="006B40A6" w:rsidP="0013270A">
      <w:pPr>
        <w:pStyle w:val="NoSpacing"/>
        <w:numPr>
          <w:ilvl w:val="0"/>
          <w:numId w:val="148"/>
        </w:numPr>
        <w:ind w:left="1890" w:hanging="450"/>
        <w:rPr>
          <w:rFonts w:ascii="Calibri" w:hAnsi="Calibri" w:cs="Calibri"/>
          <w:szCs w:val="20"/>
        </w:rPr>
      </w:pPr>
      <w:r>
        <w:rPr>
          <w:rFonts w:ascii="Calibri" w:hAnsi="Calibri" w:cs="Calibri"/>
          <w:szCs w:val="20"/>
        </w:rPr>
        <w:t>Mediating tenant and/or owner issues that may arise while placing households in new units</w:t>
      </w:r>
    </w:p>
    <w:p w14:paraId="4F33F519" w14:textId="77777777" w:rsidR="006B40A6" w:rsidRDefault="006B40A6" w:rsidP="0013270A">
      <w:pPr>
        <w:pStyle w:val="NoSpacing"/>
        <w:numPr>
          <w:ilvl w:val="0"/>
          <w:numId w:val="148"/>
        </w:numPr>
        <w:ind w:left="1890" w:hanging="450"/>
        <w:rPr>
          <w:rFonts w:ascii="Calibri" w:hAnsi="Calibri" w:cs="Calibri"/>
          <w:szCs w:val="20"/>
        </w:rPr>
      </w:pPr>
      <w:r w:rsidRPr="00164C95">
        <w:rPr>
          <w:rFonts w:ascii="Calibri" w:hAnsi="Calibri" w:cs="Calibri"/>
          <w:szCs w:val="20"/>
        </w:rPr>
        <w:t>Requesting</w:t>
      </w:r>
      <w:r>
        <w:rPr>
          <w:rFonts w:ascii="Calibri" w:hAnsi="Calibri" w:cs="Calibri"/>
          <w:szCs w:val="20"/>
        </w:rPr>
        <w:t>, issuing, and documenting payments</w:t>
      </w:r>
    </w:p>
    <w:p w14:paraId="174EA46A" w14:textId="77777777" w:rsidR="006B40A6" w:rsidRPr="00164C95" w:rsidRDefault="006B40A6" w:rsidP="0013270A">
      <w:pPr>
        <w:pStyle w:val="NoSpacing"/>
        <w:numPr>
          <w:ilvl w:val="0"/>
          <w:numId w:val="148"/>
        </w:numPr>
        <w:ind w:left="1890" w:hanging="450"/>
        <w:rPr>
          <w:rFonts w:ascii="Calibri" w:hAnsi="Calibri" w:cs="Calibri"/>
          <w:szCs w:val="20"/>
        </w:rPr>
      </w:pPr>
      <w:r w:rsidRPr="002428DE">
        <w:rPr>
          <w:rFonts w:ascii="Calibri" w:hAnsi="Calibri" w:cs="Calibri"/>
          <w:szCs w:val="20"/>
        </w:rPr>
        <w:t>Documenting housing assistance and supportive service outcomes</w:t>
      </w:r>
    </w:p>
    <w:p w14:paraId="1C57A09E" w14:textId="0F786F4C" w:rsidR="00CA07B7" w:rsidRDefault="006B40A6" w:rsidP="0013270A">
      <w:pPr>
        <w:pStyle w:val="NoSpacing"/>
        <w:numPr>
          <w:ilvl w:val="0"/>
          <w:numId w:val="148"/>
        </w:numPr>
        <w:ind w:left="1890" w:hanging="450"/>
        <w:rPr>
          <w:rFonts w:ascii="Calibri" w:hAnsi="Calibri" w:cs="Calibri"/>
          <w:szCs w:val="20"/>
        </w:rPr>
      </w:pPr>
      <w:r w:rsidRPr="00164C95">
        <w:rPr>
          <w:rFonts w:ascii="Calibri" w:hAnsi="Calibri" w:cs="Calibri"/>
          <w:szCs w:val="20"/>
        </w:rPr>
        <w:t>Recordkeeping</w:t>
      </w:r>
      <w:r>
        <w:rPr>
          <w:rFonts w:ascii="Calibri" w:hAnsi="Calibri" w:cs="Calibri"/>
          <w:szCs w:val="20"/>
        </w:rPr>
        <w:t>, logging time and effort, and maintaining case notes</w:t>
      </w:r>
    </w:p>
    <w:p w14:paraId="1A525F73" w14:textId="61B55A51" w:rsidR="00CA07B7" w:rsidRPr="00CA07B7" w:rsidRDefault="00CA07B7" w:rsidP="0013270A">
      <w:pPr>
        <w:pStyle w:val="NoSpacing"/>
        <w:numPr>
          <w:ilvl w:val="0"/>
          <w:numId w:val="148"/>
        </w:numPr>
        <w:ind w:left="1890" w:hanging="450"/>
        <w:rPr>
          <w:rFonts w:ascii="Calibri" w:hAnsi="Calibri" w:cs="Calibri"/>
          <w:szCs w:val="20"/>
        </w:rPr>
      </w:pPr>
      <w:r w:rsidRPr="00CA07B7">
        <w:rPr>
          <w:rFonts w:ascii="Calibri" w:hAnsi="Calibri" w:cs="Calibri"/>
          <w:szCs w:val="20"/>
        </w:rPr>
        <w:t>Translating documents and interpreting speech</w:t>
      </w:r>
    </w:p>
    <w:p w14:paraId="2665C417" w14:textId="77777777" w:rsidR="004C546D" w:rsidRDefault="004C546D" w:rsidP="002A61C8">
      <w:pPr>
        <w:pStyle w:val="NoSpacing"/>
        <w:ind w:left="1440"/>
        <w:rPr>
          <w:rFonts w:ascii="Calibri" w:hAnsi="Calibri" w:cs="Calibri"/>
          <w:szCs w:val="20"/>
        </w:rPr>
      </w:pPr>
    </w:p>
    <w:p w14:paraId="669E05E9" w14:textId="77777777" w:rsidR="000F6D65" w:rsidRDefault="00BA149A">
      <w:pPr>
        <w:pStyle w:val="NoSpacing"/>
        <w:numPr>
          <w:ilvl w:val="2"/>
          <w:numId w:val="8"/>
        </w:numPr>
        <w:rPr>
          <w:rFonts w:cs="Times New Roman"/>
          <w:b/>
        </w:rPr>
      </w:pPr>
      <w:r w:rsidRPr="00ED208F">
        <w:rPr>
          <w:rFonts w:cs="Times New Roman"/>
          <w:b/>
        </w:rPr>
        <w:t>Housing Assistance Costs</w:t>
      </w:r>
    </w:p>
    <w:p w14:paraId="28D8E3FA" w14:textId="42C0EC7F" w:rsidR="000F6D65" w:rsidRDefault="000F6D65">
      <w:pPr>
        <w:pStyle w:val="NoSpacing"/>
        <w:ind w:left="1440"/>
        <w:rPr>
          <w:rFonts w:cs="Times New Roman"/>
        </w:rPr>
      </w:pPr>
      <w:r>
        <w:rPr>
          <w:rFonts w:cs="Times New Roman"/>
        </w:rPr>
        <w:t>Eligible PHP housing assistance costs include</w:t>
      </w:r>
      <w:r w:rsidRPr="003F6AA2">
        <w:rPr>
          <w:rFonts w:cs="Times New Roman"/>
        </w:rPr>
        <w:t xml:space="preserve">: </w:t>
      </w:r>
      <w:r>
        <w:rPr>
          <w:rFonts w:cs="Times New Roman"/>
        </w:rPr>
        <w:t>A</w:t>
      </w:r>
      <w:r w:rsidRPr="003F6AA2">
        <w:rPr>
          <w:rFonts w:cs="Times New Roman"/>
        </w:rPr>
        <w:t>pplication</w:t>
      </w:r>
      <w:r w:rsidR="001B7DE2">
        <w:rPr>
          <w:rFonts w:cs="Times New Roman"/>
        </w:rPr>
        <w:t xml:space="preserve"> fees charged by owners/representatives; </w:t>
      </w:r>
      <w:r w:rsidR="0000116B">
        <w:rPr>
          <w:rFonts w:cs="Times New Roman"/>
        </w:rPr>
        <w:t>administrative</w:t>
      </w:r>
      <w:r w:rsidRPr="003F6AA2">
        <w:rPr>
          <w:rFonts w:cs="Times New Roman"/>
        </w:rPr>
        <w:t xml:space="preserve"> fees</w:t>
      </w:r>
      <w:r w:rsidR="00180936">
        <w:rPr>
          <w:rFonts w:cs="Times New Roman"/>
        </w:rPr>
        <w:t xml:space="preserve"> charged in lieu of or in addition to a security deposit and other initial move-in costs</w:t>
      </w:r>
      <w:r w:rsidR="001B7DE2">
        <w:rPr>
          <w:rFonts w:cs="Times New Roman"/>
        </w:rPr>
        <w:t xml:space="preserve"> (sometimes structured as refundable or non-refundable</w:t>
      </w:r>
      <w:r w:rsidR="00180936">
        <w:rPr>
          <w:rFonts w:cs="Times New Roman"/>
        </w:rPr>
        <w:t>)</w:t>
      </w:r>
      <w:r w:rsidR="000E553E">
        <w:rPr>
          <w:rFonts w:cs="Times New Roman"/>
        </w:rPr>
        <w:t>;</w:t>
      </w:r>
      <w:r w:rsidRPr="003F6AA2">
        <w:rPr>
          <w:rFonts w:cs="Times New Roman"/>
        </w:rPr>
        <w:t xml:space="preserve"> </w:t>
      </w:r>
      <w:r w:rsidR="0041788D">
        <w:rPr>
          <w:rFonts w:cs="Times New Roman"/>
        </w:rPr>
        <w:t>realtor</w:t>
      </w:r>
      <w:r w:rsidR="00B627C4">
        <w:rPr>
          <w:rFonts w:cs="Times New Roman"/>
        </w:rPr>
        <w:t xml:space="preserve"> or </w:t>
      </w:r>
      <w:r w:rsidR="0041788D">
        <w:rPr>
          <w:rFonts w:cs="Times New Roman"/>
        </w:rPr>
        <w:t xml:space="preserve">broker fees; </w:t>
      </w:r>
      <w:r w:rsidRPr="003F6AA2">
        <w:rPr>
          <w:rFonts w:cs="Times New Roman"/>
        </w:rPr>
        <w:t>related credit</w:t>
      </w:r>
      <w:r w:rsidR="000E553E">
        <w:rPr>
          <w:rFonts w:cs="Times New Roman"/>
        </w:rPr>
        <w:t xml:space="preserve">, rental, and </w:t>
      </w:r>
      <w:r w:rsidR="001B7DE2">
        <w:rPr>
          <w:rFonts w:cs="Times New Roman"/>
        </w:rPr>
        <w:t xml:space="preserve">criminal </w:t>
      </w:r>
      <w:r w:rsidR="000E553E">
        <w:rPr>
          <w:rFonts w:cs="Times New Roman"/>
        </w:rPr>
        <w:t xml:space="preserve">background </w:t>
      </w:r>
      <w:r w:rsidRPr="003F6AA2">
        <w:rPr>
          <w:rFonts w:cs="Times New Roman"/>
        </w:rPr>
        <w:t>checks</w:t>
      </w:r>
      <w:r w:rsidR="000E553E">
        <w:rPr>
          <w:rFonts w:cs="Times New Roman"/>
        </w:rPr>
        <w:t>;</w:t>
      </w:r>
      <w:r w:rsidRPr="003F6AA2">
        <w:rPr>
          <w:rFonts w:cs="Times New Roman"/>
        </w:rPr>
        <w:t xml:space="preserve"> </w:t>
      </w:r>
      <w:r w:rsidR="007D1559">
        <w:rPr>
          <w:rFonts w:cs="Times New Roman"/>
        </w:rPr>
        <w:t xml:space="preserve">rental insurance (limited to </w:t>
      </w:r>
      <w:r w:rsidR="001B7DE2">
        <w:rPr>
          <w:rFonts w:cs="Times New Roman"/>
        </w:rPr>
        <w:t xml:space="preserve">a single </w:t>
      </w:r>
      <w:r w:rsidR="001B7DE2" w:rsidRPr="00F203AD">
        <w:rPr>
          <w:rFonts w:cs="Times New Roman"/>
        </w:rPr>
        <w:t>payment for the first month of coverage</w:t>
      </w:r>
      <w:r w:rsidR="007D1559" w:rsidRPr="00F203AD">
        <w:rPr>
          <w:rFonts w:cs="Times New Roman"/>
        </w:rPr>
        <w:t xml:space="preserve"> or </w:t>
      </w:r>
      <w:r w:rsidR="001B7DE2" w:rsidRPr="00F203AD">
        <w:rPr>
          <w:rFonts w:cs="Times New Roman"/>
        </w:rPr>
        <w:t xml:space="preserve">limited to a single initial payment </w:t>
      </w:r>
      <w:r w:rsidR="008E714B" w:rsidRPr="00F203AD">
        <w:rPr>
          <w:rFonts w:cs="Times New Roman"/>
        </w:rPr>
        <w:t>for</w:t>
      </w:r>
      <w:r w:rsidR="001B7DE2" w:rsidRPr="00F203AD">
        <w:rPr>
          <w:rFonts w:cs="Times New Roman"/>
        </w:rPr>
        <w:t xml:space="preserve"> multiple months of coverage</w:t>
      </w:r>
      <w:r w:rsidR="007D1559" w:rsidRPr="00F203AD">
        <w:rPr>
          <w:rFonts w:cs="Times New Roman"/>
        </w:rPr>
        <w:t>);</w:t>
      </w:r>
      <w:r w:rsidR="003C038B" w:rsidRPr="00F203AD">
        <w:rPr>
          <w:rFonts w:cs="Times New Roman"/>
        </w:rPr>
        <w:t xml:space="preserve"> </w:t>
      </w:r>
      <w:r w:rsidRPr="00F203AD">
        <w:rPr>
          <w:rFonts w:cs="Times New Roman"/>
        </w:rPr>
        <w:t>utility</w:t>
      </w:r>
      <w:r w:rsidRPr="003F6AA2">
        <w:rPr>
          <w:rFonts w:cs="Times New Roman"/>
        </w:rPr>
        <w:t xml:space="preserve"> </w:t>
      </w:r>
      <w:r w:rsidR="0000116B">
        <w:rPr>
          <w:rFonts w:cs="Times New Roman"/>
        </w:rPr>
        <w:t xml:space="preserve">deposits, hookup fees, and </w:t>
      </w:r>
      <w:r w:rsidR="0000116B" w:rsidRPr="00B329AE">
        <w:rPr>
          <w:rFonts w:cs="Times New Roman"/>
        </w:rPr>
        <w:t>processing fees</w:t>
      </w:r>
      <w:r w:rsidR="008E714B">
        <w:rPr>
          <w:rFonts w:cs="Times New Roman"/>
        </w:rPr>
        <w:t xml:space="preserve"> paid directly to the utility vendor</w:t>
      </w:r>
      <w:r w:rsidR="000E553E" w:rsidRPr="00B329AE">
        <w:rPr>
          <w:rFonts w:cs="Times New Roman"/>
        </w:rPr>
        <w:t>;</w:t>
      </w:r>
      <w:r w:rsidRPr="00B329AE">
        <w:rPr>
          <w:rFonts w:cs="Times New Roman"/>
        </w:rPr>
        <w:t xml:space="preserve"> first</w:t>
      </w:r>
      <w:r w:rsidR="0000116B" w:rsidRPr="00B329AE">
        <w:rPr>
          <w:rFonts w:cs="Times New Roman"/>
        </w:rPr>
        <w:t xml:space="preserve"> and/or last</w:t>
      </w:r>
      <w:r w:rsidRPr="00B329AE">
        <w:rPr>
          <w:rFonts w:cs="Times New Roman"/>
        </w:rPr>
        <w:t xml:space="preserve"> month’s rent</w:t>
      </w:r>
      <w:r w:rsidR="00DF634E">
        <w:rPr>
          <w:rFonts w:cs="Times New Roman"/>
        </w:rPr>
        <w:t xml:space="preserve"> or prorated rent</w:t>
      </w:r>
      <w:r w:rsidR="000E5977" w:rsidRPr="00B329AE">
        <w:rPr>
          <w:rFonts w:cs="Times New Roman"/>
        </w:rPr>
        <w:t xml:space="preserve"> (</w:t>
      </w:r>
      <w:r w:rsidR="00FD5ABA">
        <w:rPr>
          <w:rFonts w:cs="Times New Roman"/>
        </w:rPr>
        <w:t>if required</w:t>
      </w:r>
      <w:r w:rsidR="000E5977" w:rsidRPr="00B329AE">
        <w:rPr>
          <w:rFonts w:cs="Times New Roman"/>
        </w:rPr>
        <w:t xml:space="preserve"> for occupancy and </w:t>
      </w:r>
      <w:r w:rsidR="00D14A52">
        <w:rPr>
          <w:rFonts w:cs="Times New Roman"/>
        </w:rPr>
        <w:t xml:space="preserve">the household will not receive </w:t>
      </w:r>
      <w:r w:rsidR="000E5977" w:rsidRPr="00B329AE">
        <w:rPr>
          <w:rFonts w:cs="Times New Roman"/>
        </w:rPr>
        <w:t xml:space="preserve">ongoing </w:t>
      </w:r>
      <w:r w:rsidR="00D14A52">
        <w:rPr>
          <w:rFonts w:cs="Times New Roman"/>
        </w:rPr>
        <w:t>rental assistance</w:t>
      </w:r>
      <w:r w:rsidR="000E5977" w:rsidRPr="00B329AE">
        <w:rPr>
          <w:rFonts w:cs="Times New Roman"/>
        </w:rPr>
        <w:t>, whether</w:t>
      </w:r>
      <w:r w:rsidR="00BA13F3" w:rsidRPr="00B329AE">
        <w:rPr>
          <w:rFonts w:cs="Times New Roman"/>
        </w:rPr>
        <w:t xml:space="preserve"> via</w:t>
      </w:r>
      <w:r w:rsidR="000E5977" w:rsidRPr="00B329AE">
        <w:rPr>
          <w:rFonts w:cs="Times New Roman"/>
        </w:rPr>
        <w:t xml:space="preserve"> </w:t>
      </w:r>
      <w:r w:rsidR="000E5977" w:rsidRPr="00B329AE">
        <w:rPr>
          <w:rFonts w:cs="Times New Roman"/>
        </w:rPr>
        <w:lastRenderedPageBreak/>
        <w:t>HOPWA or another program)</w:t>
      </w:r>
      <w:r w:rsidR="000E553E" w:rsidRPr="00B329AE">
        <w:rPr>
          <w:rFonts w:cs="Times New Roman"/>
        </w:rPr>
        <w:t>;</w:t>
      </w:r>
      <w:r w:rsidRPr="00B329AE">
        <w:rPr>
          <w:rFonts w:cs="Times New Roman"/>
        </w:rPr>
        <w:t xml:space="preserve"> and security deposits </w:t>
      </w:r>
      <w:r w:rsidR="008E714B">
        <w:rPr>
          <w:rFonts w:cs="Times New Roman"/>
        </w:rPr>
        <w:t>required for lease approval and occupancy</w:t>
      </w:r>
      <w:r w:rsidRPr="003F6AA2">
        <w:rPr>
          <w:rFonts w:cs="Times New Roman"/>
        </w:rPr>
        <w:t xml:space="preserve">. </w:t>
      </w:r>
      <w:r>
        <w:rPr>
          <w:rFonts w:cs="Times New Roman"/>
        </w:rPr>
        <w:t xml:space="preserve">PHP </w:t>
      </w:r>
      <w:r w:rsidR="00883397">
        <w:rPr>
          <w:rFonts w:cs="Times New Roman"/>
        </w:rPr>
        <w:t>can</w:t>
      </w:r>
      <w:r>
        <w:rPr>
          <w:rFonts w:cs="Times New Roman"/>
        </w:rPr>
        <w:t xml:space="preserve"> also </w:t>
      </w:r>
      <w:r w:rsidR="00883397">
        <w:rPr>
          <w:rFonts w:cs="Times New Roman"/>
        </w:rPr>
        <w:t xml:space="preserve">assist with </w:t>
      </w:r>
      <w:r>
        <w:rPr>
          <w:rFonts w:cs="Times New Roman"/>
        </w:rPr>
        <w:t xml:space="preserve">rental and utility arrears </w:t>
      </w:r>
      <w:r w:rsidR="008E714B">
        <w:rPr>
          <w:rFonts w:cs="Times New Roman"/>
        </w:rPr>
        <w:t>(including</w:t>
      </w:r>
      <w:r w:rsidR="00420FD4">
        <w:rPr>
          <w:rFonts w:cs="Times New Roman"/>
        </w:rPr>
        <w:t xml:space="preserve"> </w:t>
      </w:r>
      <w:r w:rsidR="00096780">
        <w:rPr>
          <w:rFonts w:cs="Times New Roman"/>
        </w:rPr>
        <w:t xml:space="preserve">accumulated late fees, eviction costs, and </w:t>
      </w:r>
      <w:r w:rsidR="008E714B">
        <w:rPr>
          <w:rFonts w:cs="Times New Roman"/>
        </w:rPr>
        <w:t xml:space="preserve">related </w:t>
      </w:r>
      <w:r w:rsidR="00096780">
        <w:rPr>
          <w:rFonts w:cs="Times New Roman"/>
        </w:rPr>
        <w:t>monetary penalties)</w:t>
      </w:r>
      <w:r>
        <w:rPr>
          <w:rFonts w:cs="Times New Roman"/>
        </w:rPr>
        <w:t xml:space="preserve"> </w:t>
      </w:r>
      <w:r w:rsidR="008E714B">
        <w:rPr>
          <w:rFonts w:cs="Times New Roman"/>
        </w:rPr>
        <w:t>if these debts present a barrier to obtaining permanent housing or establishing utility services in a new unit</w:t>
      </w:r>
      <w:r>
        <w:rPr>
          <w:rFonts w:cs="Times New Roman"/>
        </w:rPr>
        <w:t>. Project Sponsor</w:t>
      </w:r>
      <w:r w:rsidR="00883397">
        <w:rPr>
          <w:rFonts w:cs="Times New Roman"/>
        </w:rPr>
        <w:t>s</w:t>
      </w:r>
      <w:r>
        <w:rPr>
          <w:rFonts w:cs="Times New Roman"/>
        </w:rPr>
        <w:t xml:space="preserve"> must</w:t>
      </w:r>
      <w:r w:rsidR="00270DA1">
        <w:rPr>
          <w:rFonts w:cs="Times New Roman"/>
        </w:rPr>
        <w:t xml:space="preserve"> </w:t>
      </w:r>
      <w:r w:rsidR="00305782">
        <w:rPr>
          <w:rFonts w:cs="Times New Roman"/>
        </w:rPr>
        <w:t>document</w:t>
      </w:r>
      <w:r w:rsidR="00270DA1">
        <w:rPr>
          <w:rFonts w:cs="Times New Roman"/>
        </w:rPr>
        <w:t xml:space="preserve"> that </w:t>
      </w:r>
      <w:r w:rsidR="00883397">
        <w:rPr>
          <w:rFonts w:cs="Times New Roman"/>
        </w:rPr>
        <w:t>a household cannot secure a new unit or establish utility services without</w:t>
      </w:r>
      <w:r w:rsidR="005A26C2">
        <w:rPr>
          <w:rFonts w:cs="Times New Roman"/>
        </w:rPr>
        <w:t xml:space="preserve"> </w:t>
      </w:r>
      <w:bookmarkStart w:id="37" w:name="_Hlk137721017"/>
      <w:r w:rsidR="00883397">
        <w:rPr>
          <w:rFonts w:cs="Times New Roman"/>
        </w:rPr>
        <w:t xml:space="preserve">paying such arrears. </w:t>
      </w:r>
      <w:bookmarkStart w:id="38" w:name="_Hlk140156717"/>
      <w:r w:rsidR="00AA71B3">
        <w:rPr>
          <w:rFonts w:cs="Times New Roman"/>
        </w:rPr>
        <w:t>The total amount of PHP assistance provided to a household for the 1) security deposit, 2) first month’s rent, 3) last month’s rent, and/or 4) rental arrears (paid to the same owner) can</w:t>
      </w:r>
      <w:r w:rsidR="00AA71B3" w:rsidRPr="003F6AA2">
        <w:rPr>
          <w:rFonts w:cs="Times New Roman"/>
        </w:rPr>
        <w:t xml:space="preserve">not exceed </w:t>
      </w:r>
      <w:r w:rsidR="00AA71B3">
        <w:rPr>
          <w:rFonts w:cs="Times New Roman"/>
        </w:rPr>
        <w:t xml:space="preserve">the value of </w:t>
      </w:r>
      <w:r w:rsidR="00AA71B3" w:rsidRPr="003F6AA2">
        <w:rPr>
          <w:rFonts w:cs="Times New Roman"/>
        </w:rPr>
        <w:t>two months</w:t>
      </w:r>
      <w:r w:rsidR="00AA71B3">
        <w:rPr>
          <w:rFonts w:cs="Times New Roman"/>
        </w:rPr>
        <w:t>’</w:t>
      </w:r>
      <w:r w:rsidR="00AA71B3" w:rsidRPr="003F6AA2">
        <w:rPr>
          <w:rFonts w:cs="Times New Roman"/>
        </w:rPr>
        <w:t xml:space="preserve"> rent</w:t>
      </w:r>
      <w:r w:rsidR="00AA71B3">
        <w:rPr>
          <w:rFonts w:cs="Times New Roman"/>
        </w:rPr>
        <w:t xml:space="preserve"> for the new </w:t>
      </w:r>
      <w:r w:rsidR="00AA71B3" w:rsidRPr="003B249C">
        <w:rPr>
          <w:rFonts w:cs="Times New Roman"/>
        </w:rPr>
        <w:t>unit.</w:t>
      </w:r>
      <w:r w:rsidR="00AA71B3" w:rsidRPr="003B249C">
        <w:t xml:space="preserve"> </w:t>
      </w:r>
      <w:r w:rsidR="009A126E" w:rsidRPr="009A126E">
        <w:t>The PHP two-month rent cap applies to assistance for rental costs (including the security deposit). The cap does not apply to assistance for non-rental costs, such as fees, inquires, and insurance. Also, the cap does not apply to assistance for utility deposits, utility hookup fees, and utility arrears.</w:t>
      </w:r>
      <w:bookmarkEnd w:id="37"/>
      <w:bookmarkEnd w:id="38"/>
    </w:p>
    <w:p w14:paraId="1C744F06" w14:textId="77777777" w:rsidR="006845AA" w:rsidRPr="00ED208F" w:rsidRDefault="006845AA">
      <w:pPr>
        <w:pStyle w:val="NoSpacing"/>
        <w:ind w:left="1440"/>
        <w:rPr>
          <w:rFonts w:cs="Times New Roman"/>
          <w:b/>
        </w:rPr>
      </w:pPr>
    </w:p>
    <w:p w14:paraId="3A4B688C" w14:textId="02D2D963" w:rsidR="00142299" w:rsidRPr="001B2577" w:rsidRDefault="00816C26">
      <w:pPr>
        <w:pStyle w:val="NoSpacing"/>
        <w:numPr>
          <w:ilvl w:val="1"/>
          <w:numId w:val="42"/>
        </w:numPr>
        <w:rPr>
          <w:rFonts w:cs="Times New Roman"/>
          <w:b/>
          <w:u w:val="single"/>
        </w:rPr>
      </w:pPr>
      <w:r w:rsidRPr="001B2577">
        <w:rPr>
          <w:rFonts w:cs="Times New Roman"/>
          <w:b/>
          <w:u w:val="single"/>
        </w:rPr>
        <w:t>Ineligible Costs</w:t>
      </w:r>
    </w:p>
    <w:p w14:paraId="47B84243" w14:textId="1CC21163" w:rsidR="00816C26" w:rsidRDefault="00BB227A">
      <w:pPr>
        <w:pStyle w:val="NoSpacing"/>
        <w:ind w:left="720"/>
        <w:rPr>
          <w:rFonts w:cs="Times New Roman"/>
        </w:rPr>
      </w:pPr>
      <w:r>
        <w:rPr>
          <w:rFonts w:cs="Times New Roman"/>
        </w:rPr>
        <w:t xml:space="preserve">While not an exhaustive list, </w:t>
      </w:r>
      <w:r w:rsidR="00DD2D27">
        <w:rPr>
          <w:rFonts w:cs="Times New Roman"/>
        </w:rPr>
        <w:t xml:space="preserve">PHP cannot </w:t>
      </w:r>
      <w:r w:rsidR="00C33A8B">
        <w:rPr>
          <w:rFonts w:cs="Times New Roman"/>
        </w:rPr>
        <w:t>pay</w:t>
      </w:r>
      <w:r w:rsidR="00816C26" w:rsidRPr="00BA0E93">
        <w:rPr>
          <w:rFonts w:cs="Times New Roman"/>
        </w:rPr>
        <w:t xml:space="preserve"> for housing supplies</w:t>
      </w:r>
      <w:r w:rsidR="00BA05D9">
        <w:rPr>
          <w:rFonts w:cs="Times New Roman"/>
        </w:rPr>
        <w:t>, furniture, or appliances;</w:t>
      </w:r>
      <w:r w:rsidR="00816C26" w:rsidRPr="00BA0E93">
        <w:rPr>
          <w:rFonts w:cs="Times New Roman"/>
        </w:rPr>
        <w:t xml:space="preserve"> smoke </w:t>
      </w:r>
      <w:r w:rsidR="00842009">
        <w:rPr>
          <w:rFonts w:cs="Times New Roman"/>
        </w:rPr>
        <w:t xml:space="preserve">and carbon monoxide </w:t>
      </w:r>
      <w:r w:rsidR="005576A0">
        <w:rPr>
          <w:rFonts w:cs="Times New Roman"/>
        </w:rPr>
        <w:t>detectors</w:t>
      </w:r>
      <w:r w:rsidR="009A1B47">
        <w:rPr>
          <w:rFonts w:cs="Times New Roman"/>
        </w:rPr>
        <w:t xml:space="preserve"> (</w:t>
      </w:r>
      <w:r w:rsidR="000F567E">
        <w:rPr>
          <w:rFonts w:cs="Times New Roman"/>
        </w:rPr>
        <w:t>o</w:t>
      </w:r>
      <w:r w:rsidR="000F567E" w:rsidRPr="000F567E">
        <w:rPr>
          <w:rFonts w:cs="Times New Roman"/>
        </w:rPr>
        <w:t>wners provid</w:t>
      </w:r>
      <w:r w:rsidR="00CC62DA">
        <w:rPr>
          <w:rFonts w:cs="Times New Roman"/>
        </w:rPr>
        <w:t>e</w:t>
      </w:r>
      <w:r w:rsidR="000F567E" w:rsidRPr="000F567E">
        <w:rPr>
          <w:rFonts w:cs="Times New Roman"/>
        </w:rPr>
        <w:t xml:space="preserve"> and maintain smoke </w:t>
      </w:r>
      <w:r w:rsidR="00842009">
        <w:rPr>
          <w:rFonts w:cs="Times New Roman"/>
        </w:rPr>
        <w:t xml:space="preserve">and carbon monoxide </w:t>
      </w:r>
      <w:r w:rsidR="000F567E" w:rsidRPr="000F567E">
        <w:rPr>
          <w:rFonts w:cs="Times New Roman"/>
        </w:rPr>
        <w:t>detectors for renters</w:t>
      </w:r>
      <w:r w:rsidR="000F567E">
        <w:rPr>
          <w:rFonts w:cs="Times New Roman"/>
        </w:rPr>
        <w:t>;</w:t>
      </w:r>
      <w:r w:rsidR="000F567E" w:rsidRPr="000F567E">
        <w:rPr>
          <w:rFonts w:cs="Times New Roman"/>
        </w:rPr>
        <w:t xml:space="preserve"> Project Sponsors may use local fire programs or hardware store donations to provide smoke</w:t>
      </w:r>
      <w:r w:rsidR="00842009">
        <w:rPr>
          <w:rFonts w:cs="Times New Roman"/>
        </w:rPr>
        <w:t xml:space="preserve"> and carbon monoxide</w:t>
      </w:r>
      <w:r w:rsidR="000F567E" w:rsidRPr="000F567E">
        <w:rPr>
          <w:rFonts w:cs="Times New Roman"/>
        </w:rPr>
        <w:t xml:space="preserve"> detectors for mortgagers</w:t>
      </w:r>
      <w:r w:rsidR="009A1B47">
        <w:rPr>
          <w:rFonts w:cs="Times New Roman"/>
        </w:rPr>
        <w:t>)</w:t>
      </w:r>
      <w:r w:rsidR="00BA05D9">
        <w:rPr>
          <w:rFonts w:cs="Times New Roman"/>
        </w:rPr>
        <w:t>;</w:t>
      </w:r>
      <w:r w:rsidR="00816C26" w:rsidRPr="00BA0E93">
        <w:rPr>
          <w:rFonts w:cs="Times New Roman"/>
        </w:rPr>
        <w:t xml:space="preserve"> minor repairs to the unit associated with the move-in</w:t>
      </w:r>
      <w:r w:rsidR="00BA05D9">
        <w:rPr>
          <w:rFonts w:cs="Times New Roman"/>
        </w:rPr>
        <w:t>;</w:t>
      </w:r>
      <w:r w:rsidR="00816C26" w:rsidRPr="00BA0E93">
        <w:rPr>
          <w:rFonts w:cs="Times New Roman"/>
        </w:rPr>
        <w:t xml:space="preserve"> and other incidental costs for occupancy of the housing unit. While </w:t>
      </w:r>
      <w:r w:rsidR="00DD2D27">
        <w:rPr>
          <w:rFonts w:cs="Times New Roman"/>
        </w:rPr>
        <w:t xml:space="preserve">PHP cannot </w:t>
      </w:r>
      <w:r w:rsidR="00C33A8B">
        <w:rPr>
          <w:rFonts w:cs="Times New Roman"/>
        </w:rPr>
        <w:t>pay for</w:t>
      </w:r>
      <w:r w:rsidR="00DD2D27">
        <w:rPr>
          <w:rFonts w:cs="Times New Roman"/>
        </w:rPr>
        <w:t xml:space="preserve"> these costs</w:t>
      </w:r>
      <w:r w:rsidR="00816C26" w:rsidRPr="00BA0E93">
        <w:rPr>
          <w:rFonts w:cs="Times New Roman"/>
        </w:rPr>
        <w:t xml:space="preserve">, </w:t>
      </w:r>
      <w:r w:rsidR="00816C26">
        <w:rPr>
          <w:rFonts w:cs="Times New Roman"/>
        </w:rPr>
        <w:t>Project Sponsors</w:t>
      </w:r>
      <w:r w:rsidR="00816C26" w:rsidRPr="00BA0E93">
        <w:rPr>
          <w:rFonts w:cs="Times New Roman"/>
        </w:rPr>
        <w:t xml:space="preserve"> may use leveraged funds or donations to address </w:t>
      </w:r>
      <w:r w:rsidR="00DD2D27">
        <w:rPr>
          <w:rFonts w:cs="Times New Roman"/>
        </w:rPr>
        <w:t>other</w:t>
      </w:r>
      <w:r w:rsidR="00DD2D27" w:rsidRPr="00BA0E93">
        <w:rPr>
          <w:rFonts w:cs="Times New Roman"/>
        </w:rPr>
        <w:t xml:space="preserve"> </w:t>
      </w:r>
      <w:r w:rsidR="00816C26" w:rsidRPr="00BA0E93">
        <w:rPr>
          <w:rFonts w:cs="Times New Roman"/>
        </w:rPr>
        <w:t xml:space="preserve">related needs </w:t>
      </w:r>
      <w:r w:rsidR="00DD2D27">
        <w:rPr>
          <w:rFonts w:cs="Times New Roman"/>
        </w:rPr>
        <w:t>or</w:t>
      </w:r>
      <w:r w:rsidR="00DD2D27" w:rsidRPr="00BA0E93">
        <w:rPr>
          <w:rFonts w:cs="Times New Roman"/>
        </w:rPr>
        <w:t xml:space="preserve"> </w:t>
      </w:r>
      <w:r w:rsidR="00816C26" w:rsidRPr="00BA0E93">
        <w:rPr>
          <w:rFonts w:cs="Times New Roman"/>
        </w:rPr>
        <w:t xml:space="preserve">move-in </w:t>
      </w:r>
      <w:r w:rsidR="00816C26" w:rsidRPr="00B329AE">
        <w:rPr>
          <w:rFonts w:cs="Times New Roman"/>
        </w:rPr>
        <w:t>support.</w:t>
      </w:r>
      <w:r w:rsidR="00AE6144" w:rsidRPr="00B329AE">
        <w:rPr>
          <w:rFonts w:cs="Times New Roman"/>
        </w:rPr>
        <w:t xml:space="preserve"> </w:t>
      </w:r>
      <w:r w:rsidR="00BA05D9">
        <w:rPr>
          <w:rFonts w:cs="Times New Roman"/>
        </w:rPr>
        <w:t xml:space="preserve">PHP cannot </w:t>
      </w:r>
      <w:r w:rsidR="00C33A8B">
        <w:rPr>
          <w:rFonts w:cs="Times New Roman"/>
        </w:rPr>
        <w:t>pay for</w:t>
      </w:r>
      <w:r w:rsidR="00BA05D9">
        <w:rPr>
          <w:rFonts w:cs="Times New Roman"/>
        </w:rPr>
        <w:t xml:space="preserve"> moving costs, such as moving trucks or hired movers. </w:t>
      </w:r>
      <w:bookmarkStart w:id="39" w:name="_Hlk137721366"/>
      <w:r w:rsidR="000E5977" w:rsidRPr="00B329AE">
        <w:rPr>
          <w:rFonts w:cs="Times New Roman"/>
        </w:rPr>
        <w:t xml:space="preserve">PHP cannot pay for </w:t>
      </w:r>
      <w:r w:rsidR="004B218D" w:rsidRPr="00B329AE">
        <w:rPr>
          <w:rFonts w:cs="Times New Roman"/>
        </w:rPr>
        <w:t xml:space="preserve">the </w:t>
      </w:r>
      <w:r w:rsidR="000E5977" w:rsidRPr="00B329AE">
        <w:rPr>
          <w:rFonts w:cs="Times New Roman"/>
        </w:rPr>
        <w:t>first and/or last month’s rent</w:t>
      </w:r>
      <w:r w:rsidR="00DF634E">
        <w:rPr>
          <w:rFonts w:cs="Times New Roman"/>
        </w:rPr>
        <w:t xml:space="preserve"> or prorated rent</w:t>
      </w:r>
      <w:r w:rsidR="000E5977" w:rsidRPr="00B329AE">
        <w:rPr>
          <w:rFonts w:cs="Times New Roman"/>
        </w:rPr>
        <w:t xml:space="preserve"> when </w:t>
      </w:r>
      <w:r w:rsidR="00DD2D27">
        <w:rPr>
          <w:rFonts w:cs="Times New Roman"/>
        </w:rPr>
        <w:t xml:space="preserve">the household will receive </w:t>
      </w:r>
      <w:r w:rsidR="004B218D" w:rsidRPr="00B329AE">
        <w:rPr>
          <w:rFonts w:cs="Times New Roman"/>
        </w:rPr>
        <w:t xml:space="preserve">ongoing </w:t>
      </w:r>
      <w:r w:rsidR="00C33A8B">
        <w:rPr>
          <w:rFonts w:cs="Times New Roman"/>
        </w:rPr>
        <w:t xml:space="preserve">rental assistance, whether via </w:t>
      </w:r>
      <w:r w:rsidR="00B329AE" w:rsidRPr="004F1682">
        <w:rPr>
          <w:rFonts w:cs="Times New Roman"/>
        </w:rPr>
        <w:t>HOPWA or another pro</w:t>
      </w:r>
      <w:r w:rsidR="00B329AE">
        <w:rPr>
          <w:rFonts w:cs="Times New Roman"/>
        </w:rPr>
        <w:t>gram</w:t>
      </w:r>
      <w:r w:rsidR="004B218D" w:rsidRPr="00B329AE">
        <w:rPr>
          <w:rFonts w:cs="Times New Roman"/>
        </w:rPr>
        <w:t>.</w:t>
      </w:r>
      <w:r w:rsidR="000E5977" w:rsidRPr="00B329AE">
        <w:rPr>
          <w:rFonts w:cs="Times New Roman"/>
        </w:rPr>
        <w:t xml:space="preserve"> </w:t>
      </w:r>
      <w:r w:rsidR="00BA05D9">
        <w:rPr>
          <w:rFonts w:cs="Times New Roman"/>
        </w:rPr>
        <w:t>PHP cannot pay for the</w:t>
      </w:r>
      <w:r w:rsidR="00A22CF0">
        <w:rPr>
          <w:rFonts w:cs="Times New Roman"/>
        </w:rPr>
        <w:t xml:space="preserve"> cost of the</w:t>
      </w:r>
      <w:r w:rsidR="00BA05D9">
        <w:rPr>
          <w:rFonts w:cs="Times New Roman"/>
        </w:rPr>
        <w:t xml:space="preserve"> first utility </w:t>
      </w:r>
      <w:r w:rsidR="00A22CF0">
        <w:rPr>
          <w:rFonts w:cs="Times New Roman"/>
        </w:rPr>
        <w:t xml:space="preserve">metering period (i.e., PHP can </w:t>
      </w:r>
      <w:r w:rsidR="00DD2D27">
        <w:rPr>
          <w:rFonts w:cs="Times New Roman"/>
        </w:rPr>
        <w:t>assist with costs for utility</w:t>
      </w:r>
      <w:r w:rsidR="00A22CF0">
        <w:rPr>
          <w:rFonts w:cs="Times New Roman"/>
        </w:rPr>
        <w:t xml:space="preserve"> deposits </w:t>
      </w:r>
      <w:r w:rsidR="00DD2D27">
        <w:rPr>
          <w:rFonts w:cs="Times New Roman"/>
        </w:rPr>
        <w:t xml:space="preserve">and </w:t>
      </w:r>
      <w:r w:rsidR="00A22CF0">
        <w:rPr>
          <w:rFonts w:cs="Times New Roman"/>
        </w:rPr>
        <w:t>service activation</w:t>
      </w:r>
      <w:r w:rsidR="00DD2D27">
        <w:rPr>
          <w:rFonts w:cs="Times New Roman"/>
        </w:rPr>
        <w:t>, not service consumption</w:t>
      </w:r>
      <w:r w:rsidR="00A22CF0">
        <w:rPr>
          <w:rFonts w:cs="Times New Roman"/>
        </w:rPr>
        <w:t>)</w:t>
      </w:r>
      <w:r w:rsidR="00BA05D9">
        <w:rPr>
          <w:rFonts w:cs="Times New Roman"/>
        </w:rPr>
        <w:t>.</w:t>
      </w:r>
      <w:bookmarkEnd w:id="39"/>
      <w:r w:rsidR="00BA05D9">
        <w:rPr>
          <w:rFonts w:cs="Times New Roman"/>
        </w:rPr>
        <w:t xml:space="preserve"> </w:t>
      </w:r>
      <w:r w:rsidR="00830C1D" w:rsidRPr="00B329AE">
        <w:rPr>
          <w:rFonts w:cs="Times New Roman"/>
        </w:rPr>
        <w:t xml:space="preserve">Also, </w:t>
      </w:r>
      <w:r w:rsidR="00AE6144" w:rsidRPr="00B329AE">
        <w:rPr>
          <w:rFonts w:cs="Times New Roman"/>
        </w:rPr>
        <w:t xml:space="preserve">Project Sponsors </w:t>
      </w:r>
      <w:r w:rsidR="00B70170">
        <w:rPr>
          <w:rFonts w:cs="Times New Roman"/>
        </w:rPr>
        <w:t>cannot</w:t>
      </w:r>
      <w:r w:rsidR="00AE6144" w:rsidRPr="00B329AE">
        <w:rPr>
          <w:rFonts w:cs="Times New Roman"/>
        </w:rPr>
        <w:t xml:space="preserve"> use PHP funds</w:t>
      </w:r>
      <w:r w:rsidR="00AE6144">
        <w:rPr>
          <w:rFonts w:cs="Times New Roman"/>
        </w:rPr>
        <w:t xml:space="preserve"> to b</w:t>
      </w:r>
      <w:r w:rsidR="00AE6144" w:rsidRPr="00F812A5">
        <w:rPr>
          <w:rFonts w:cs="Times New Roman"/>
        </w:rPr>
        <w:t>reak</w:t>
      </w:r>
      <w:r w:rsidR="00AE6144">
        <w:rPr>
          <w:rFonts w:cs="Times New Roman"/>
        </w:rPr>
        <w:t xml:space="preserve"> and buy-</w:t>
      </w:r>
      <w:r w:rsidR="00AE6144" w:rsidRPr="00F812A5">
        <w:rPr>
          <w:rFonts w:cs="Times New Roman"/>
        </w:rPr>
        <w:t xml:space="preserve">out the remainder of a </w:t>
      </w:r>
      <w:r w:rsidR="00830C1D">
        <w:rPr>
          <w:rFonts w:cs="Times New Roman"/>
        </w:rPr>
        <w:t xml:space="preserve">household’s </w:t>
      </w:r>
      <w:r w:rsidR="00AE6144">
        <w:rPr>
          <w:rFonts w:cs="Times New Roman"/>
        </w:rPr>
        <w:t xml:space="preserve">current </w:t>
      </w:r>
      <w:r w:rsidR="00AE6144" w:rsidRPr="00F812A5">
        <w:rPr>
          <w:rFonts w:cs="Times New Roman"/>
        </w:rPr>
        <w:t>lease agreement</w:t>
      </w:r>
      <w:r w:rsidR="00AE6144" w:rsidRPr="00AE6144">
        <w:t xml:space="preserve"> </w:t>
      </w:r>
      <w:r w:rsidR="00830C1D">
        <w:rPr>
          <w:rFonts w:cs="Times New Roman"/>
        </w:rPr>
        <w:t xml:space="preserve">as part of a broader </w:t>
      </w:r>
      <w:r w:rsidR="005A4EC4">
        <w:rPr>
          <w:rFonts w:cs="Times New Roman"/>
        </w:rPr>
        <w:t>strategy of 1) securing</w:t>
      </w:r>
      <w:r w:rsidR="005A4EC4" w:rsidRPr="005A4EC4">
        <w:rPr>
          <w:rFonts w:cs="Times New Roman"/>
        </w:rPr>
        <w:t xml:space="preserve"> a new permanent residence </w:t>
      </w:r>
      <w:r w:rsidR="005A4EC4">
        <w:rPr>
          <w:rFonts w:cs="Times New Roman"/>
        </w:rPr>
        <w:t xml:space="preserve">while 2) </w:t>
      </w:r>
      <w:r w:rsidR="00830C1D" w:rsidRPr="00830C1D">
        <w:rPr>
          <w:rFonts w:cs="Times New Roman"/>
        </w:rPr>
        <w:t xml:space="preserve">averting a negative impact to </w:t>
      </w:r>
      <w:r w:rsidR="005A4EC4">
        <w:rPr>
          <w:rFonts w:cs="Times New Roman"/>
        </w:rPr>
        <w:t>the household’s</w:t>
      </w:r>
      <w:r w:rsidR="00830C1D" w:rsidRPr="00830C1D">
        <w:rPr>
          <w:rFonts w:cs="Times New Roman"/>
        </w:rPr>
        <w:t xml:space="preserve"> rental history</w:t>
      </w:r>
      <w:r w:rsidR="005A4EC4">
        <w:rPr>
          <w:rFonts w:cs="Times New Roman"/>
        </w:rPr>
        <w:t>.</w:t>
      </w:r>
    </w:p>
    <w:p w14:paraId="05A7DD4B" w14:textId="77777777" w:rsidR="00D445BF" w:rsidRPr="004F1682" w:rsidRDefault="00D445BF">
      <w:pPr>
        <w:pStyle w:val="NoSpacing"/>
        <w:ind w:left="720"/>
        <w:rPr>
          <w:rFonts w:cs="Times New Roman"/>
          <w:bCs/>
        </w:rPr>
      </w:pPr>
    </w:p>
    <w:p w14:paraId="24611950" w14:textId="4AF0743B" w:rsidR="00A11E5E" w:rsidRPr="001B2577" w:rsidRDefault="00816C26">
      <w:pPr>
        <w:pStyle w:val="NoSpacing"/>
        <w:numPr>
          <w:ilvl w:val="1"/>
          <w:numId w:val="42"/>
        </w:numPr>
        <w:rPr>
          <w:rFonts w:cs="Times New Roman"/>
          <w:b/>
          <w:u w:val="single"/>
        </w:rPr>
      </w:pPr>
      <w:r w:rsidRPr="001B2577">
        <w:rPr>
          <w:rFonts w:cs="Times New Roman"/>
          <w:b/>
          <w:u w:val="single"/>
        </w:rPr>
        <w:t>Housing Status</w:t>
      </w:r>
    </w:p>
    <w:p w14:paraId="54247BFD" w14:textId="01670C74" w:rsidR="00816C26" w:rsidRDefault="00A11E5E">
      <w:pPr>
        <w:pStyle w:val="NoSpacing"/>
        <w:ind w:left="720"/>
        <w:rPr>
          <w:rFonts w:cs="Times New Roman"/>
        </w:rPr>
      </w:pPr>
      <w:bookmarkStart w:id="40" w:name="_Hlk94194343"/>
      <w:r>
        <w:rPr>
          <w:rFonts w:cs="Times New Roman"/>
        </w:rPr>
        <w:t xml:space="preserve">Households can </w:t>
      </w:r>
      <w:r w:rsidR="009A4DAE">
        <w:rPr>
          <w:rFonts w:cs="Times New Roman"/>
        </w:rPr>
        <w:t>be housed or homeless.</w:t>
      </w:r>
      <w:bookmarkEnd w:id="40"/>
      <w:r w:rsidR="009A4DAE">
        <w:rPr>
          <w:rFonts w:cs="Times New Roman"/>
        </w:rPr>
        <w:t xml:space="preserve"> </w:t>
      </w:r>
      <w:r w:rsidR="008D6554" w:rsidRPr="008D6554">
        <w:rPr>
          <w:rFonts w:cs="Times New Roman"/>
        </w:rPr>
        <w:t xml:space="preserve">PHP helps </w:t>
      </w:r>
      <w:r w:rsidR="008D6554">
        <w:rPr>
          <w:rFonts w:cs="Times New Roman"/>
        </w:rPr>
        <w:t xml:space="preserve">both housed and homeless </w:t>
      </w:r>
      <w:proofErr w:type="gramStart"/>
      <w:r w:rsidR="008D6554" w:rsidRPr="008D6554">
        <w:rPr>
          <w:rFonts w:cs="Times New Roman"/>
        </w:rPr>
        <w:t>households</w:t>
      </w:r>
      <w:proofErr w:type="gramEnd"/>
      <w:r w:rsidR="008D6554" w:rsidRPr="008D6554">
        <w:rPr>
          <w:rFonts w:cs="Times New Roman"/>
        </w:rPr>
        <w:t xml:space="preserve"> access, secure, and establish a permanent residence, maintained either on their own or with the help of ongoing rental assistance</w:t>
      </w:r>
      <w:r w:rsidR="008D6554">
        <w:rPr>
          <w:rFonts w:cs="Times New Roman"/>
        </w:rPr>
        <w:t xml:space="preserve">. </w:t>
      </w:r>
      <w:r w:rsidR="008C101B">
        <w:rPr>
          <w:rFonts w:cs="Times New Roman"/>
        </w:rPr>
        <w:t>Generally, o</w:t>
      </w:r>
      <w:r w:rsidR="00851CAD">
        <w:rPr>
          <w:rFonts w:cs="Times New Roman"/>
        </w:rPr>
        <w:t>wners/representatives</w:t>
      </w:r>
      <w:r w:rsidR="00A03B45">
        <w:rPr>
          <w:rFonts w:cs="Times New Roman"/>
        </w:rPr>
        <w:t xml:space="preserve"> </w:t>
      </w:r>
      <w:r w:rsidR="008C101B">
        <w:rPr>
          <w:rFonts w:cs="Times New Roman"/>
        </w:rPr>
        <w:t>will not</w:t>
      </w:r>
      <w:r w:rsidR="00A03B45">
        <w:rPr>
          <w:rFonts w:cs="Times New Roman"/>
        </w:rPr>
        <w:t xml:space="preserve"> execute lease agreement</w:t>
      </w:r>
      <w:r w:rsidR="008D6554">
        <w:rPr>
          <w:rFonts w:cs="Times New Roman"/>
        </w:rPr>
        <w:t>s</w:t>
      </w:r>
      <w:r w:rsidR="00A03B45">
        <w:rPr>
          <w:rFonts w:cs="Times New Roman"/>
        </w:rPr>
        <w:t xml:space="preserve"> with household</w:t>
      </w:r>
      <w:r w:rsidR="008D6554">
        <w:rPr>
          <w:rFonts w:cs="Times New Roman"/>
        </w:rPr>
        <w:t>s</w:t>
      </w:r>
      <w:r w:rsidR="00A03B45">
        <w:rPr>
          <w:rFonts w:cs="Times New Roman"/>
        </w:rPr>
        <w:t xml:space="preserve"> </w:t>
      </w:r>
      <w:r w:rsidR="008D6554">
        <w:rPr>
          <w:rFonts w:cs="Times New Roman"/>
        </w:rPr>
        <w:t xml:space="preserve">that have not paid </w:t>
      </w:r>
      <w:r w:rsidR="00A03B45">
        <w:rPr>
          <w:rFonts w:cs="Times New Roman"/>
        </w:rPr>
        <w:t xml:space="preserve">initial move-in costs </w:t>
      </w:r>
      <w:r w:rsidR="00F278EE">
        <w:rPr>
          <w:rFonts w:cs="Times New Roman"/>
        </w:rPr>
        <w:t>in advance</w:t>
      </w:r>
      <w:r w:rsidR="00A03B45">
        <w:rPr>
          <w:rFonts w:cs="Times New Roman"/>
        </w:rPr>
        <w:t>.</w:t>
      </w:r>
      <w:r w:rsidR="00F278EE">
        <w:rPr>
          <w:rFonts w:cs="Times New Roman"/>
        </w:rPr>
        <w:t xml:space="preserve"> </w:t>
      </w:r>
      <w:r w:rsidR="00A03B45">
        <w:rPr>
          <w:rFonts w:cs="Times New Roman"/>
        </w:rPr>
        <w:t>Project Sponsor</w:t>
      </w:r>
      <w:r w:rsidR="00F278EE">
        <w:rPr>
          <w:rFonts w:cs="Times New Roman"/>
        </w:rPr>
        <w:t xml:space="preserve">s provide </w:t>
      </w:r>
      <w:r w:rsidR="00F65812" w:rsidRPr="003F5DA4">
        <w:rPr>
          <w:rFonts w:cs="Times New Roman"/>
          <w:b/>
          <w:color w:val="5B9BD5" w:themeColor="accent1"/>
        </w:rPr>
        <w:t>Form L: PHP Intent to Lease Worksheet</w:t>
      </w:r>
      <w:r w:rsidR="00F278EE">
        <w:rPr>
          <w:rFonts w:cs="Times New Roman"/>
        </w:rPr>
        <w:t xml:space="preserve"> to owners/representatives of the property. Form L serves as a supporting document </w:t>
      </w:r>
      <w:r w:rsidR="008C101B">
        <w:rPr>
          <w:rFonts w:cs="Times New Roman"/>
        </w:rPr>
        <w:t>verifying</w:t>
      </w:r>
      <w:r w:rsidR="00F278EE">
        <w:rPr>
          <w:rFonts w:cs="Times New Roman"/>
        </w:rPr>
        <w:t xml:space="preserve"> initial move-in costs</w:t>
      </w:r>
      <w:r w:rsidR="008D6554">
        <w:rPr>
          <w:rFonts w:cs="Times New Roman"/>
        </w:rPr>
        <w:t xml:space="preserve"> and the owner</w:t>
      </w:r>
      <w:r w:rsidR="00284BED">
        <w:rPr>
          <w:rFonts w:cs="Times New Roman"/>
        </w:rPr>
        <w:t>’s/representative’s</w:t>
      </w:r>
      <w:r w:rsidR="008D6554">
        <w:rPr>
          <w:rFonts w:cs="Times New Roman"/>
        </w:rPr>
        <w:t xml:space="preserve"> intent to lease the proposed unit to the household</w:t>
      </w:r>
      <w:r w:rsidR="00C33A8B">
        <w:rPr>
          <w:rFonts w:cs="Times New Roman"/>
        </w:rPr>
        <w:t xml:space="preserve">, allowing </w:t>
      </w:r>
      <w:r w:rsidR="008C101B">
        <w:rPr>
          <w:rFonts w:cs="Times New Roman"/>
        </w:rPr>
        <w:t xml:space="preserve">the </w:t>
      </w:r>
      <w:r w:rsidR="00C33A8B">
        <w:rPr>
          <w:rFonts w:cs="Times New Roman"/>
        </w:rPr>
        <w:t>Project Sponsor to issue a</w:t>
      </w:r>
      <w:r w:rsidR="00BA149A">
        <w:rPr>
          <w:rFonts w:cs="Times New Roman"/>
        </w:rPr>
        <w:t xml:space="preserve"> </w:t>
      </w:r>
      <w:r w:rsidR="00BA149A" w:rsidRPr="001B2577">
        <w:rPr>
          <w:rFonts w:cs="Times New Roman"/>
        </w:rPr>
        <w:t>payment</w:t>
      </w:r>
      <w:r w:rsidR="00851CAD" w:rsidRPr="001B2577">
        <w:rPr>
          <w:rFonts w:cs="Times New Roman"/>
        </w:rPr>
        <w:t xml:space="preserve"> to the owner</w:t>
      </w:r>
      <w:r w:rsidR="00BA149A" w:rsidRPr="001B2577">
        <w:rPr>
          <w:rFonts w:cs="Times New Roman"/>
        </w:rPr>
        <w:t>.</w:t>
      </w:r>
      <w:r w:rsidR="00C33A8B">
        <w:rPr>
          <w:rFonts w:cs="Times New Roman"/>
        </w:rPr>
        <w:t xml:space="preserve"> Project Sponsors do not issue Form L to utility vendor</w:t>
      </w:r>
      <w:r w:rsidR="008D6554">
        <w:rPr>
          <w:rFonts w:cs="Times New Roman"/>
        </w:rPr>
        <w:t>s.</w:t>
      </w:r>
    </w:p>
    <w:p w14:paraId="3853A7EC" w14:textId="03403586" w:rsidR="00226A36" w:rsidRDefault="00226A36">
      <w:pPr>
        <w:pStyle w:val="NoSpacing"/>
        <w:ind w:left="720"/>
        <w:rPr>
          <w:rFonts w:cs="Times New Roman"/>
          <w:color w:val="C00000"/>
        </w:rPr>
      </w:pPr>
      <w:r w:rsidRPr="00226A36">
        <w:rPr>
          <w:rFonts w:cs="Times New Roman"/>
          <w:b/>
          <w:color w:val="C00000"/>
        </w:rPr>
        <w:t>NOTE:</w:t>
      </w:r>
      <w:r>
        <w:rPr>
          <w:rFonts w:cs="Times New Roman"/>
          <w:color w:val="C00000"/>
        </w:rPr>
        <w:t xml:space="preserve"> Supporting documentation for a utility deposit can include the first utility bill the household receives </w:t>
      </w:r>
      <w:r w:rsidR="008D6554">
        <w:rPr>
          <w:rFonts w:cs="Times New Roman"/>
          <w:color w:val="C00000"/>
        </w:rPr>
        <w:t xml:space="preserve">from a utility vendor </w:t>
      </w:r>
      <w:r>
        <w:rPr>
          <w:rFonts w:cs="Times New Roman"/>
          <w:color w:val="C00000"/>
        </w:rPr>
        <w:t xml:space="preserve">if the </w:t>
      </w:r>
      <w:r w:rsidR="008D6554">
        <w:rPr>
          <w:rFonts w:cs="Times New Roman"/>
          <w:color w:val="C00000"/>
        </w:rPr>
        <w:t>bill includes the amount required for the deposit.</w:t>
      </w:r>
    </w:p>
    <w:p w14:paraId="7F2C1F4E" w14:textId="5527910E" w:rsidR="00692FFC" w:rsidRPr="00B9419B" w:rsidRDefault="00692FFC" w:rsidP="00066B7E">
      <w:pPr>
        <w:pStyle w:val="NoSpacing"/>
      </w:pPr>
    </w:p>
    <w:p w14:paraId="0C2A3F1B" w14:textId="0C80D1C3" w:rsidR="00816C26" w:rsidRPr="001B2577" w:rsidRDefault="009A7D04">
      <w:pPr>
        <w:pStyle w:val="NoSpacing"/>
        <w:numPr>
          <w:ilvl w:val="1"/>
          <w:numId w:val="42"/>
        </w:numPr>
        <w:rPr>
          <w:rFonts w:cs="Times New Roman"/>
          <w:b/>
          <w:u w:val="single"/>
        </w:rPr>
      </w:pPr>
      <w:r w:rsidRPr="001B2577">
        <w:rPr>
          <w:rFonts w:cs="Times New Roman"/>
          <w:b/>
          <w:u w:val="single"/>
        </w:rPr>
        <w:t>Security and Utility Deposit Tracking</w:t>
      </w:r>
    </w:p>
    <w:p w14:paraId="3D7BBCA0" w14:textId="1EDFFA9B" w:rsidR="003123DE" w:rsidRDefault="00AA71B3">
      <w:pPr>
        <w:pStyle w:val="NoSpacing"/>
        <w:ind w:left="720"/>
        <w:rPr>
          <w:rFonts w:cs="Times New Roman"/>
        </w:rPr>
      </w:pPr>
      <w:r w:rsidRPr="00AA71B3">
        <w:rPr>
          <w:rFonts w:cs="Times New Roman"/>
        </w:rPr>
        <w:t xml:space="preserve">If an owner or utility vendor fully or partially refund a security or utility deposit when the assisted household leaves a unit, </w:t>
      </w:r>
      <w:r w:rsidR="00094A29">
        <w:rPr>
          <w:rFonts w:cs="Times New Roman"/>
        </w:rPr>
        <w:t>they must return it</w:t>
      </w:r>
      <w:r w:rsidRPr="00AA71B3">
        <w:rPr>
          <w:rFonts w:cs="Times New Roman"/>
        </w:rPr>
        <w:t xml:space="preserve"> to the Project Sponsor</w:t>
      </w:r>
      <w:r w:rsidR="00D2172E">
        <w:rPr>
          <w:rFonts w:cs="Times New Roman"/>
        </w:rPr>
        <w:t>.</w:t>
      </w:r>
      <w:r w:rsidRPr="00AA71B3">
        <w:rPr>
          <w:rFonts w:cs="Times New Roman"/>
        </w:rPr>
        <w:t xml:space="preserve"> Project Sponsors maintain a record of all deposits and make a good faith effort to recover program funds upon the household’s departure from a unit</w:t>
      </w:r>
      <w:r w:rsidR="00D2172E">
        <w:rPr>
          <w:rFonts w:cs="Times New Roman"/>
        </w:rPr>
        <w:t xml:space="preserve"> </w:t>
      </w:r>
      <w:r w:rsidR="00D2172E" w:rsidRPr="00D2172E">
        <w:rPr>
          <w:rFonts w:cs="Times New Roman"/>
        </w:rPr>
        <w:t>(see Appendix C: Permanent Housing Placement Accounting Guidelines)</w:t>
      </w:r>
      <w:r w:rsidRPr="00AA71B3">
        <w:rPr>
          <w:rFonts w:cs="Times New Roman"/>
        </w:rPr>
        <w:t>.</w:t>
      </w:r>
      <w:r>
        <w:rPr>
          <w:rFonts w:cs="Times New Roman"/>
        </w:rPr>
        <w:t xml:space="preserve"> </w:t>
      </w:r>
      <w:r w:rsidR="007B2C16">
        <w:rPr>
          <w:rFonts w:cs="Times New Roman"/>
        </w:rPr>
        <w:t>Project Sponsors must</w:t>
      </w:r>
      <w:r w:rsidR="007B2C16" w:rsidRPr="009A7D04">
        <w:rPr>
          <w:rFonts w:cs="Times New Roman"/>
        </w:rPr>
        <w:t xml:space="preserve"> </w:t>
      </w:r>
      <w:r w:rsidR="00094A29" w:rsidRPr="001B2577">
        <w:rPr>
          <w:rFonts w:cs="Times New Roman"/>
        </w:rPr>
        <w:t xml:space="preserve">collaborate with </w:t>
      </w:r>
      <w:r w:rsidR="00570DA0">
        <w:rPr>
          <w:rFonts w:cs="Times New Roman"/>
        </w:rPr>
        <w:t>their AA</w:t>
      </w:r>
      <w:r w:rsidR="00094A29" w:rsidRPr="001B2577">
        <w:rPr>
          <w:rFonts w:cs="Times New Roman"/>
        </w:rPr>
        <w:t xml:space="preserve"> to develop a system of tracking all </w:t>
      </w:r>
      <w:r w:rsidR="00094A29">
        <w:rPr>
          <w:rFonts w:cs="Times New Roman"/>
        </w:rPr>
        <w:t xml:space="preserve">security and utility </w:t>
      </w:r>
      <w:r w:rsidR="00094A29" w:rsidRPr="001B2577">
        <w:rPr>
          <w:rFonts w:cs="Times New Roman"/>
        </w:rPr>
        <w:t>deposits made and returned</w:t>
      </w:r>
      <w:r w:rsidR="00094A29" w:rsidRPr="009A7D04">
        <w:rPr>
          <w:rFonts w:cs="Times New Roman"/>
        </w:rPr>
        <w:t xml:space="preserve"> </w:t>
      </w:r>
      <w:r w:rsidR="00094A29">
        <w:rPr>
          <w:rFonts w:cs="Times New Roman"/>
        </w:rPr>
        <w:t xml:space="preserve">and </w:t>
      </w:r>
      <w:r w:rsidR="007B2C16" w:rsidRPr="009A7D04">
        <w:rPr>
          <w:rFonts w:cs="Times New Roman"/>
        </w:rPr>
        <w:t>maintain accounting records</w:t>
      </w:r>
      <w:r w:rsidR="007B2C16">
        <w:rPr>
          <w:rFonts w:cs="Times New Roman"/>
        </w:rPr>
        <w:t xml:space="preserve"> for returned deposits</w:t>
      </w:r>
      <w:r w:rsidR="003123DE" w:rsidRPr="001B2577">
        <w:rPr>
          <w:rFonts w:cs="Times New Roman"/>
        </w:rPr>
        <w:t>. Project Sponsor</w:t>
      </w:r>
      <w:r w:rsidR="00094A29">
        <w:rPr>
          <w:rFonts w:cs="Times New Roman"/>
        </w:rPr>
        <w:t xml:space="preserve">s </w:t>
      </w:r>
      <w:r w:rsidR="003123DE" w:rsidRPr="001B2577">
        <w:rPr>
          <w:rFonts w:cs="Times New Roman"/>
        </w:rPr>
        <w:t>report</w:t>
      </w:r>
      <w:r w:rsidR="00094A29">
        <w:rPr>
          <w:rFonts w:cs="Times New Roman"/>
        </w:rPr>
        <w:t xml:space="preserve"> returned deposits</w:t>
      </w:r>
      <w:r w:rsidR="003123DE" w:rsidRPr="001B2577">
        <w:rPr>
          <w:rFonts w:cs="Times New Roman"/>
        </w:rPr>
        <w:t xml:space="preserve"> as “program income” on the </w:t>
      </w:r>
      <w:r w:rsidR="00851CAD" w:rsidRPr="001B2577">
        <w:rPr>
          <w:rFonts w:cs="Times New Roman"/>
        </w:rPr>
        <w:t>Program Progress Report.</w:t>
      </w:r>
    </w:p>
    <w:p w14:paraId="20620FD4" w14:textId="77777777" w:rsidR="006845AA" w:rsidRPr="001B2577" w:rsidRDefault="006845AA">
      <w:pPr>
        <w:pStyle w:val="NoSpacing"/>
        <w:ind w:left="720"/>
        <w:rPr>
          <w:rFonts w:cs="Times New Roman"/>
        </w:rPr>
      </w:pPr>
    </w:p>
    <w:p w14:paraId="7F4906FE" w14:textId="77777777" w:rsidR="00851CAD" w:rsidRPr="001B2577" w:rsidRDefault="00851CAD">
      <w:pPr>
        <w:pStyle w:val="NoSpacing"/>
        <w:numPr>
          <w:ilvl w:val="1"/>
          <w:numId w:val="42"/>
        </w:numPr>
        <w:rPr>
          <w:rFonts w:cs="Times New Roman"/>
          <w:b/>
          <w:u w:val="single"/>
        </w:rPr>
      </w:pPr>
      <w:r w:rsidRPr="001B2577">
        <w:rPr>
          <w:rFonts w:cs="Times New Roman"/>
          <w:b/>
          <w:u w:val="single"/>
        </w:rPr>
        <w:t>Additional DSHS Requirements</w:t>
      </w:r>
    </w:p>
    <w:p w14:paraId="5FEA35E9" w14:textId="72FB621E" w:rsidR="00851CAD" w:rsidRPr="001B2577" w:rsidRDefault="00FC107A">
      <w:pPr>
        <w:pStyle w:val="NoSpacing"/>
        <w:ind w:left="720"/>
        <w:rPr>
          <w:rFonts w:cs="Times New Roman"/>
        </w:rPr>
      </w:pPr>
      <w:r>
        <w:rPr>
          <w:rFonts w:cs="Times New Roman"/>
        </w:rPr>
        <w:t xml:space="preserve">Before providing PHP services, </w:t>
      </w:r>
      <w:r w:rsidR="00851CAD" w:rsidRPr="001B2577">
        <w:rPr>
          <w:rFonts w:cs="Times New Roman"/>
        </w:rPr>
        <w:t>Project Sponsors must:</w:t>
      </w:r>
    </w:p>
    <w:p w14:paraId="50C7334D" w14:textId="14A49694" w:rsidR="00851CAD" w:rsidRPr="001B2577" w:rsidRDefault="00851CAD">
      <w:pPr>
        <w:pStyle w:val="NoSpacing"/>
        <w:numPr>
          <w:ilvl w:val="2"/>
          <w:numId w:val="42"/>
        </w:numPr>
        <w:rPr>
          <w:rFonts w:cs="Times New Roman"/>
        </w:rPr>
      </w:pPr>
      <w:r w:rsidRPr="001B2577">
        <w:rPr>
          <w:rFonts w:cs="Times New Roman"/>
        </w:rPr>
        <w:t>C</w:t>
      </w:r>
      <w:r w:rsidR="009A7D04" w:rsidRPr="001B2577">
        <w:rPr>
          <w:rFonts w:cs="Times New Roman"/>
        </w:rPr>
        <w:t xml:space="preserve">omplete the </w:t>
      </w:r>
      <w:r w:rsidRPr="001B2577">
        <w:rPr>
          <w:rFonts w:cs="Times New Roman"/>
        </w:rPr>
        <w:t>Project Sponsor PHP Application</w:t>
      </w:r>
      <w:r w:rsidR="009A7D04" w:rsidRPr="001B2577">
        <w:rPr>
          <w:rFonts w:cs="Times New Roman"/>
        </w:rPr>
        <w:t xml:space="preserve"> (Appendix D</w:t>
      </w:r>
      <w:r w:rsidR="000459F9" w:rsidRPr="001B2577">
        <w:rPr>
          <w:rFonts w:cs="Times New Roman"/>
        </w:rPr>
        <w:t>: Project Sponsor</w:t>
      </w:r>
      <w:r w:rsidR="009A7D04" w:rsidRPr="001B2577">
        <w:rPr>
          <w:rFonts w:cs="Times New Roman"/>
        </w:rPr>
        <w:t xml:space="preserve"> PHP Application Form) and submit </w:t>
      </w:r>
      <w:r w:rsidRPr="001B2577">
        <w:rPr>
          <w:rFonts w:cs="Times New Roman"/>
        </w:rPr>
        <w:t xml:space="preserve">it to </w:t>
      </w:r>
      <w:r w:rsidR="00570DA0">
        <w:rPr>
          <w:rFonts w:cs="Times New Roman"/>
        </w:rPr>
        <w:t>their AA</w:t>
      </w:r>
      <w:r w:rsidRPr="001B2577">
        <w:rPr>
          <w:rFonts w:cs="Times New Roman"/>
        </w:rPr>
        <w:t xml:space="preserve">. </w:t>
      </w:r>
      <w:r w:rsidR="00570DA0">
        <w:rPr>
          <w:rFonts w:cs="Times New Roman"/>
        </w:rPr>
        <w:t>Their AA</w:t>
      </w:r>
      <w:r w:rsidRPr="001B2577">
        <w:rPr>
          <w:rFonts w:cs="Times New Roman"/>
        </w:rPr>
        <w:t xml:space="preserve"> will submit </w:t>
      </w:r>
      <w:r w:rsidR="000459F9" w:rsidRPr="001B2577">
        <w:rPr>
          <w:rFonts w:cs="Times New Roman"/>
        </w:rPr>
        <w:t>the application</w:t>
      </w:r>
      <w:r w:rsidRPr="001B2577">
        <w:rPr>
          <w:rFonts w:cs="Times New Roman"/>
        </w:rPr>
        <w:t xml:space="preserve"> to</w:t>
      </w:r>
      <w:r w:rsidR="009A7D04" w:rsidRPr="001B2577">
        <w:rPr>
          <w:rFonts w:cs="Times New Roman"/>
        </w:rPr>
        <w:t xml:space="preserve"> </w:t>
      </w:r>
      <w:hyperlink r:id="rId103" w:history="1">
        <w:r w:rsidR="0035052C" w:rsidRPr="001B2577">
          <w:rPr>
            <w:rStyle w:val="Hyperlink"/>
            <w:rFonts w:cs="Times New Roman"/>
          </w:rPr>
          <w:t>hivstdreport.tech@</w:t>
        </w:r>
        <w:r w:rsidR="00E83027">
          <w:rPr>
            <w:rStyle w:val="Hyperlink"/>
            <w:rFonts w:cs="Times New Roman"/>
          </w:rPr>
          <w:t>dshs.texas.gov</w:t>
        </w:r>
      </w:hyperlink>
      <w:r w:rsidR="006C5D92" w:rsidRPr="001B2577">
        <w:rPr>
          <w:rFonts w:cs="Times New Roman"/>
        </w:rPr>
        <w:t xml:space="preserve"> </w:t>
      </w:r>
      <w:r w:rsidR="009A7D04" w:rsidRPr="001B2577">
        <w:rPr>
          <w:rFonts w:cs="Times New Roman"/>
        </w:rPr>
        <w:t>on behalf of</w:t>
      </w:r>
      <w:r w:rsidR="00A7369A" w:rsidRPr="001B2577">
        <w:rPr>
          <w:rFonts w:cs="Times New Roman"/>
        </w:rPr>
        <w:t xml:space="preserve"> Project Sponsors for approval</w:t>
      </w:r>
      <w:r w:rsidRPr="001B2577">
        <w:rPr>
          <w:rFonts w:cs="Times New Roman"/>
        </w:rPr>
        <w:t>;</w:t>
      </w:r>
    </w:p>
    <w:p w14:paraId="4C545852" w14:textId="5BC93610" w:rsidR="009A7D04" w:rsidRPr="001B2577" w:rsidRDefault="009A7D04">
      <w:pPr>
        <w:pStyle w:val="NoSpacing"/>
        <w:numPr>
          <w:ilvl w:val="2"/>
          <w:numId w:val="42"/>
        </w:numPr>
        <w:rPr>
          <w:rFonts w:cs="Times New Roman"/>
        </w:rPr>
      </w:pPr>
      <w:r w:rsidRPr="001B2577">
        <w:rPr>
          <w:rFonts w:cs="Times New Roman"/>
        </w:rPr>
        <w:t xml:space="preserve">Obtain accounting technical assistance from the DSHS </w:t>
      </w:r>
      <w:r w:rsidR="008F22C9">
        <w:rPr>
          <w:rFonts w:cs="Times New Roman"/>
        </w:rPr>
        <w:t xml:space="preserve">Fiscal </w:t>
      </w:r>
      <w:r w:rsidR="00B92013">
        <w:rPr>
          <w:rFonts w:cs="Times New Roman"/>
        </w:rPr>
        <w:t>Support and Oversight</w:t>
      </w:r>
      <w:r w:rsidR="008F22C9">
        <w:rPr>
          <w:rFonts w:cs="Times New Roman"/>
        </w:rPr>
        <w:t xml:space="preserve"> (F</w:t>
      </w:r>
      <w:r w:rsidR="00B92013">
        <w:rPr>
          <w:rFonts w:cs="Times New Roman"/>
        </w:rPr>
        <w:t>SO</w:t>
      </w:r>
      <w:r w:rsidR="008F22C9">
        <w:rPr>
          <w:rFonts w:cs="Times New Roman"/>
        </w:rPr>
        <w:t>)</w:t>
      </w:r>
      <w:r w:rsidR="00B92013">
        <w:rPr>
          <w:rFonts w:cs="Times New Roman"/>
        </w:rPr>
        <w:t xml:space="preserve"> Unit</w:t>
      </w:r>
      <w:r w:rsidR="00851CAD" w:rsidRPr="001B2577">
        <w:rPr>
          <w:rFonts w:cs="Times New Roman"/>
        </w:rPr>
        <w:t>;</w:t>
      </w:r>
    </w:p>
    <w:p w14:paraId="099881F1" w14:textId="4EE45EA5" w:rsidR="009A7D04" w:rsidRPr="001B2577" w:rsidRDefault="009A7D04">
      <w:pPr>
        <w:pStyle w:val="NoSpacing"/>
        <w:numPr>
          <w:ilvl w:val="2"/>
          <w:numId w:val="42"/>
        </w:numPr>
        <w:rPr>
          <w:rFonts w:cs="Times New Roman"/>
          <w:b/>
        </w:rPr>
      </w:pPr>
      <w:r w:rsidRPr="001B2577">
        <w:rPr>
          <w:rFonts w:cs="Times New Roman"/>
        </w:rPr>
        <w:t xml:space="preserve">Follow the DSHS Accounting Guidelines for documenting PHP </w:t>
      </w:r>
      <w:r w:rsidR="00851CAD" w:rsidRPr="001B2577">
        <w:rPr>
          <w:rFonts w:cs="Times New Roman"/>
        </w:rPr>
        <w:t>services</w:t>
      </w:r>
      <w:r w:rsidR="006838BB">
        <w:rPr>
          <w:rFonts w:cs="Times New Roman"/>
        </w:rPr>
        <w:t xml:space="preserve"> (</w:t>
      </w:r>
      <w:r w:rsidR="006838BB" w:rsidRPr="006838BB">
        <w:rPr>
          <w:rFonts w:cs="Times New Roman"/>
        </w:rPr>
        <w:t>Appendix C: Permanent Housing Placement Accounting Guidelines</w:t>
      </w:r>
      <w:r w:rsidR="006838BB">
        <w:rPr>
          <w:rFonts w:cs="Times New Roman"/>
        </w:rPr>
        <w:t>)</w:t>
      </w:r>
      <w:r w:rsidR="00697CA7">
        <w:rPr>
          <w:rFonts w:cs="Times New Roman"/>
        </w:rPr>
        <w:t>; and</w:t>
      </w:r>
    </w:p>
    <w:p w14:paraId="34B09020" w14:textId="4969D94D" w:rsidR="001B2577" w:rsidRDefault="001B2577">
      <w:pPr>
        <w:pStyle w:val="ListParagraph"/>
        <w:numPr>
          <w:ilvl w:val="2"/>
          <w:numId w:val="42"/>
        </w:numPr>
        <w:spacing w:after="0" w:line="240" w:lineRule="auto"/>
        <w:rPr>
          <w:rFonts w:cs="Times New Roman"/>
        </w:rPr>
      </w:pPr>
      <w:r w:rsidRPr="001B2577">
        <w:rPr>
          <w:rFonts w:cs="Times New Roman"/>
        </w:rPr>
        <w:lastRenderedPageBreak/>
        <w:t>Submit revised Project Sponsor Data Sheets</w:t>
      </w:r>
      <w:r w:rsidR="00CD161F">
        <w:rPr>
          <w:rFonts w:cs="Times New Roman"/>
        </w:rPr>
        <w:t xml:space="preserve"> </w:t>
      </w:r>
      <w:r w:rsidR="00CD161F" w:rsidRPr="00CD161F">
        <w:rPr>
          <w:rStyle w:val="Hyperlink"/>
          <w:rFonts w:cs="Times New Roman"/>
          <w:color w:val="auto"/>
          <w:u w:val="none"/>
        </w:rPr>
        <w:t>(Appendix E: HOPWA Project Sponsor Data Sheet</w:t>
      </w:r>
      <w:r w:rsidR="00CD161F">
        <w:rPr>
          <w:rStyle w:val="Hyperlink"/>
          <w:rFonts w:cs="Times New Roman"/>
          <w:color w:val="auto"/>
          <w:u w:val="none"/>
        </w:rPr>
        <w:t>)</w:t>
      </w:r>
      <w:r w:rsidRPr="001B2577">
        <w:rPr>
          <w:rFonts w:cs="Times New Roman"/>
        </w:rPr>
        <w:t xml:space="preserve"> to</w:t>
      </w:r>
      <w:r w:rsidR="00CD161F">
        <w:rPr>
          <w:rFonts w:cs="Times New Roman"/>
        </w:rPr>
        <w:t xml:space="preserve"> </w:t>
      </w:r>
      <w:r w:rsidR="00570DA0">
        <w:rPr>
          <w:rFonts w:cs="Times New Roman"/>
        </w:rPr>
        <w:t>their AA</w:t>
      </w:r>
      <w:r w:rsidR="00CD161F">
        <w:rPr>
          <w:rFonts w:cs="Times New Roman"/>
        </w:rPr>
        <w:t xml:space="preserve">. </w:t>
      </w:r>
      <w:r w:rsidR="00570DA0">
        <w:rPr>
          <w:rFonts w:cs="Times New Roman"/>
        </w:rPr>
        <w:t>Their AA</w:t>
      </w:r>
      <w:r w:rsidR="00CD161F">
        <w:rPr>
          <w:rFonts w:cs="Times New Roman"/>
        </w:rPr>
        <w:t xml:space="preserve"> will submit the data sheet to</w:t>
      </w:r>
      <w:r w:rsidRPr="001B2577">
        <w:rPr>
          <w:rFonts w:cs="Times New Roman"/>
        </w:rPr>
        <w:t xml:space="preserve"> </w:t>
      </w:r>
      <w:hyperlink r:id="rId104" w:history="1">
        <w:r w:rsidRPr="001B2577">
          <w:rPr>
            <w:rStyle w:val="Hyperlink"/>
            <w:rFonts w:cs="Times New Roman"/>
          </w:rPr>
          <w:t>hivstdreport.tech@</w:t>
        </w:r>
        <w:r w:rsidR="00E83027">
          <w:rPr>
            <w:rStyle w:val="Hyperlink"/>
            <w:rFonts w:cs="Times New Roman"/>
          </w:rPr>
          <w:t>dshs.texas.gov</w:t>
        </w:r>
      </w:hyperlink>
      <w:r w:rsidR="00CD161F" w:rsidRPr="00CD161F">
        <w:rPr>
          <w:rFonts w:cs="Times New Roman"/>
        </w:rPr>
        <w:t xml:space="preserve"> on behalf of Project Sponsor</w:t>
      </w:r>
      <w:r w:rsidR="00F312BD">
        <w:rPr>
          <w:rFonts w:cs="Times New Roman"/>
        </w:rPr>
        <w:t>s</w:t>
      </w:r>
      <w:r w:rsidR="00CD161F" w:rsidRPr="00CD161F">
        <w:rPr>
          <w:rFonts w:cs="Times New Roman"/>
        </w:rPr>
        <w:t xml:space="preserve"> for approval.</w:t>
      </w:r>
    </w:p>
    <w:p w14:paraId="4209C047" w14:textId="77777777" w:rsidR="00557E21" w:rsidRPr="00557E21" w:rsidRDefault="00557E21">
      <w:pPr>
        <w:spacing w:after="0" w:line="240" w:lineRule="auto"/>
        <w:rPr>
          <w:rFonts w:cs="Times New Roman"/>
        </w:rPr>
      </w:pPr>
    </w:p>
    <w:p w14:paraId="7C5650DF" w14:textId="6641FE44" w:rsidR="004F672E" w:rsidRPr="001B2577" w:rsidRDefault="00217F21">
      <w:pPr>
        <w:pStyle w:val="NoSpacing"/>
        <w:numPr>
          <w:ilvl w:val="1"/>
          <w:numId w:val="42"/>
        </w:numPr>
        <w:rPr>
          <w:rFonts w:cs="Times New Roman"/>
          <w:b/>
          <w:u w:val="single"/>
        </w:rPr>
      </w:pPr>
      <w:r w:rsidRPr="001B2577">
        <w:rPr>
          <w:rFonts w:cs="Times New Roman"/>
          <w:b/>
          <w:u w:val="single"/>
        </w:rPr>
        <w:t>PHP Outcome Measures</w:t>
      </w:r>
    </w:p>
    <w:p w14:paraId="272C31E2" w14:textId="5F440C72" w:rsidR="007D6467" w:rsidRPr="00703F5C" w:rsidRDefault="007D6467" w:rsidP="007D6467">
      <w:pPr>
        <w:pStyle w:val="NoSpacing"/>
        <w:ind w:left="720"/>
        <w:rPr>
          <w:rFonts w:cs="Times New Roman"/>
        </w:rPr>
      </w:pPr>
      <w:r w:rsidRPr="00703F5C">
        <w:rPr>
          <w:rFonts w:cs="Times New Roman"/>
        </w:rPr>
        <w:t xml:space="preserve">To measure the effectiveness of </w:t>
      </w:r>
      <w:r>
        <w:rPr>
          <w:rFonts w:cs="Times New Roman"/>
        </w:rPr>
        <w:t>PHP</w:t>
      </w:r>
      <w:r w:rsidRPr="00703F5C">
        <w:rPr>
          <w:rFonts w:cs="Times New Roman"/>
        </w:rPr>
        <w:t xml:space="preserve"> services</w:t>
      </w:r>
      <w:r>
        <w:rPr>
          <w:rFonts w:cs="Times New Roman"/>
        </w:rPr>
        <w:t>,</w:t>
      </w:r>
      <w:r w:rsidRPr="00703F5C">
        <w:rPr>
          <w:rFonts w:cs="Times New Roman"/>
        </w:rPr>
        <w:t xml:space="preserve"> Project Sponsors record household </w:t>
      </w:r>
      <w:r>
        <w:rPr>
          <w:rFonts w:cs="Times New Roman"/>
        </w:rPr>
        <w:t>status</w:t>
      </w:r>
      <w:r w:rsidRPr="00703F5C">
        <w:rPr>
          <w:rFonts w:cs="Times New Roman"/>
        </w:rPr>
        <w:t xml:space="preserve"> outcomes on </w:t>
      </w:r>
      <w:r w:rsidRPr="00703F5C">
        <w:rPr>
          <w:rFonts w:cs="Times New Roman"/>
          <w:b/>
          <w:color w:val="5B9BD5" w:themeColor="accent1"/>
        </w:rPr>
        <w:t xml:space="preserve">Form P: Service Outcome Assessment and Program </w:t>
      </w:r>
      <w:r>
        <w:rPr>
          <w:rFonts w:cs="Times New Roman"/>
          <w:b/>
          <w:color w:val="5B9BD5" w:themeColor="accent1"/>
        </w:rPr>
        <w:t>Disenrollment</w:t>
      </w:r>
      <w:r w:rsidRPr="006A2577">
        <w:rPr>
          <w:rFonts w:cs="Times New Roman"/>
          <w:b/>
          <w:color w:val="5B9BD5" w:themeColor="accent1"/>
        </w:rPr>
        <w:t xml:space="preserve"> </w:t>
      </w:r>
      <w:r w:rsidRPr="00703F5C">
        <w:rPr>
          <w:rFonts w:cs="Times New Roman"/>
          <w:b/>
          <w:color w:val="5B9BD5" w:themeColor="accent1"/>
        </w:rPr>
        <w:t>Worksheet</w:t>
      </w:r>
      <w:r w:rsidRPr="00703F5C">
        <w:rPr>
          <w:rFonts w:cs="Times New Roman"/>
        </w:rPr>
        <w:t xml:space="preserve">. </w:t>
      </w:r>
      <w:r w:rsidR="00420B5B">
        <w:rPr>
          <w:rFonts w:cs="Times New Roman"/>
        </w:rPr>
        <w:t>Project Sponsors complete Form P</w:t>
      </w:r>
      <w:r w:rsidRPr="008817C3">
        <w:rPr>
          <w:rFonts w:cs="Times New Roman"/>
        </w:rPr>
        <w:t xml:space="preserve"> if the household will disenroll from the program or continue to the next annual eligibility period.</w:t>
      </w:r>
      <w:r>
        <w:rPr>
          <w:rFonts w:cs="Times New Roman"/>
        </w:rPr>
        <w:t xml:space="preserve"> </w:t>
      </w:r>
      <w:r w:rsidR="006F3FA8" w:rsidRPr="00ED208F">
        <w:rPr>
          <w:rFonts w:cs="Times New Roman"/>
        </w:rPr>
        <w:t xml:space="preserve">Additionally, Project Sponsors report </w:t>
      </w:r>
      <w:r w:rsidR="006F3FA8">
        <w:rPr>
          <w:rFonts w:cs="Times New Roman"/>
        </w:rPr>
        <w:t xml:space="preserve">household access to care outcomes; household sources of income; and household sources of medical insurance and/or assistance. </w:t>
      </w:r>
      <w:r w:rsidRPr="00703F5C">
        <w:rPr>
          <w:rFonts w:cs="Times New Roman"/>
        </w:rPr>
        <w:t>Outcome categories include:</w:t>
      </w:r>
    </w:p>
    <w:tbl>
      <w:tblPr>
        <w:tblStyle w:val="TableGrid15"/>
        <w:tblW w:w="10224" w:type="dxa"/>
        <w:tblInd w:w="720" w:type="dxa"/>
        <w:tblLook w:val="04A0" w:firstRow="1" w:lastRow="0" w:firstColumn="1" w:lastColumn="0" w:noHBand="0" w:noVBand="1"/>
      </w:tblPr>
      <w:tblGrid>
        <w:gridCol w:w="7015"/>
        <w:gridCol w:w="3209"/>
      </w:tblGrid>
      <w:tr w:rsidR="007D6467" w:rsidRPr="00692FFC" w14:paraId="6E337BBE" w14:textId="77777777" w:rsidTr="00640559">
        <w:trPr>
          <w:trHeight w:val="20"/>
        </w:trPr>
        <w:tc>
          <w:tcPr>
            <w:tcW w:w="7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tcPr>
          <w:p w14:paraId="6582714F" w14:textId="77777777" w:rsidR="007D6467" w:rsidRPr="00692FFC" w:rsidRDefault="007D6467" w:rsidP="00640559">
            <w:pPr>
              <w:rPr>
                <w:rFonts w:cs="Times New Roman"/>
                <w:b/>
              </w:rPr>
            </w:pPr>
            <w:r w:rsidRPr="00692FFC">
              <w:rPr>
                <w:rFonts w:cs="Times New Roman"/>
                <w:b/>
              </w:rPr>
              <w:t xml:space="preserve">Household </w:t>
            </w:r>
            <w:r>
              <w:rPr>
                <w:rFonts w:cs="Times New Roman"/>
                <w:b/>
              </w:rPr>
              <w:t>Status</w:t>
            </w:r>
          </w:p>
        </w:tc>
        <w:tc>
          <w:tcPr>
            <w:tcW w:w="32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vAlign w:val="center"/>
          </w:tcPr>
          <w:p w14:paraId="5841C51B" w14:textId="77777777" w:rsidR="007D6467" w:rsidRPr="00692FFC" w:rsidRDefault="007D6467" w:rsidP="00640559">
            <w:pPr>
              <w:jc w:val="center"/>
              <w:rPr>
                <w:rFonts w:cs="Times New Roman"/>
                <w:b/>
              </w:rPr>
            </w:pPr>
            <w:r w:rsidRPr="00692FFC">
              <w:rPr>
                <w:rFonts w:cs="Times New Roman"/>
                <w:b/>
              </w:rPr>
              <w:t>Outcome</w:t>
            </w:r>
          </w:p>
        </w:tc>
      </w:tr>
      <w:tr w:rsidR="007D6467" w:rsidRPr="00692FFC" w14:paraId="24FD4A60" w14:textId="77777777" w:rsidTr="00640559">
        <w:trPr>
          <w:trHeight w:val="20"/>
        </w:trPr>
        <w:tc>
          <w:tcPr>
            <w:tcW w:w="7015"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tcPr>
          <w:p w14:paraId="481F072F" w14:textId="274E7EDE" w:rsidR="007D6467" w:rsidRPr="00692FFC" w:rsidRDefault="007D6467" w:rsidP="007D6467">
            <w:pPr>
              <w:rPr>
                <w:rFonts w:cs="Times New Roman"/>
              </w:rPr>
            </w:pPr>
            <w:r w:rsidRPr="005A0E49">
              <w:t>Other HOPWA housing assistance</w:t>
            </w:r>
          </w:p>
        </w:tc>
        <w:tc>
          <w:tcPr>
            <w:tcW w:w="3209" w:type="dxa"/>
            <w:vMerge w:val="restart"/>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vAlign w:val="center"/>
          </w:tcPr>
          <w:p w14:paraId="696363EC" w14:textId="77777777" w:rsidR="007D6467" w:rsidRPr="00692FFC" w:rsidRDefault="007D6467" w:rsidP="007D6467">
            <w:pPr>
              <w:jc w:val="center"/>
              <w:rPr>
                <w:rFonts w:cs="Times New Roman"/>
                <w:i/>
              </w:rPr>
            </w:pPr>
            <w:r w:rsidRPr="00BE45F5">
              <w:rPr>
                <w:rFonts w:cs="Times New Roman"/>
                <w:i/>
              </w:rPr>
              <w:t>Stable/Permanent Housing</w:t>
            </w:r>
          </w:p>
        </w:tc>
      </w:tr>
      <w:tr w:rsidR="007D6467" w:rsidRPr="00692FFC" w14:paraId="6A4337B2" w14:textId="77777777" w:rsidTr="00640559">
        <w:trPr>
          <w:trHeight w:val="20"/>
        </w:trPr>
        <w:tc>
          <w:tcPr>
            <w:tcW w:w="701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241AFF19" w14:textId="1FC2BD39" w:rsidR="007D6467" w:rsidRPr="00692FFC" w:rsidRDefault="007D6467" w:rsidP="007D6467">
            <w:pPr>
              <w:rPr>
                <w:rFonts w:cs="Times New Roman"/>
              </w:rPr>
            </w:pPr>
            <w:r w:rsidRPr="005A0E49">
              <w:t>Other non-HOPWA housing assistance</w:t>
            </w:r>
          </w:p>
        </w:tc>
        <w:tc>
          <w:tcPr>
            <w:tcW w:w="3209" w:type="dxa"/>
            <w:vMerge/>
            <w:tcBorders>
              <w:top w:val="nil"/>
              <w:left w:val="single" w:sz="4" w:space="0" w:color="FFFFFF" w:themeColor="background1"/>
              <w:bottom w:val="nil"/>
              <w:right w:val="single" w:sz="4" w:space="0" w:color="FFFFFF" w:themeColor="background1"/>
            </w:tcBorders>
            <w:shd w:val="clear" w:color="auto" w:fill="DEEAF6" w:themeFill="accent1" w:themeFillTint="33"/>
            <w:vAlign w:val="center"/>
          </w:tcPr>
          <w:p w14:paraId="3AB91ABA" w14:textId="77777777" w:rsidR="007D6467" w:rsidRPr="00692FFC" w:rsidRDefault="007D6467" w:rsidP="007D6467">
            <w:pPr>
              <w:jc w:val="center"/>
              <w:rPr>
                <w:rFonts w:cs="Times New Roman"/>
                <w:i/>
              </w:rPr>
            </w:pPr>
          </w:p>
        </w:tc>
      </w:tr>
      <w:tr w:rsidR="007D6467" w:rsidRPr="00692FFC" w14:paraId="33D57DE8" w14:textId="77777777" w:rsidTr="00640559">
        <w:trPr>
          <w:trHeight w:val="20"/>
        </w:trPr>
        <w:tc>
          <w:tcPr>
            <w:tcW w:w="701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2FBC979C" w14:textId="5115ABC1" w:rsidR="007D6467" w:rsidRPr="00692FFC" w:rsidRDefault="007D6467" w:rsidP="007D6467">
            <w:pPr>
              <w:rPr>
                <w:rFonts w:cs="Times New Roman"/>
              </w:rPr>
            </w:pPr>
            <w:r w:rsidRPr="005A0E49">
              <w:t>Private housing without housing assistance</w:t>
            </w:r>
          </w:p>
        </w:tc>
        <w:tc>
          <w:tcPr>
            <w:tcW w:w="3209" w:type="dxa"/>
            <w:vMerge/>
            <w:tcBorders>
              <w:top w:val="nil"/>
              <w:left w:val="single" w:sz="4" w:space="0" w:color="FFFFFF" w:themeColor="background1"/>
              <w:bottom w:val="nil"/>
              <w:right w:val="single" w:sz="4" w:space="0" w:color="FFFFFF" w:themeColor="background1"/>
            </w:tcBorders>
            <w:shd w:val="clear" w:color="auto" w:fill="DEEAF6" w:themeFill="accent1" w:themeFillTint="33"/>
            <w:vAlign w:val="center"/>
          </w:tcPr>
          <w:p w14:paraId="7110FD62" w14:textId="77777777" w:rsidR="007D6467" w:rsidRPr="00692FFC" w:rsidRDefault="007D6467" w:rsidP="007D6467">
            <w:pPr>
              <w:jc w:val="center"/>
              <w:rPr>
                <w:rFonts w:cs="Times New Roman"/>
                <w:i/>
              </w:rPr>
            </w:pPr>
          </w:p>
        </w:tc>
      </w:tr>
    </w:tbl>
    <w:p w14:paraId="0CC46F6B" w14:textId="112E5A0B" w:rsidR="00217F21" w:rsidRPr="00217F21" w:rsidRDefault="00217F21">
      <w:pPr>
        <w:pStyle w:val="NoSpacing"/>
        <w:ind w:left="720"/>
        <w:rPr>
          <w:rFonts w:cs="Times New Roman"/>
        </w:rPr>
      </w:pPr>
    </w:p>
    <w:p w14:paraId="2BA612AF" w14:textId="77777777" w:rsidR="0082659C" w:rsidRDefault="0082659C">
      <w:pPr>
        <w:pStyle w:val="NoSpacing"/>
      </w:pPr>
    </w:p>
    <w:p w14:paraId="5876EBD5" w14:textId="1D63D206" w:rsidR="00F37AAB" w:rsidRDefault="00F37AAB" w:rsidP="00066B7E">
      <w:pPr>
        <w:pStyle w:val="Heading3"/>
      </w:pPr>
      <w:bookmarkStart w:id="41" w:name="_Toc140755474"/>
      <w:r>
        <w:t>Housing Case Management</w:t>
      </w:r>
      <w:r w:rsidR="00C80E60">
        <w:t xml:space="preserve"> </w:t>
      </w:r>
      <w:r w:rsidR="00A6672E">
        <w:t xml:space="preserve">(HCM) </w:t>
      </w:r>
      <w:r w:rsidR="00C80E60">
        <w:t>Services</w:t>
      </w:r>
      <w:bookmarkEnd w:id="41"/>
    </w:p>
    <w:p w14:paraId="647D320C" w14:textId="77777777" w:rsidR="007D2EAA" w:rsidRPr="0082659C" w:rsidRDefault="007D2EAA" w:rsidP="00754E9B">
      <w:pPr>
        <w:pStyle w:val="NoSpacing"/>
        <w:numPr>
          <w:ilvl w:val="1"/>
          <w:numId w:val="43"/>
        </w:numPr>
        <w:rPr>
          <w:rFonts w:cs="Times New Roman"/>
          <w:b/>
          <w:u w:val="single"/>
        </w:rPr>
      </w:pPr>
      <w:r w:rsidRPr="0082659C">
        <w:rPr>
          <w:rFonts w:cs="Times New Roman"/>
          <w:b/>
          <w:u w:val="single"/>
        </w:rPr>
        <w:t>Purpose</w:t>
      </w:r>
    </w:p>
    <w:p w14:paraId="4EE2DC46" w14:textId="4254C314" w:rsidR="007D2AB6" w:rsidRPr="007D2AB6" w:rsidRDefault="007D2AB6" w:rsidP="007D2AB6">
      <w:pPr>
        <w:pStyle w:val="NoSpacing"/>
        <w:ind w:left="720"/>
        <w:rPr>
          <w:rFonts w:cs="Times New Roman"/>
        </w:rPr>
      </w:pPr>
      <w:r w:rsidRPr="007D2AB6">
        <w:rPr>
          <w:rFonts w:cs="Times New Roman"/>
        </w:rPr>
        <w:t xml:space="preserve">Per 24 CFR §574.300, </w:t>
      </w:r>
      <w:r w:rsidR="00BC02C5">
        <w:rPr>
          <w:rFonts w:cs="Times New Roman"/>
        </w:rPr>
        <w:t>S</w:t>
      </w:r>
      <w:r w:rsidRPr="007D2AB6">
        <w:rPr>
          <w:rFonts w:cs="Times New Roman"/>
        </w:rPr>
        <w:t xml:space="preserve">upportive </w:t>
      </w:r>
      <w:r w:rsidR="00BC02C5">
        <w:rPr>
          <w:rFonts w:cs="Times New Roman"/>
        </w:rPr>
        <w:t>S</w:t>
      </w:r>
      <w:r w:rsidRPr="007D2AB6">
        <w:rPr>
          <w:rFonts w:cs="Times New Roman"/>
        </w:rPr>
        <w:t xml:space="preserve">ervices include health, mental health, assessment, substance use treatment and counseling, day care, personal assistance, nutritional services, intensive care </w:t>
      </w:r>
      <w:r w:rsidR="00FD5ABA">
        <w:rPr>
          <w:rFonts w:cs="Times New Roman"/>
        </w:rPr>
        <w:t>if required</w:t>
      </w:r>
      <w:r w:rsidRPr="007D2AB6">
        <w:rPr>
          <w:rFonts w:cs="Times New Roman"/>
        </w:rPr>
        <w:t xml:space="preserve">, and assistance in gaining access to local, State, and Federal government benefits and services, except that </w:t>
      </w:r>
      <w:r w:rsidR="000A62FE">
        <w:rPr>
          <w:rFonts w:cs="Times New Roman"/>
        </w:rPr>
        <w:t xml:space="preserve">Project Sponsors may only provide </w:t>
      </w:r>
      <w:r w:rsidRPr="007D2AB6">
        <w:rPr>
          <w:rFonts w:cs="Times New Roman"/>
        </w:rPr>
        <w:t xml:space="preserve">health services to </w:t>
      </w:r>
      <w:r w:rsidR="008E2805">
        <w:rPr>
          <w:rFonts w:cs="Times New Roman"/>
        </w:rPr>
        <w:t>persons</w:t>
      </w:r>
      <w:r w:rsidR="00FF38DC">
        <w:rPr>
          <w:rFonts w:cs="Times New Roman"/>
        </w:rPr>
        <w:t xml:space="preserve"> living</w:t>
      </w:r>
      <w:r w:rsidR="008E2805">
        <w:rPr>
          <w:rFonts w:cs="Times New Roman"/>
        </w:rPr>
        <w:t xml:space="preserve"> with HIV</w:t>
      </w:r>
      <w:r w:rsidRPr="007D2AB6">
        <w:rPr>
          <w:rFonts w:cs="Times New Roman"/>
        </w:rPr>
        <w:t xml:space="preserve"> and not to other household members. </w:t>
      </w:r>
      <w:r w:rsidR="000A62FE">
        <w:rPr>
          <w:rFonts w:cs="Times New Roman"/>
        </w:rPr>
        <w:t xml:space="preserve">Project Sponsors may provide </w:t>
      </w:r>
      <w:r w:rsidRPr="007D2AB6">
        <w:rPr>
          <w:rFonts w:cs="Times New Roman"/>
        </w:rPr>
        <w:t>Supportive Services in conjunction with HOPWA housing assistance services (TBRA, STRMU, FBHA, and PHP) or as a standalone service (Supportive Services Only).</w:t>
      </w:r>
      <w:r w:rsidR="00D05240" w:rsidRPr="00D05240">
        <w:rPr>
          <w:rFonts w:cs="Times New Roman"/>
        </w:rPr>
        <w:t xml:space="preserve"> </w:t>
      </w:r>
      <w:r w:rsidR="00D05240" w:rsidRPr="007D2AB6">
        <w:rPr>
          <w:rFonts w:cs="Times New Roman"/>
        </w:rPr>
        <w:t xml:space="preserve">The DSHS HOPWA Program currently limits the use of Supportive Service funds to </w:t>
      </w:r>
      <w:r w:rsidR="00D05240">
        <w:rPr>
          <w:rFonts w:cs="Times New Roman"/>
        </w:rPr>
        <w:t>H</w:t>
      </w:r>
      <w:r w:rsidR="00D05240" w:rsidRPr="007D2AB6">
        <w:rPr>
          <w:rFonts w:cs="Times New Roman"/>
        </w:rPr>
        <w:t xml:space="preserve">ousing </w:t>
      </w:r>
      <w:r w:rsidR="00D05240">
        <w:rPr>
          <w:rFonts w:cs="Times New Roman"/>
        </w:rPr>
        <w:t>C</w:t>
      </w:r>
      <w:r w:rsidR="00D05240" w:rsidRPr="007D2AB6">
        <w:rPr>
          <w:rFonts w:cs="Times New Roman"/>
        </w:rPr>
        <w:t xml:space="preserve">ase </w:t>
      </w:r>
      <w:r w:rsidR="00D05240">
        <w:rPr>
          <w:rFonts w:cs="Times New Roman"/>
        </w:rPr>
        <w:t>M</w:t>
      </w:r>
      <w:r w:rsidR="00D05240" w:rsidRPr="007D2AB6">
        <w:rPr>
          <w:rFonts w:cs="Times New Roman"/>
        </w:rPr>
        <w:t>anagement</w:t>
      </w:r>
      <w:r w:rsidR="00D05240">
        <w:rPr>
          <w:rFonts w:cs="Times New Roman"/>
        </w:rPr>
        <w:t xml:space="preserve"> (HCM)</w:t>
      </w:r>
      <w:r w:rsidR="00D05240" w:rsidRPr="007D2AB6">
        <w:rPr>
          <w:rFonts w:cs="Times New Roman"/>
        </w:rPr>
        <w:t>.</w:t>
      </w:r>
    </w:p>
    <w:p w14:paraId="70293987" w14:textId="77777777" w:rsidR="007D2AB6" w:rsidRPr="007D2AB6" w:rsidRDefault="007D2AB6" w:rsidP="007D2AB6">
      <w:pPr>
        <w:pStyle w:val="NoSpacing"/>
        <w:ind w:left="720"/>
        <w:rPr>
          <w:rFonts w:cs="Times New Roman"/>
        </w:rPr>
      </w:pPr>
    </w:p>
    <w:p w14:paraId="7890D08C" w14:textId="18E4D961" w:rsidR="007D2AB6" w:rsidRDefault="007D2AB6" w:rsidP="007D2AB6">
      <w:pPr>
        <w:pStyle w:val="NoSpacing"/>
        <w:ind w:left="720"/>
        <w:rPr>
          <w:rFonts w:cs="Times New Roman"/>
        </w:rPr>
      </w:pPr>
      <w:r w:rsidRPr="007D2AB6">
        <w:rPr>
          <w:rFonts w:cs="Times New Roman"/>
        </w:rPr>
        <w:t xml:space="preserve">As described in 24 CFR §574.500(b), Project Sponsors must conduct ongoing assessments of the housing assistance and supportive services required by </w:t>
      </w:r>
      <w:r w:rsidR="00B95ADF">
        <w:rPr>
          <w:rFonts w:cs="Times New Roman"/>
        </w:rPr>
        <w:t xml:space="preserve">participant </w:t>
      </w:r>
      <w:r w:rsidR="009C621C">
        <w:rPr>
          <w:rFonts w:cs="Times New Roman"/>
        </w:rPr>
        <w:t>households and</w:t>
      </w:r>
      <w:r w:rsidR="00926899">
        <w:rPr>
          <w:rFonts w:cs="Times New Roman"/>
        </w:rPr>
        <w:t xml:space="preserve"> </w:t>
      </w:r>
      <w:r w:rsidRPr="007D2AB6">
        <w:rPr>
          <w:rFonts w:cs="Times New Roman"/>
        </w:rPr>
        <w:t xml:space="preserve">must </w:t>
      </w:r>
      <w:r w:rsidR="009306F7">
        <w:rPr>
          <w:rFonts w:cs="Times New Roman"/>
        </w:rPr>
        <w:t>make available</w:t>
      </w:r>
      <w:r w:rsidRPr="007D2AB6">
        <w:rPr>
          <w:rFonts w:cs="Times New Roman"/>
        </w:rPr>
        <w:t xml:space="preserve"> adequate supportive services to </w:t>
      </w:r>
      <w:r w:rsidR="00926899">
        <w:rPr>
          <w:rFonts w:cs="Times New Roman"/>
        </w:rPr>
        <w:t>these households</w:t>
      </w:r>
      <w:r w:rsidRPr="007D2AB6">
        <w:rPr>
          <w:rFonts w:cs="Times New Roman"/>
        </w:rPr>
        <w:t>.</w:t>
      </w:r>
      <w:r w:rsidR="00926899">
        <w:rPr>
          <w:rFonts w:cs="Times New Roman"/>
        </w:rPr>
        <w:t xml:space="preserve"> At their discretion, </w:t>
      </w:r>
      <w:r w:rsidR="00926899" w:rsidRPr="007D2AB6">
        <w:rPr>
          <w:rFonts w:cs="Times New Roman"/>
        </w:rPr>
        <w:t xml:space="preserve">Project Sponsors </w:t>
      </w:r>
      <w:r w:rsidR="00926899">
        <w:rPr>
          <w:rFonts w:cs="Times New Roman"/>
        </w:rPr>
        <w:t>may</w:t>
      </w:r>
      <w:r w:rsidR="00926899" w:rsidRPr="007D2AB6">
        <w:rPr>
          <w:rFonts w:cs="Times New Roman"/>
        </w:rPr>
        <w:t xml:space="preserve"> </w:t>
      </w:r>
      <w:r w:rsidR="00B95ADF">
        <w:rPr>
          <w:rFonts w:cs="Times New Roman"/>
        </w:rPr>
        <w:t xml:space="preserve">provide HOPWA-funded or leveraged </w:t>
      </w:r>
      <w:r w:rsidR="00926899">
        <w:rPr>
          <w:rFonts w:cs="Times New Roman"/>
        </w:rPr>
        <w:t>supportive</w:t>
      </w:r>
      <w:r w:rsidR="00926899" w:rsidRPr="007D2AB6">
        <w:rPr>
          <w:rFonts w:cs="Times New Roman"/>
        </w:rPr>
        <w:t xml:space="preserve"> services directly</w:t>
      </w:r>
      <w:r w:rsidR="00D05240">
        <w:rPr>
          <w:rFonts w:cs="Times New Roman"/>
        </w:rPr>
        <w:t xml:space="preserve"> and </w:t>
      </w:r>
      <w:r w:rsidR="00926899">
        <w:rPr>
          <w:rFonts w:cs="Times New Roman"/>
        </w:rPr>
        <w:t xml:space="preserve">connect </w:t>
      </w:r>
      <w:r w:rsidR="00B95ADF">
        <w:rPr>
          <w:rFonts w:cs="Times New Roman"/>
        </w:rPr>
        <w:t xml:space="preserve">participant </w:t>
      </w:r>
      <w:r w:rsidR="00926899">
        <w:rPr>
          <w:rFonts w:cs="Times New Roman"/>
        </w:rPr>
        <w:t xml:space="preserve">households with </w:t>
      </w:r>
      <w:r w:rsidR="00B95ADF">
        <w:rPr>
          <w:rFonts w:cs="Times New Roman"/>
        </w:rPr>
        <w:t>other</w:t>
      </w:r>
      <w:r w:rsidR="00926899" w:rsidRPr="007D2AB6">
        <w:rPr>
          <w:rFonts w:cs="Times New Roman"/>
        </w:rPr>
        <w:t xml:space="preserve"> supportive services </w:t>
      </w:r>
      <w:r w:rsidR="00926899">
        <w:rPr>
          <w:rFonts w:cs="Times New Roman"/>
        </w:rPr>
        <w:t>available in the community</w:t>
      </w:r>
      <w:r w:rsidR="00B95ADF">
        <w:rPr>
          <w:rFonts w:cs="Times New Roman"/>
        </w:rPr>
        <w:t>.</w:t>
      </w:r>
    </w:p>
    <w:p w14:paraId="1A590366" w14:textId="77777777" w:rsidR="007D2AB6" w:rsidRPr="007D2AB6" w:rsidRDefault="007D2AB6" w:rsidP="007D2AB6">
      <w:pPr>
        <w:pStyle w:val="NoSpacing"/>
        <w:ind w:left="720"/>
        <w:rPr>
          <w:rFonts w:cs="Times New Roman"/>
        </w:rPr>
      </w:pPr>
    </w:p>
    <w:p w14:paraId="2B328CC3" w14:textId="05C45C99" w:rsidR="003F0415" w:rsidRDefault="00542CF6" w:rsidP="00066B7E">
      <w:pPr>
        <w:pStyle w:val="NoSpacing"/>
        <w:ind w:left="720"/>
        <w:rPr>
          <w:rFonts w:cs="Times New Roman"/>
        </w:rPr>
      </w:pPr>
      <w:r>
        <w:rPr>
          <w:rFonts w:cs="Times New Roman"/>
        </w:rPr>
        <w:t xml:space="preserve">Per HUD’s </w:t>
      </w:r>
      <w:hyperlink r:id="rId105" w:history="1">
        <w:r w:rsidRPr="00542CF6">
          <w:rPr>
            <w:rStyle w:val="Hyperlink"/>
            <w:rFonts w:cs="Times New Roman"/>
          </w:rPr>
          <w:t>HOPWA Rental Assistance Guidebook</w:t>
        </w:r>
      </w:hyperlink>
      <w:r>
        <w:rPr>
          <w:rFonts w:cs="Times New Roman"/>
        </w:rPr>
        <w:t xml:space="preserve"> (pages 36 – </w:t>
      </w:r>
      <w:r w:rsidR="00F4698C">
        <w:rPr>
          <w:rFonts w:cs="Times New Roman"/>
        </w:rPr>
        <w:t>37</w:t>
      </w:r>
      <w:r>
        <w:rPr>
          <w:rFonts w:cs="Times New Roman"/>
        </w:rPr>
        <w:t>)</w:t>
      </w:r>
      <w:r w:rsidR="00C80E60">
        <w:rPr>
          <w:rFonts w:cs="Times New Roman"/>
        </w:rPr>
        <w:t xml:space="preserve">, </w:t>
      </w:r>
      <w:r w:rsidR="00D77584">
        <w:rPr>
          <w:rFonts w:cs="Times New Roman"/>
        </w:rPr>
        <w:t>HCM</w:t>
      </w:r>
      <w:r w:rsidR="003F0415" w:rsidRPr="003F0415">
        <w:rPr>
          <w:rFonts w:cs="Times New Roman"/>
        </w:rPr>
        <w:t xml:space="preserve"> </w:t>
      </w:r>
      <w:r w:rsidR="00D05240">
        <w:rPr>
          <w:rFonts w:cs="Times New Roman"/>
        </w:rPr>
        <w:t>plays</w:t>
      </w:r>
      <w:r w:rsidR="003F0415" w:rsidRPr="003F0415">
        <w:rPr>
          <w:rFonts w:cs="Times New Roman"/>
        </w:rPr>
        <w:t xml:space="preserve"> </w:t>
      </w:r>
      <w:r w:rsidR="007B306B">
        <w:rPr>
          <w:rFonts w:cs="Times New Roman"/>
        </w:rPr>
        <w:t>a</w:t>
      </w:r>
      <w:r w:rsidR="00D05240">
        <w:rPr>
          <w:rFonts w:cs="Times New Roman"/>
        </w:rPr>
        <w:t xml:space="preserve"> vital role in </w:t>
      </w:r>
      <w:r w:rsidR="003F0415" w:rsidRPr="003F0415">
        <w:rPr>
          <w:rFonts w:cs="Times New Roman"/>
        </w:rPr>
        <w:t xml:space="preserve">HOPWA </w:t>
      </w:r>
      <w:r w:rsidR="00BC02C5">
        <w:rPr>
          <w:rFonts w:cs="Times New Roman"/>
        </w:rPr>
        <w:t>S</w:t>
      </w:r>
      <w:r w:rsidR="003F0415" w:rsidRPr="003F0415">
        <w:rPr>
          <w:rFonts w:cs="Times New Roman"/>
        </w:rPr>
        <w:t xml:space="preserve">upportive </w:t>
      </w:r>
      <w:r w:rsidR="00BC02C5">
        <w:rPr>
          <w:rFonts w:cs="Times New Roman"/>
        </w:rPr>
        <w:t>S</w:t>
      </w:r>
      <w:r w:rsidR="003F0415" w:rsidRPr="003F0415">
        <w:rPr>
          <w:rFonts w:cs="Times New Roman"/>
        </w:rPr>
        <w:t>ervices</w:t>
      </w:r>
      <w:r w:rsidR="008E4589">
        <w:rPr>
          <w:rFonts w:cs="Times New Roman"/>
        </w:rPr>
        <w:t xml:space="preserve"> and</w:t>
      </w:r>
      <w:r w:rsidR="003F0415" w:rsidRPr="003F0415">
        <w:rPr>
          <w:rFonts w:cs="Times New Roman"/>
        </w:rPr>
        <w:t xml:space="preserve"> </w:t>
      </w:r>
      <w:r w:rsidR="008E4589">
        <w:rPr>
          <w:rFonts w:cs="Times New Roman"/>
        </w:rPr>
        <w:t>e</w:t>
      </w:r>
      <w:r w:rsidR="00D05240">
        <w:rPr>
          <w:rFonts w:cs="Times New Roman"/>
        </w:rPr>
        <w:t>ffective implementation of HCM can contribute to su</w:t>
      </w:r>
      <w:r w:rsidR="00D05240" w:rsidRPr="003F0415">
        <w:rPr>
          <w:rFonts w:cs="Times New Roman"/>
        </w:rPr>
        <w:t>ccessful</w:t>
      </w:r>
      <w:r w:rsidR="003F0415" w:rsidRPr="003F0415">
        <w:rPr>
          <w:rFonts w:cs="Times New Roman"/>
        </w:rPr>
        <w:t xml:space="preserve"> program outcomes for housing stability and access to care. </w:t>
      </w:r>
      <w:r w:rsidR="00303EA1" w:rsidRPr="00303EA1">
        <w:rPr>
          <w:rFonts w:cs="Times New Roman"/>
        </w:rPr>
        <w:t xml:space="preserve">“Housing case management” </w:t>
      </w:r>
      <w:r w:rsidR="00C13E14">
        <w:rPr>
          <w:rFonts w:cs="Times New Roman"/>
        </w:rPr>
        <w:t>primarily centers around matters related to housing</w:t>
      </w:r>
      <w:r w:rsidR="00303EA1" w:rsidRPr="00303EA1">
        <w:rPr>
          <w:rFonts w:cs="Times New Roman"/>
        </w:rPr>
        <w:t xml:space="preserve"> issues, including housing options, stability, and goals.</w:t>
      </w:r>
      <w:r w:rsidR="00303EA1">
        <w:rPr>
          <w:rFonts w:cs="Times New Roman"/>
        </w:rPr>
        <w:t xml:space="preserve"> T</w:t>
      </w:r>
      <w:r w:rsidR="00303EA1" w:rsidRPr="003F0415">
        <w:rPr>
          <w:rFonts w:cs="Times New Roman"/>
        </w:rPr>
        <w:t>he core functions of</w:t>
      </w:r>
      <w:r w:rsidR="00C80E60">
        <w:rPr>
          <w:rFonts w:cs="Times New Roman"/>
        </w:rPr>
        <w:t xml:space="preserve"> </w:t>
      </w:r>
      <w:r w:rsidR="00D77584">
        <w:rPr>
          <w:rFonts w:cs="Times New Roman"/>
        </w:rPr>
        <w:t>HCM</w:t>
      </w:r>
      <w:r w:rsidR="00303EA1" w:rsidRPr="003F0415">
        <w:rPr>
          <w:rFonts w:cs="Times New Roman"/>
        </w:rPr>
        <w:t xml:space="preserve"> should include </w:t>
      </w:r>
      <w:r w:rsidR="00303EA1">
        <w:rPr>
          <w:rFonts w:cs="Times New Roman"/>
        </w:rPr>
        <w:t xml:space="preserve">engagement, assessment, </w:t>
      </w:r>
      <w:proofErr w:type="gramStart"/>
      <w:r w:rsidR="00303EA1">
        <w:rPr>
          <w:rFonts w:cs="Times New Roman"/>
        </w:rPr>
        <w:t>goal-setting</w:t>
      </w:r>
      <w:proofErr w:type="gramEnd"/>
      <w:r w:rsidR="00303EA1">
        <w:rPr>
          <w:rFonts w:cs="Times New Roman"/>
        </w:rPr>
        <w:t xml:space="preserve">, service coordination, and discharge planning. </w:t>
      </w:r>
      <w:r w:rsidR="003F0415" w:rsidRPr="003F0415">
        <w:rPr>
          <w:rFonts w:cs="Times New Roman"/>
        </w:rPr>
        <w:t xml:space="preserve">All </w:t>
      </w:r>
      <w:r>
        <w:rPr>
          <w:rFonts w:cs="Times New Roman"/>
        </w:rPr>
        <w:t>Project Sponsors</w:t>
      </w:r>
      <w:r w:rsidR="003F0415" w:rsidRPr="003F0415">
        <w:rPr>
          <w:rFonts w:cs="Times New Roman"/>
        </w:rPr>
        <w:t xml:space="preserve"> should make </w:t>
      </w:r>
      <w:r w:rsidR="00D77584">
        <w:rPr>
          <w:rFonts w:cs="Times New Roman"/>
        </w:rPr>
        <w:t>HCM</w:t>
      </w:r>
      <w:r w:rsidR="003F0415" w:rsidRPr="003F0415">
        <w:rPr>
          <w:rFonts w:cs="Times New Roman"/>
        </w:rPr>
        <w:t xml:space="preserve"> available to </w:t>
      </w:r>
      <w:r>
        <w:rPr>
          <w:rFonts w:cs="Times New Roman"/>
        </w:rPr>
        <w:t xml:space="preserve">households and </w:t>
      </w:r>
      <w:r w:rsidR="003F0415" w:rsidRPr="003F0415">
        <w:rPr>
          <w:rFonts w:cs="Times New Roman"/>
        </w:rPr>
        <w:t xml:space="preserve">encourage </w:t>
      </w:r>
      <w:r>
        <w:rPr>
          <w:rFonts w:cs="Times New Roman"/>
        </w:rPr>
        <w:t>households</w:t>
      </w:r>
      <w:r w:rsidR="003F0415" w:rsidRPr="003F0415">
        <w:rPr>
          <w:rFonts w:cs="Times New Roman"/>
        </w:rPr>
        <w:t xml:space="preserve"> to make use of this service. </w:t>
      </w:r>
      <w:bookmarkStart w:id="42" w:name="_Hlk140800821"/>
      <w:r w:rsidR="003F0415" w:rsidRPr="003F0415">
        <w:rPr>
          <w:rFonts w:cs="Times New Roman"/>
        </w:rPr>
        <w:t xml:space="preserve">The intensity or level of </w:t>
      </w:r>
      <w:r w:rsidR="00F6186B">
        <w:rPr>
          <w:rFonts w:cs="Times New Roman"/>
        </w:rPr>
        <w:t xml:space="preserve">housing </w:t>
      </w:r>
      <w:r w:rsidR="003F0415" w:rsidRPr="003F0415">
        <w:rPr>
          <w:rFonts w:cs="Times New Roman"/>
        </w:rPr>
        <w:t xml:space="preserve">case management </w:t>
      </w:r>
      <w:r w:rsidR="00303EA1">
        <w:rPr>
          <w:rFonts w:cs="Times New Roman"/>
        </w:rPr>
        <w:t>that a Project Sponsor provides</w:t>
      </w:r>
      <w:r w:rsidR="003F0415" w:rsidRPr="003F0415">
        <w:rPr>
          <w:rFonts w:cs="Times New Roman"/>
        </w:rPr>
        <w:t xml:space="preserve"> to </w:t>
      </w:r>
      <w:r>
        <w:rPr>
          <w:rFonts w:cs="Times New Roman"/>
        </w:rPr>
        <w:t>a household</w:t>
      </w:r>
      <w:r w:rsidR="003F0415" w:rsidRPr="003F0415">
        <w:rPr>
          <w:rFonts w:cs="Times New Roman"/>
        </w:rPr>
        <w:t xml:space="preserve"> </w:t>
      </w:r>
      <w:r>
        <w:rPr>
          <w:rFonts w:cs="Times New Roman"/>
        </w:rPr>
        <w:t>will depend</w:t>
      </w:r>
      <w:r w:rsidR="003F0415" w:rsidRPr="003F0415">
        <w:rPr>
          <w:rFonts w:cs="Times New Roman"/>
        </w:rPr>
        <w:t xml:space="preserve"> on </w:t>
      </w:r>
      <w:r w:rsidR="00303EA1">
        <w:rPr>
          <w:rFonts w:cs="Times New Roman"/>
        </w:rPr>
        <w:t>the household’s</w:t>
      </w:r>
      <w:r>
        <w:rPr>
          <w:rFonts w:cs="Times New Roman"/>
        </w:rPr>
        <w:t xml:space="preserve"> </w:t>
      </w:r>
      <w:r w:rsidR="00303EA1">
        <w:rPr>
          <w:rFonts w:cs="Times New Roman"/>
        </w:rPr>
        <w:t xml:space="preserve">assessed </w:t>
      </w:r>
      <w:r>
        <w:rPr>
          <w:rFonts w:cs="Times New Roman"/>
        </w:rPr>
        <w:t>level of need</w:t>
      </w:r>
      <w:r w:rsidR="0005060C">
        <w:rPr>
          <w:rFonts w:cs="Times New Roman"/>
        </w:rPr>
        <w:t>.</w:t>
      </w:r>
      <w:bookmarkEnd w:id="42"/>
    </w:p>
    <w:p w14:paraId="08AC49CC" w14:textId="77777777" w:rsidR="000530C1" w:rsidRPr="003F0415" w:rsidRDefault="000530C1" w:rsidP="00066B7E">
      <w:pPr>
        <w:pStyle w:val="NoSpacing"/>
        <w:ind w:left="720"/>
        <w:rPr>
          <w:rFonts w:cs="Times New Roman"/>
        </w:rPr>
      </w:pPr>
    </w:p>
    <w:p w14:paraId="5D624409" w14:textId="6B2210C0" w:rsidR="007D2EAA" w:rsidRPr="0082659C" w:rsidRDefault="00552F24" w:rsidP="00754E9B">
      <w:pPr>
        <w:pStyle w:val="NoSpacing"/>
        <w:numPr>
          <w:ilvl w:val="1"/>
          <w:numId w:val="43"/>
        </w:numPr>
        <w:rPr>
          <w:rFonts w:cs="Times New Roman"/>
          <w:b/>
          <w:u w:val="single"/>
        </w:rPr>
      </w:pPr>
      <w:r w:rsidRPr="0082659C">
        <w:rPr>
          <w:rFonts w:cs="Times New Roman"/>
          <w:b/>
          <w:u w:val="single"/>
        </w:rPr>
        <w:t>Eligible Costs</w:t>
      </w:r>
    </w:p>
    <w:p w14:paraId="59B593F8" w14:textId="4D20EFC1" w:rsidR="00803B9B" w:rsidRDefault="0096731F" w:rsidP="002A61C8">
      <w:pPr>
        <w:pStyle w:val="NoSpacing"/>
        <w:ind w:left="720"/>
        <w:rPr>
          <w:rFonts w:cs="Times New Roman"/>
        </w:rPr>
      </w:pPr>
      <w:r w:rsidRPr="0096731F">
        <w:rPr>
          <w:rFonts w:cs="Times New Roman"/>
        </w:rPr>
        <w:t xml:space="preserve">Generally, </w:t>
      </w:r>
      <w:r>
        <w:rPr>
          <w:rFonts w:cs="Times New Roman"/>
        </w:rPr>
        <w:t>HCM</w:t>
      </w:r>
      <w:r w:rsidRPr="0096731F">
        <w:rPr>
          <w:rFonts w:cs="Times New Roman"/>
        </w:rPr>
        <w:t xml:space="preserve"> costs include personnel, travel, equipment, and supplies. Costs must be </w:t>
      </w:r>
      <w:r w:rsidR="00D47D01">
        <w:rPr>
          <w:rFonts w:cs="Times New Roman"/>
        </w:rPr>
        <w:t xml:space="preserve">necessary, </w:t>
      </w:r>
      <w:r w:rsidRPr="0096731F">
        <w:rPr>
          <w:rFonts w:cs="Times New Roman"/>
        </w:rPr>
        <w:t>reasonable, allowable, documented</w:t>
      </w:r>
      <w:r>
        <w:rPr>
          <w:rFonts w:cs="Times New Roman"/>
        </w:rPr>
        <w:t>,</w:t>
      </w:r>
      <w:r w:rsidRPr="0096731F">
        <w:rPr>
          <w:rFonts w:cs="Times New Roman"/>
        </w:rPr>
        <w:t xml:space="preserve"> and allocable to </w:t>
      </w:r>
      <w:r>
        <w:rPr>
          <w:rFonts w:cs="Times New Roman"/>
        </w:rPr>
        <w:t>HCM</w:t>
      </w:r>
      <w:r w:rsidRPr="0096731F">
        <w:rPr>
          <w:rFonts w:cs="Times New Roman"/>
        </w:rPr>
        <w:t xml:space="preserve">. </w:t>
      </w:r>
      <w:r>
        <w:rPr>
          <w:rFonts w:cs="Times New Roman"/>
        </w:rPr>
        <w:t>HCM</w:t>
      </w:r>
      <w:r w:rsidRPr="0096731F">
        <w:rPr>
          <w:rFonts w:cs="Times New Roman"/>
        </w:rPr>
        <w:t xml:space="preserve"> service delivery </w:t>
      </w:r>
      <w:r w:rsidR="0026256B" w:rsidRPr="0026256B">
        <w:rPr>
          <w:rFonts w:cs="Times New Roman"/>
        </w:rPr>
        <w:t xml:space="preserve">activities </w:t>
      </w:r>
      <w:r w:rsidRPr="0096731F">
        <w:rPr>
          <w:rFonts w:cs="Times New Roman"/>
        </w:rPr>
        <w:t>may include</w:t>
      </w:r>
      <w:r w:rsidR="00803B9B">
        <w:rPr>
          <w:rFonts w:cs="Times New Roman"/>
        </w:rPr>
        <w:t>:</w:t>
      </w:r>
    </w:p>
    <w:p w14:paraId="73599320" w14:textId="77777777" w:rsidR="006B40A6" w:rsidRPr="002428DE" w:rsidRDefault="006B40A6" w:rsidP="002A61C8">
      <w:pPr>
        <w:pStyle w:val="NoSpacing"/>
        <w:numPr>
          <w:ilvl w:val="0"/>
          <w:numId w:val="150"/>
        </w:numPr>
        <w:ind w:left="1440"/>
        <w:rPr>
          <w:rFonts w:ascii="Calibri" w:hAnsi="Calibri" w:cs="Calibri"/>
          <w:szCs w:val="20"/>
        </w:rPr>
      </w:pPr>
      <w:r w:rsidRPr="002428DE">
        <w:rPr>
          <w:rFonts w:ascii="Calibri" w:hAnsi="Calibri" w:cs="Calibri"/>
          <w:szCs w:val="20"/>
        </w:rPr>
        <w:t>Assessing housing status, primary housing barriers, and other needs</w:t>
      </w:r>
    </w:p>
    <w:p w14:paraId="4E6E1CDF" w14:textId="77777777" w:rsidR="006B40A6" w:rsidRPr="005D2A73" w:rsidRDefault="006B40A6" w:rsidP="002A61C8">
      <w:pPr>
        <w:pStyle w:val="NoSpacing"/>
        <w:numPr>
          <w:ilvl w:val="0"/>
          <w:numId w:val="150"/>
        </w:numPr>
        <w:ind w:left="1440"/>
        <w:rPr>
          <w:rFonts w:ascii="Calibri" w:hAnsi="Calibri" w:cs="Calibri"/>
          <w:szCs w:val="20"/>
        </w:rPr>
      </w:pPr>
      <w:r w:rsidRPr="005D2A73">
        <w:rPr>
          <w:rFonts w:ascii="Calibri" w:hAnsi="Calibri" w:cs="Calibri"/>
          <w:szCs w:val="20"/>
        </w:rPr>
        <w:t xml:space="preserve">Collecting program eligibility documentation </w:t>
      </w:r>
      <w:r>
        <w:rPr>
          <w:rFonts w:ascii="Calibri" w:hAnsi="Calibri" w:cs="Calibri"/>
          <w:szCs w:val="20"/>
        </w:rPr>
        <w:t>and qualifying households for</w:t>
      </w:r>
      <w:r w:rsidRPr="005D2A73">
        <w:rPr>
          <w:rFonts w:ascii="Calibri" w:hAnsi="Calibri" w:cs="Calibri"/>
          <w:szCs w:val="20"/>
        </w:rPr>
        <w:t xml:space="preserve"> services</w:t>
      </w:r>
    </w:p>
    <w:p w14:paraId="715686BA" w14:textId="77777777" w:rsidR="006B40A6" w:rsidRPr="00164C95" w:rsidRDefault="006B40A6" w:rsidP="002A61C8">
      <w:pPr>
        <w:pStyle w:val="NoSpacing"/>
        <w:numPr>
          <w:ilvl w:val="0"/>
          <w:numId w:val="150"/>
        </w:numPr>
        <w:ind w:left="1440"/>
        <w:rPr>
          <w:rFonts w:ascii="Calibri" w:hAnsi="Calibri" w:cs="Calibri"/>
          <w:szCs w:val="20"/>
        </w:rPr>
      </w:pPr>
      <w:r w:rsidRPr="00164C95">
        <w:rPr>
          <w:rFonts w:ascii="Calibri" w:hAnsi="Calibri" w:cs="Calibri"/>
          <w:szCs w:val="20"/>
        </w:rPr>
        <w:t>Performing initial eligibility certifications and annual</w:t>
      </w:r>
      <w:r>
        <w:rPr>
          <w:rFonts w:ascii="Calibri" w:hAnsi="Calibri" w:cs="Calibri"/>
          <w:szCs w:val="20"/>
        </w:rPr>
        <w:t xml:space="preserve"> and interim</w:t>
      </w:r>
      <w:r w:rsidRPr="00164C95">
        <w:rPr>
          <w:rFonts w:ascii="Calibri" w:hAnsi="Calibri" w:cs="Calibri"/>
          <w:szCs w:val="20"/>
        </w:rPr>
        <w:t xml:space="preserve"> eligibility recertifications</w:t>
      </w:r>
    </w:p>
    <w:p w14:paraId="1F7B871B" w14:textId="68EE6F00" w:rsidR="006B40A6" w:rsidRPr="00164C95" w:rsidRDefault="006B40A6" w:rsidP="002A61C8">
      <w:pPr>
        <w:pStyle w:val="NoSpacing"/>
        <w:numPr>
          <w:ilvl w:val="0"/>
          <w:numId w:val="150"/>
        </w:numPr>
        <w:ind w:left="1440"/>
        <w:rPr>
          <w:rFonts w:ascii="Calibri" w:hAnsi="Calibri" w:cs="Calibri"/>
          <w:szCs w:val="20"/>
        </w:rPr>
      </w:pPr>
      <w:r w:rsidRPr="00164C95">
        <w:rPr>
          <w:rFonts w:ascii="Calibri" w:hAnsi="Calibri" w:cs="Calibri"/>
          <w:szCs w:val="20"/>
        </w:rPr>
        <w:t xml:space="preserve">Referring </w:t>
      </w:r>
      <w:r w:rsidR="00C9681D">
        <w:rPr>
          <w:rFonts w:ascii="Calibri" w:hAnsi="Calibri" w:cs="Calibri"/>
          <w:szCs w:val="20"/>
        </w:rPr>
        <w:t xml:space="preserve">ineligible households </w:t>
      </w:r>
      <w:r w:rsidRPr="00164C95">
        <w:rPr>
          <w:rFonts w:ascii="Calibri" w:hAnsi="Calibri" w:cs="Calibri"/>
          <w:szCs w:val="20"/>
        </w:rPr>
        <w:t xml:space="preserve">to other </w:t>
      </w:r>
      <w:r>
        <w:rPr>
          <w:rFonts w:ascii="Calibri" w:hAnsi="Calibri" w:cs="Calibri"/>
          <w:szCs w:val="20"/>
        </w:rPr>
        <w:t>supportive services</w:t>
      </w:r>
    </w:p>
    <w:p w14:paraId="60FAE242" w14:textId="77777777" w:rsidR="006B40A6" w:rsidRDefault="006B40A6" w:rsidP="002A61C8">
      <w:pPr>
        <w:pStyle w:val="NoSpacing"/>
        <w:numPr>
          <w:ilvl w:val="0"/>
          <w:numId w:val="150"/>
        </w:numPr>
        <w:ind w:left="1440"/>
        <w:rPr>
          <w:rFonts w:ascii="Calibri" w:hAnsi="Calibri" w:cs="Calibri"/>
          <w:szCs w:val="20"/>
        </w:rPr>
      </w:pPr>
      <w:r w:rsidRPr="002428DE">
        <w:rPr>
          <w:rFonts w:ascii="Calibri" w:hAnsi="Calibri" w:cs="Calibri"/>
          <w:szCs w:val="20"/>
        </w:rPr>
        <w:t>Completing the File Structure Checklist and Forms A, B, C, D, E, F, M, N, O, and P</w:t>
      </w:r>
    </w:p>
    <w:p w14:paraId="13C6FACF" w14:textId="77777777" w:rsidR="006B40A6" w:rsidRDefault="006B40A6" w:rsidP="002A61C8">
      <w:pPr>
        <w:pStyle w:val="NoSpacing"/>
        <w:numPr>
          <w:ilvl w:val="0"/>
          <w:numId w:val="150"/>
        </w:numPr>
        <w:ind w:left="1440"/>
        <w:rPr>
          <w:rFonts w:ascii="Calibri" w:hAnsi="Calibri" w:cs="Calibri"/>
          <w:szCs w:val="20"/>
        </w:rPr>
      </w:pPr>
      <w:r>
        <w:rPr>
          <w:rFonts w:ascii="Calibri" w:hAnsi="Calibri" w:cs="Calibri"/>
          <w:szCs w:val="20"/>
        </w:rPr>
        <w:t>Completing and distributing applicable VAWA materials</w:t>
      </w:r>
    </w:p>
    <w:p w14:paraId="5390A234" w14:textId="77777777" w:rsidR="006B40A6" w:rsidRDefault="006B40A6" w:rsidP="002A61C8">
      <w:pPr>
        <w:pStyle w:val="NoSpacing"/>
        <w:numPr>
          <w:ilvl w:val="0"/>
          <w:numId w:val="150"/>
        </w:numPr>
        <w:ind w:left="1440"/>
        <w:rPr>
          <w:rFonts w:ascii="Calibri" w:hAnsi="Calibri" w:cs="Calibri"/>
          <w:szCs w:val="20"/>
        </w:rPr>
      </w:pPr>
      <w:r>
        <w:rPr>
          <w:rFonts w:ascii="Calibri" w:hAnsi="Calibri" w:cs="Calibri"/>
          <w:szCs w:val="20"/>
        </w:rPr>
        <w:t>Traveling to meet with households</w:t>
      </w:r>
    </w:p>
    <w:p w14:paraId="6EAB77E9" w14:textId="7FA315F4" w:rsidR="006B40A6" w:rsidRPr="00164C95" w:rsidRDefault="006B40A6" w:rsidP="002A61C8">
      <w:pPr>
        <w:pStyle w:val="NoSpacing"/>
        <w:numPr>
          <w:ilvl w:val="0"/>
          <w:numId w:val="150"/>
        </w:numPr>
        <w:ind w:left="1440"/>
        <w:rPr>
          <w:rFonts w:ascii="Calibri" w:hAnsi="Calibri" w:cs="Calibri"/>
          <w:szCs w:val="20"/>
        </w:rPr>
      </w:pPr>
      <w:r w:rsidRPr="00164C95">
        <w:rPr>
          <w:rFonts w:ascii="Calibri" w:hAnsi="Calibri" w:cs="Calibri"/>
          <w:szCs w:val="20"/>
        </w:rPr>
        <w:t>Communicating with owners</w:t>
      </w:r>
      <w:r>
        <w:rPr>
          <w:rFonts w:ascii="Calibri" w:hAnsi="Calibri" w:cs="Calibri"/>
          <w:szCs w:val="20"/>
        </w:rPr>
        <w:t xml:space="preserve"> and</w:t>
      </w:r>
      <w:r w:rsidRPr="00164C95">
        <w:rPr>
          <w:rFonts w:ascii="Calibri" w:hAnsi="Calibri" w:cs="Calibri"/>
          <w:szCs w:val="20"/>
        </w:rPr>
        <w:t xml:space="preserve"> mortgage</w:t>
      </w:r>
      <w:r>
        <w:rPr>
          <w:rFonts w:ascii="Calibri" w:hAnsi="Calibri" w:cs="Calibri"/>
          <w:szCs w:val="20"/>
        </w:rPr>
        <w:t xml:space="preserve"> and utility</w:t>
      </w:r>
      <w:r w:rsidRPr="00164C95">
        <w:rPr>
          <w:rFonts w:ascii="Calibri" w:hAnsi="Calibri" w:cs="Calibri"/>
          <w:szCs w:val="20"/>
        </w:rPr>
        <w:t xml:space="preserve"> companies about program requirements</w:t>
      </w:r>
    </w:p>
    <w:p w14:paraId="43240960" w14:textId="77777777" w:rsidR="006B40A6" w:rsidRPr="002428DE" w:rsidRDefault="006B40A6" w:rsidP="002A61C8">
      <w:pPr>
        <w:pStyle w:val="NoSpacing"/>
        <w:numPr>
          <w:ilvl w:val="0"/>
          <w:numId w:val="150"/>
        </w:numPr>
        <w:ind w:left="1440"/>
        <w:rPr>
          <w:rFonts w:ascii="Calibri" w:hAnsi="Calibri" w:cs="Calibri"/>
          <w:szCs w:val="20"/>
        </w:rPr>
      </w:pPr>
      <w:r w:rsidRPr="002428DE">
        <w:rPr>
          <w:rFonts w:ascii="Calibri" w:hAnsi="Calibri" w:cs="Calibri"/>
          <w:szCs w:val="20"/>
        </w:rPr>
        <w:t>Assessing</w:t>
      </w:r>
      <w:r>
        <w:rPr>
          <w:rFonts w:ascii="Calibri" w:hAnsi="Calibri" w:cs="Calibri"/>
          <w:szCs w:val="20"/>
        </w:rPr>
        <w:t xml:space="preserve"> an</w:t>
      </w:r>
      <w:r w:rsidRPr="002428DE">
        <w:rPr>
          <w:rFonts w:ascii="Calibri" w:hAnsi="Calibri" w:cs="Calibri"/>
          <w:szCs w:val="20"/>
        </w:rPr>
        <w:t xml:space="preserve"> eligible individual</w:t>
      </w:r>
      <w:r>
        <w:rPr>
          <w:rFonts w:ascii="Calibri" w:hAnsi="Calibri" w:cs="Calibri"/>
          <w:szCs w:val="20"/>
        </w:rPr>
        <w:t>’</w:t>
      </w:r>
      <w:r w:rsidRPr="002428DE">
        <w:rPr>
          <w:rFonts w:ascii="Calibri" w:hAnsi="Calibri" w:cs="Calibri"/>
          <w:szCs w:val="20"/>
        </w:rPr>
        <w:t>s</w:t>
      </w:r>
      <w:r>
        <w:rPr>
          <w:rFonts w:ascii="Calibri" w:hAnsi="Calibri" w:cs="Calibri"/>
          <w:szCs w:val="20"/>
        </w:rPr>
        <w:t xml:space="preserve"> </w:t>
      </w:r>
      <w:r w:rsidRPr="002428DE">
        <w:rPr>
          <w:rFonts w:ascii="Calibri" w:hAnsi="Calibri" w:cs="Calibri"/>
          <w:szCs w:val="20"/>
        </w:rPr>
        <w:t>need for medical care</w:t>
      </w:r>
    </w:p>
    <w:p w14:paraId="588878B9" w14:textId="77777777" w:rsidR="006B40A6" w:rsidRPr="002428DE" w:rsidRDefault="006B40A6" w:rsidP="002A61C8">
      <w:pPr>
        <w:pStyle w:val="NoSpacing"/>
        <w:numPr>
          <w:ilvl w:val="0"/>
          <w:numId w:val="150"/>
        </w:numPr>
        <w:ind w:left="1440"/>
        <w:rPr>
          <w:rFonts w:ascii="Calibri" w:hAnsi="Calibri" w:cs="Calibri"/>
          <w:szCs w:val="20"/>
        </w:rPr>
      </w:pPr>
      <w:r w:rsidRPr="002428DE">
        <w:rPr>
          <w:rFonts w:ascii="Calibri" w:hAnsi="Calibri" w:cs="Calibri"/>
          <w:szCs w:val="20"/>
        </w:rPr>
        <w:lastRenderedPageBreak/>
        <w:t>Coordinating referrals and services for housing, medical care, and other mainstream benefits</w:t>
      </w:r>
    </w:p>
    <w:p w14:paraId="068C2AAD" w14:textId="77777777" w:rsidR="006B40A6" w:rsidRPr="002428DE" w:rsidRDefault="006B40A6" w:rsidP="002A61C8">
      <w:pPr>
        <w:pStyle w:val="NoSpacing"/>
        <w:numPr>
          <w:ilvl w:val="0"/>
          <w:numId w:val="150"/>
        </w:numPr>
        <w:ind w:left="1440"/>
        <w:rPr>
          <w:rFonts w:ascii="Calibri" w:hAnsi="Calibri" w:cs="Calibri"/>
          <w:szCs w:val="20"/>
        </w:rPr>
      </w:pPr>
      <w:r w:rsidRPr="002428DE">
        <w:rPr>
          <w:rFonts w:ascii="Calibri" w:hAnsi="Calibri" w:cs="Calibri"/>
          <w:szCs w:val="20"/>
        </w:rPr>
        <w:t>Budgeting</w:t>
      </w:r>
      <w:r>
        <w:rPr>
          <w:rFonts w:ascii="Calibri" w:hAnsi="Calibri" w:cs="Calibri"/>
          <w:szCs w:val="20"/>
        </w:rPr>
        <w:t xml:space="preserve"> with households and assessing options to increase income/decrease expenses</w:t>
      </w:r>
    </w:p>
    <w:p w14:paraId="4A4DDDAD" w14:textId="77777777" w:rsidR="006B40A6" w:rsidRDefault="006B40A6" w:rsidP="002A61C8">
      <w:pPr>
        <w:pStyle w:val="NoSpacing"/>
        <w:numPr>
          <w:ilvl w:val="0"/>
          <w:numId w:val="150"/>
        </w:numPr>
        <w:ind w:left="1440"/>
        <w:rPr>
          <w:rFonts w:ascii="Calibri" w:hAnsi="Calibri" w:cs="Calibri"/>
          <w:szCs w:val="20"/>
        </w:rPr>
      </w:pPr>
      <w:r w:rsidRPr="007F6628">
        <w:rPr>
          <w:rFonts w:ascii="Calibri" w:hAnsi="Calibri" w:cs="Calibri"/>
          <w:szCs w:val="20"/>
        </w:rPr>
        <w:t>Developing</w:t>
      </w:r>
      <w:r>
        <w:rPr>
          <w:rFonts w:ascii="Calibri" w:hAnsi="Calibri" w:cs="Calibri"/>
          <w:szCs w:val="20"/>
        </w:rPr>
        <w:t xml:space="preserve">, </w:t>
      </w:r>
      <w:r w:rsidRPr="007F6628">
        <w:rPr>
          <w:rFonts w:ascii="Calibri" w:hAnsi="Calibri" w:cs="Calibri"/>
          <w:szCs w:val="20"/>
        </w:rPr>
        <w:t>implementing</w:t>
      </w:r>
      <w:r>
        <w:rPr>
          <w:rFonts w:ascii="Calibri" w:hAnsi="Calibri" w:cs="Calibri"/>
          <w:szCs w:val="20"/>
        </w:rPr>
        <w:t>, and maintaining</w:t>
      </w:r>
      <w:r w:rsidRPr="007F6628">
        <w:rPr>
          <w:rFonts w:ascii="Calibri" w:hAnsi="Calibri" w:cs="Calibri"/>
          <w:szCs w:val="20"/>
        </w:rPr>
        <w:t xml:space="preserve"> individualized housing plans with regular updates</w:t>
      </w:r>
    </w:p>
    <w:p w14:paraId="283E23D8" w14:textId="77777777" w:rsidR="006B40A6" w:rsidRPr="002428DE" w:rsidRDefault="006B40A6" w:rsidP="002A61C8">
      <w:pPr>
        <w:pStyle w:val="NoSpacing"/>
        <w:numPr>
          <w:ilvl w:val="0"/>
          <w:numId w:val="150"/>
        </w:numPr>
        <w:ind w:left="1440"/>
        <w:rPr>
          <w:rFonts w:ascii="Calibri" w:hAnsi="Calibri" w:cs="Calibri"/>
          <w:szCs w:val="20"/>
        </w:rPr>
      </w:pPr>
      <w:r w:rsidRPr="002428DE">
        <w:rPr>
          <w:rFonts w:ascii="Calibri" w:hAnsi="Calibri" w:cs="Calibri"/>
          <w:szCs w:val="20"/>
        </w:rPr>
        <w:t>Evaluating and reevaluating progress made toward housing plan goals and tasks</w:t>
      </w:r>
    </w:p>
    <w:p w14:paraId="72F1E1D1" w14:textId="77777777" w:rsidR="006B40A6" w:rsidRDefault="006B40A6" w:rsidP="002A61C8">
      <w:pPr>
        <w:pStyle w:val="NoSpacing"/>
        <w:numPr>
          <w:ilvl w:val="0"/>
          <w:numId w:val="150"/>
        </w:numPr>
        <w:ind w:left="1440"/>
        <w:rPr>
          <w:rFonts w:ascii="Calibri" w:hAnsi="Calibri" w:cs="Calibri"/>
          <w:szCs w:val="20"/>
        </w:rPr>
      </w:pPr>
      <w:r>
        <w:rPr>
          <w:rFonts w:ascii="Calibri" w:hAnsi="Calibri" w:cs="Calibri"/>
          <w:szCs w:val="20"/>
        </w:rPr>
        <w:t>Case-conferencing</w:t>
      </w:r>
    </w:p>
    <w:p w14:paraId="447112A6" w14:textId="77777777" w:rsidR="006B40A6" w:rsidRPr="00BD5ADB" w:rsidRDefault="006B40A6" w:rsidP="002A61C8">
      <w:pPr>
        <w:pStyle w:val="NoSpacing"/>
        <w:numPr>
          <w:ilvl w:val="0"/>
          <w:numId w:val="150"/>
        </w:numPr>
        <w:ind w:left="1440"/>
        <w:rPr>
          <w:rFonts w:ascii="Calibri" w:hAnsi="Calibri" w:cs="Calibri"/>
        </w:rPr>
      </w:pPr>
      <w:r w:rsidRPr="00BC01B7">
        <w:rPr>
          <w:rFonts w:ascii="Calibri" w:hAnsi="Calibri" w:cs="Calibri"/>
        </w:rPr>
        <w:t>Documenting housi</w:t>
      </w:r>
      <w:r w:rsidRPr="00BD5ADB">
        <w:rPr>
          <w:rFonts w:ascii="Calibri" w:hAnsi="Calibri" w:cs="Calibri"/>
        </w:rPr>
        <w:t>ng assistance and supportive service outcomes</w:t>
      </w:r>
    </w:p>
    <w:p w14:paraId="40E550BB" w14:textId="074DB570" w:rsidR="006B40A6" w:rsidRDefault="006B40A6" w:rsidP="002A61C8">
      <w:pPr>
        <w:pStyle w:val="NoSpacing"/>
        <w:numPr>
          <w:ilvl w:val="0"/>
          <w:numId w:val="150"/>
        </w:numPr>
        <w:ind w:left="1440"/>
        <w:rPr>
          <w:rFonts w:ascii="Calibri" w:hAnsi="Calibri" w:cs="Calibri"/>
        </w:rPr>
      </w:pPr>
      <w:bookmarkStart w:id="43" w:name="_Hlk145590247"/>
      <w:r w:rsidRPr="00BD5ADB">
        <w:rPr>
          <w:rFonts w:ascii="Calibri" w:hAnsi="Calibri" w:cs="Calibri"/>
        </w:rPr>
        <w:t>Recordkeeping, logging time and effort, and maintaining case notes</w:t>
      </w:r>
    </w:p>
    <w:p w14:paraId="4B3649C0" w14:textId="54796562" w:rsidR="008C2CA4" w:rsidRPr="00BD5ADB" w:rsidRDefault="008C2CA4" w:rsidP="002A61C8">
      <w:pPr>
        <w:pStyle w:val="NoSpacing"/>
        <w:numPr>
          <w:ilvl w:val="0"/>
          <w:numId w:val="150"/>
        </w:numPr>
        <w:ind w:left="1440"/>
        <w:rPr>
          <w:rFonts w:ascii="Calibri" w:hAnsi="Calibri" w:cs="Calibri"/>
        </w:rPr>
      </w:pPr>
      <w:r w:rsidRPr="008C2CA4">
        <w:rPr>
          <w:rFonts w:ascii="Calibri" w:hAnsi="Calibri" w:cs="Calibri"/>
        </w:rPr>
        <w:t>Translating documents and interpreting speech</w:t>
      </w:r>
      <w:bookmarkEnd w:id="43"/>
    </w:p>
    <w:p w14:paraId="3EEEEE62" w14:textId="77777777" w:rsidR="002A566B" w:rsidRPr="00DE48B8" w:rsidRDefault="002A566B" w:rsidP="004224A8">
      <w:pPr>
        <w:pStyle w:val="NoSpacing"/>
        <w:ind w:left="720"/>
      </w:pPr>
    </w:p>
    <w:p w14:paraId="2EAA60B3" w14:textId="1397C162" w:rsidR="00B15C68" w:rsidRDefault="00EC3087" w:rsidP="004224A8">
      <w:pPr>
        <w:pStyle w:val="NoSpacing"/>
        <w:ind w:left="720"/>
        <w:rPr>
          <w:rFonts w:cs="Times New Roman"/>
        </w:rPr>
      </w:pPr>
      <w:r w:rsidRPr="002A566B">
        <w:rPr>
          <w:rFonts w:cs="Times New Roman"/>
        </w:rPr>
        <w:t xml:space="preserve">Project Sponsors </w:t>
      </w:r>
      <w:r w:rsidR="00CB54DE" w:rsidRPr="002A566B">
        <w:rPr>
          <w:rFonts w:cs="Times New Roman"/>
        </w:rPr>
        <w:t>may</w:t>
      </w:r>
      <w:r w:rsidRPr="002A566B">
        <w:rPr>
          <w:rFonts w:cs="Times New Roman"/>
        </w:rPr>
        <w:t xml:space="preserve"> leverage </w:t>
      </w:r>
      <w:r w:rsidR="00D77584" w:rsidRPr="002A566B">
        <w:rPr>
          <w:rFonts w:cs="Times New Roman"/>
        </w:rPr>
        <w:t>housing case management</w:t>
      </w:r>
      <w:r w:rsidRPr="002A566B">
        <w:rPr>
          <w:rFonts w:cs="Times New Roman"/>
        </w:rPr>
        <w:t xml:space="preserve"> costs using an alternate funding source</w:t>
      </w:r>
      <w:r w:rsidR="00552F24" w:rsidRPr="002A566B">
        <w:rPr>
          <w:rFonts w:cs="Times New Roman"/>
        </w:rPr>
        <w:t xml:space="preserve"> (e.g.</w:t>
      </w:r>
      <w:r w:rsidR="00D77584" w:rsidRPr="002A566B">
        <w:rPr>
          <w:rFonts w:cs="Times New Roman"/>
        </w:rPr>
        <w:t>,</w:t>
      </w:r>
      <w:r w:rsidR="00552F24" w:rsidRPr="002A566B">
        <w:rPr>
          <w:rFonts w:cs="Times New Roman"/>
        </w:rPr>
        <w:t xml:space="preserve"> Ryan White</w:t>
      </w:r>
      <w:r w:rsidR="00D77584" w:rsidRPr="002A566B">
        <w:rPr>
          <w:rFonts w:cs="Times New Roman"/>
        </w:rPr>
        <w:t xml:space="preserve"> Housing Services</w:t>
      </w:r>
      <w:r>
        <w:rPr>
          <w:rFonts w:cs="Times New Roman"/>
        </w:rPr>
        <w:t>)</w:t>
      </w:r>
      <w:r w:rsidR="00B15C68">
        <w:rPr>
          <w:rFonts w:cs="Times New Roman"/>
        </w:rPr>
        <w:t>.</w:t>
      </w:r>
      <w:r w:rsidR="001717BA">
        <w:rPr>
          <w:rFonts w:cs="Times New Roman"/>
        </w:rPr>
        <w:t xml:space="preserve"> </w:t>
      </w:r>
      <w:r w:rsidR="00D77584">
        <w:rPr>
          <w:rFonts w:cs="Times New Roman"/>
        </w:rPr>
        <w:t>HCM</w:t>
      </w:r>
      <w:r w:rsidR="001717BA" w:rsidRPr="007930D0">
        <w:rPr>
          <w:rFonts w:cs="Times New Roman"/>
        </w:rPr>
        <w:t xml:space="preserve"> </w:t>
      </w:r>
      <w:r w:rsidR="00E84CB8">
        <w:rPr>
          <w:rFonts w:cs="Times New Roman"/>
        </w:rPr>
        <w:t>should</w:t>
      </w:r>
      <w:r w:rsidR="00E84CB8" w:rsidRPr="007930D0">
        <w:rPr>
          <w:rFonts w:cs="Times New Roman"/>
        </w:rPr>
        <w:t xml:space="preserve"> </w:t>
      </w:r>
      <w:r w:rsidR="001717BA" w:rsidRPr="007930D0">
        <w:rPr>
          <w:rFonts w:cs="Times New Roman"/>
        </w:rPr>
        <w:t xml:space="preserve">be provided in accordance with the DSHS Ryan White Part B Case Management Standards from the </w:t>
      </w:r>
      <w:hyperlink r:id="rId106" w:history="1">
        <w:r w:rsidR="001717BA" w:rsidRPr="007930D0">
          <w:rPr>
            <w:rStyle w:val="Hyperlink"/>
            <w:rFonts w:cs="Times New Roman"/>
          </w:rPr>
          <w:t>HIV Core and Support Service Categories</w:t>
        </w:r>
      </w:hyperlink>
      <w:r w:rsidR="001717BA" w:rsidRPr="007930D0">
        <w:rPr>
          <w:rFonts w:cs="Times New Roman"/>
        </w:rPr>
        <w:t>.</w:t>
      </w:r>
    </w:p>
    <w:p w14:paraId="68486208" w14:textId="77777777" w:rsidR="006845AA" w:rsidRDefault="006845AA" w:rsidP="00ED208F">
      <w:pPr>
        <w:pStyle w:val="NoSpacing"/>
        <w:rPr>
          <w:rFonts w:cs="Times New Roman"/>
        </w:rPr>
      </w:pPr>
    </w:p>
    <w:p w14:paraId="6491F1D6" w14:textId="58274D3B" w:rsidR="007D2EAA" w:rsidRPr="0082659C" w:rsidRDefault="0090365C" w:rsidP="00754E9B">
      <w:pPr>
        <w:pStyle w:val="NoSpacing"/>
        <w:numPr>
          <w:ilvl w:val="1"/>
          <w:numId w:val="43"/>
        </w:numPr>
        <w:rPr>
          <w:rFonts w:cs="Times New Roman"/>
          <w:b/>
          <w:u w:val="single"/>
        </w:rPr>
      </w:pPr>
      <w:r w:rsidRPr="0082659C">
        <w:rPr>
          <w:rFonts w:cs="Times New Roman"/>
          <w:b/>
          <w:u w:val="single"/>
        </w:rPr>
        <w:t>Ineligible Costs</w:t>
      </w:r>
    </w:p>
    <w:p w14:paraId="4F505705" w14:textId="3FE28CF7" w:rsidR="0090365C" w:rsidRDefault="00BB227A" w:rsidP="00B15C68">
      <w:pPr>
        <w:pStyle w:val="NoSpacing"/>
        <w:ind w:left="720"/>
        <w:rPr>
          <w:rFonts w:cs="Times New Roman"/>
        </w:rPr>
      </w:pPr>
      <w:r>
        <w:rPr>
          <w:rFonts w:cs="Times New Roman"/>
        </w:rPr>
        <w:t xml:space="preserve">While not an exhaustive list, </w:t>
      </w:r>
      <w:r w:rsidR="00D77584">
        <w:rPr>
          <w:rFonts w:cs="Times New Roman"/>
        </w:rPr>
        <w:t>HCM</w:t>
      </w:r>
      <w:r w:rsidR="0090365C" w:rsidRPr="0090365C">
        <w:rPr>
          <w:rFonts w:cs="Times New Roman"/>
        </w:rPr>
        <w:t xml:space="preserve"> cannot pay for </w:t>
      </w:r>
      <w:r w:rsidR="0090365C">
        <w:rPr>
          <w:rFonts w:cs="Times New Roman"/>
        </w:rPr>
        <w:t>costs eligible under TBRA, STRMU,</w:t>
      </w:r>
      <w:r w:rsidR="00757029">
        <w:rPr>
          <w:rFonts w:cs="Times New Roman"/>
        </w:rPr>
        <w:t xml:space="preserve"> FBHA,</w:t>
      </w:r>
      <w:r w:rsidR="0090365C">
        <w:rPr>
          <w:rFonts w:cs="Times New Roman"/>
        </w:rPr>
        <w:t xml:space="preserve"> or PHP. </w:t>
      </w:r>
      <w:r w:rsidR="00D77584">
        <w:rPr>
          <w:rFonts w:cs="Times New Roman"/>
        </w:rPr>
        <w:t>HCM</w:t>
      </w:r>
      <w:r w:rsidR="0090365C" w:rsidRPr="0090365C">
        <w:rPr>
          <w:rFonts w:cs="Times New Roman"/>
        </w:rPr>
        <w:t xml:space="preserve"> cannot pay for general psychosocial or medical case management </w:t>
      </w:r>
      <w:r w:rsidR="00D77584">
        <w:rPr>
          <w:rFonts w:cs="Times New Roman"/>
        </w:rPr>
        <w:t>activities</w:t>
      </w:r>
      <w:r w:rsidR="0090365C" w:rsidRPr="0090365C">
        <w:rPr>
          <w:rFonts w:cs="Times New Roman"/>
        </w:rPr>
        <w:t>.</w:t>
      </w:r>
    </w:p>
    <w:p w14:paraId="0E3026AD" w14:textId="77777777" w:rsidR="006845AA" w:rsidRPr="0090365C" w:rsidRDefault="006845AA" w:rsidP="00B15C68">
      <w:pPr>
        <w:pStyle w:val="NoSpacing"/>
        <w:ind w:left="720"/>
        <w:rPr>
          <w:rFonts w:cs="Times New Roman"/>
          <w:u w:val="single"/>
        </w:rPr>
      </w:pPr>
    </w:p>
    <w:p w14:paraId="135BA57B" w14:textId="63A7CC11" w:rsidR="007D2EAA" w:rsidRPr="0082659C" w:rsidRDefault="00F71A46" w:rsidP="00754E9B">
      <w:pPr>
        <w:pStyle w:val="NoSpacing"/>
        <w:numPr>
          <w:ilvl w:val="1"/>
          <w:numId w:val="43"/>
        </w:numPr>
        <w:rPr>
          <w:rFonts w:cs="Times New Roman"/>
          <w:b/>
          <w:u w:val="single"/>
        </w:rPr>
      </w:pPr>
      <w:r w:rsidRPr="0082659C">
        <w:rPr>
          <w:rFonts w:cs="Times New Roman"/>
          <w:b/>
          <w:u w:val="single"/>
        </w:rPr>
        <w:t>Housing Status</w:t>
      </w:r>
    </w:p>
    <w:p w14:paraId="24B8E14B" w14:textId="20A334F8" w:rsidR="00F71A46" w:rsidRDefault="004D5D13" w:rsidP="00DE48B8">
      <w:pPr>
        <w:pStyle w:val="NoSpacing"/>
        <w:ind w:left="720"/>
        <w:rPr>
          <w:rFonts w:cs="Times New Roman"/>
        </w:rPr>
      </w:pPr>
      <w:r w:rsidRPr="004D5D13">
        <w:rPr>
          <w:rFonts w:cs="Times New Roman"/>
        </w:rPr>
        <w:t>Households can be housed or homeless</w:t>
      </w:r>
      <w:r w:rsidR="002E608F">
        <w:rPr>
          <w:rFonts w:cs="Times New Roman"/>
        </w:rPr>
        <w:t>.</w:t>
      </w:r>
    </w:p>
    <w:p w14:paraId="2489E3DC" w14:textId="77777777" w:rsidR="00495AE2" w:rsidRPr="00495AE2" w:rsidRDefault="00495AE2" w:rsidP="00495AE2">
      <w:pPr>
        <w:pStyle w:val="NoSpacing"/>
        <w:ind w:left="720"/>
        <w:rPr>
          <w:rFonts w:cs="Times New Roman"/>
          <w:b/>
          <w:u w:val="single"/>
        </w:rPr>
      </w:pPr>
      <w:bookmarkStart w:id="44" w:name="_Hlk109298301"/>
    </w:p>
    <w:p w14:paraId="4BD7014A" w14:textId="346F151E" w:rsidR="001A625A" w:rsidRPr="0082659C" w:rsidRDefault="001A625A" w:rsidP="00754E9B">
      <w:pPr>
        <w:pStyle w:val="NoSpacing"/>
        <w:numPr>
          <w:ilvl w:val="1"/>
          <w:numId w:val="43"/>
        </w:numPr>
        <w:rPr>
          <w:rFonts w:cs="Times New Roman"/>
          <w:b/>
          <w:u w:val="single"/>
        </w:rPr>
      </w:pPr>
      <w:r w:rsidRPr="0082659C">
        <w:rPr>
          <w:rFonts w:cs="Times New Roman"/>
          <w:b/>
          <w:u w:val="single"/>
        </w:rPr>
        <w:t>H</w:t>
      </w:r>
      <w:bookmarkEnd w:id="44"/>
      <w:r w:rsidRPr="0082659C">
        <w:rPr>
          <w:rFonts w:cs="Times New Roman"/>
          <w:b/>
          <w:u w:val="single"/>
        </w:rPr>
        <w:t>ousing Plans and Budgets</w:t>
      </w:r>
    </w:p>
    <w:p w14:paraId="49E0F9FE" w14:textId="5C056180" w:rsidR="00ED208F" w:rsidRDefault="008E48CB" w:rsidP="00ED208F">
      <w:pPr>
        <w:pStyle w:val="NoSpacing"/>
        <w:ind w:left="720"/>
        <w:rPr>
          <w:rFonts w:cs="Times New Roman"/>
        </w:rPr>
      </w:pPr>
      <w:r w:rsidRPr="008E48CB">
        <w:rPr>
          <w:rFonts w:cs="Times New Roman"/>
        </w:rPr>
        <w:t xml:space="preserve">All </w:t>
      </w:r>
      <w:r>
        <w:rPr>
          <w:rFonts w:cs="Times New Roman"/>
        </w:rPr>
        <w:t>hou</w:t>
      </w:r>
      <w:r w:rsidR="001A6FBB">
        <w:rPr>
          <w:rFonts w:cs="Times New Roman"/>
        </w:rPr>
        <w:t>seholds must have a housing plan</w:t>
      </w:r>
      <w:r w:rsidR="001F0E74">
        <w:rPr>
          <w:rFonts w:cs="Times New Roman"/>
        </w:rPr>
        <w:t xml:space="preserve">. </w:t>
      </w:r>
      <w:r w:rsidR="00E71863">
        <w:rPr>
          <w:rFonts w:cs="Times New Roman"/>
        </w:rPr>
        <w:t>Additionally</w:t>
      </w:r>
      <w:r w:rsidR="001F0E74">
        <w:rPr>
          <w:rFonts w:cs="Times New Roman"/>
        </w:rPr>
        <w:t>, DSHS recommends that Project Sponsors</w:t>
      </w:r>
      <w:r w:rsidR="001A6FBB">
        <w:rPr>
          <w:rFonts w:cs="Times New Roman"/>
        </w:rPr>
        <w:t xml:space="preserve"> </w:t>
      </w:r>
      <w:r w:rsidR="001F0E74">
        <w:rPr>
          <w:rFonts w:cs="Times New Roman"/>
        </w:rPr>
        <w:t>work with households to create a budget</w:t>
      </w:r>
      <w:r w:rsidR="001A6FBB">
        <w:rPr>
          <w:rFonts w:cs="Times New Roman"/>
        </w:rPr>
        <w:t xml:space="preserve">. Project Sponsors complete </w:t>
      </w:r>
      <w:r w:rsidR="001A6FBB" w:rsidRPr="001A6FBB">
        <w:rPr>
          <w:rFonts w:cs="Times New Roman"/>
          <w:b/>
          <w:color w:val="5B9BD5" w:themeColor="accent1"/>
        </w:rPr>
        <w:t>Form M: Budget Worksheet</w:t>
      </w:r>
      <w:r w:rsidR="001A6FBB">
        <w:rPr>
          <w:rFonts w:cs="Times New Roman"/>
        </w:rPr>
        <w:t xml:space="preserve"> and </w:t>
      </w:r>
      <w:r w:rsidR="001F0E74">
        <w:rPr>
          <w:rFonts w:cs="Times New Roman"/>
        </w:rPr>
        <w:t xml:space="preserve">complete </w:t>
      </w:r>
      <w:r w:rsidR="001A6FBB" w:rsidRPr="001A6FBB">
        <w:rPr>
          <w:rFonts w:cs="Times New Roman"/>
          <w:b/>
          <w:color w:val="5B9BD5" w:themeColor="accent1"/>
        </w:rPr>
        <w:t>Form N: Housing Plan</w:t>
      </w:r>
      <w:r w:rsidR="001A6FBB">
        <w:rPr>
          <w:rFonts w:cs="Times New Roman"/>
        </w:rPr>
        <w:t xml:space="preserve"> </w:t>
      </w:r>
      <w:r w:rsidR="00B95ADF">
        <w:rPr>
          <w:rFonts w:cs="Times New Roman"/>
        </w:rPr>
        <w:t xml:space="preserve">with </w:t>
      </w:r>
      <w:r w:rsidR="001A6FBB">
        <w:rPr>
          <w:rFonts w:cs="Times New Roman"/>
        </w:rPr>
        <w:t xml:space="preserve">each </w:t>
      </w:r>
      <w:r w:rsidR="00B95ADF">
        <w:rPr>
          <w:rFonts w:cs="Times New Roman"/>
        </w:rPr>
        <w:t>participant household</w:t>
      </w:r>
      <w:r w:rsidR="001A6FBB">
        <w:rPr>
          <w:rFonts w:cs="Times New Roman"/>
        </w:rPr>
        <w:t>.</w:t>
      </w:r>
      <w:r w:rsidRPr="008E48CB">
        <w:rPr>
          <w:rFonts w:cs="Times New Roman"/>
        </w:rPr>
        <w:t xml:space="preserve"> </w:t>
      </w:r>
      <w:r w:rsidR="009A1AF0" w:rsidRPr="009A1AF0">
        <w:rPr>
          <w:rFonts w:cs="Times New Roman"/>
        </w:rPr>
        <w:t xml:space="preserve">Housing case managers should work with households to </w:t>
      </w:r>
      <w:r w:rsidR="00F90EDC">
        <w:rPr>
          <w:rFonts w:cs="Times New Roman"/>
        </w:rPr>
        <w:t>e</w:t>
      </w:r>
      <w:r w:rsidR="00F90EDC" w:rsidRPr="00F90EDC">
        <w:rPr>
          <w:rFonts w:cs="Times New Roman"/>
        </w:rPr>
        <w:t>stablish or maintain affordable and stable housing, reduce their risk of homelessness, and improve their access to health care and supportive services</w:t>
      </w:r>
      <w:r w:rsidR="009A1AF0" w:rsidRPr="009A1AF0">
        <w:rPr>
          <w:rFonts w:cs="Times New Roman"/>
        </w:rPr>
        <w:t xml:space="preserve">. </w:t>
      </w:r>
      <w:r w:rsidRPr="008E48CB">
        <w:rPr>
          <w:rFonts w:cs="Times New Roman"/>
        </w:rPr>
        <w:t xml:space="preserve">The </w:t>
      </w:r>
      <w:r w:rsidR="00D9532E">
        <w:rPr>
          <w:rFonts w:cs="Times New Roman"/>
        </w:rPr>
        <w:t>plan should</w:t>
      </w:r>
      <w:r w:rsidRPr="008E48CB">
        <w:rPr>
          <w:rFonts w:cs="Times New Roman"/>
        </w:rPr>
        <w:t xml:space="preserve"> </w:t>
      </w:r>
      <w:r>
        <w:rPr>
          <w:rFonts w:cs="Times New Roman"/>
        </w:rPr>
        <w:t>promote</w:t>
      </w:r>
      <w:r w:rsidRPr="008E48CB">
        <w:rPr>
          <w:rFonts w:cs="Times New Roman"/>
        </w:rPr>
        <w:t xml:space="preserve"> housing stability without</w:t>
      </w:r>
      <w:r w:rsidR="00D9532E">
        <w:rPr>
          <w:rFonts w:cs="Times New Roman"/>
        </w:rPr>
        <w:t xml:space="preserve"> fostering</w:t>
      </w:r>
      <w:r w:rsidRPr="008E48CB">
        <w:rPr>
          <w:rFonts w:cs="Times New Roman"/>
        </w:rPr>
        <w:t xml:space="preserve"> long-term dependency</w:t>
      </w:r>
      <w:r>
        <w:rPr>
          <w:rFonts w:cs="Times New Roman"/>
        </w:rPr>
        <w:t xml:space="preserve"> on program services</w:t>
      </w:r>
      <w:r w:rsidRPr="008E48CB">
        <w:rPr>
          <w:rFonts w:cs="Times New Roman"/>
        </w:rPr>
        <w:t>.</w:t>
      </w:r>
      <w:r>
        <w:rPr>
          <w:rFonts w:cs="Times New Roman"/>
        </w:rPr>
        <w:t xml:space="preserve"> </w:t>
      </w:r>
      <w:r w:rsidR="009A1AF0">
        <w:rPr>
          <w:rFonts w:cs="Times New Roman"/>
        </w:rPr>
        <w:t>As such, Project Sponsors should document their efforts to assist households locate other housing assistance</w:t>
      </w:r>
      <w:r w:rsidR="00DE602F">
        <w:rPr>
          <w:rFonts w:cs="Times New Roman"/>
        </w:rPr>
        <w:t>.</w:t>
      </w:r>
      <w:r w:rsidR="00ED208F">
        <w:rPr>
          <w:rFonts w:cs="Times New Roman"/>
        </w:rPr>
        <w:t xml:space="preserve"> </w:t>
      </w:r>
      <w:r w:rsidR="00993C0A" w:rsidRPr="00993C0A">
        <w:rPr>
          <w:rFonts w:cs="Times New Roman"/>
        </w:rPr>
        <w:t>Individualized housing plans should note the responsible parties for specific tasks or interventions based on the needs of the household. The goals within these plans should include the following components:</w:t>
      </w:r>
    </w:p>
    <w:p w14:paraId="56E35466" w14:textId="42889AEF" w:rsidR="00ED208F" w:rsidRPr="00C37A91" w:rsidRDefault="00993C0A" w:rsidP="00ED208F">
      <w:pPr>
        <w:pStyle w:val="NoSpacing"/>
        <w:numPr>
          <w:ilvl w:val="1"/>
          <w:numId w:val="6"/>
        </w:numPr>
        <w:ind w:left="1260"/>
        <w:rPr>
          <w:rFonts w:cs="Times New Roman"/>
        </w:rPr>
      </w:pPr>
      <w:r>
        <w:rPr>
          <w:rFonts w:cs="Times New Roman"/>
        </w:rPr>
        <w:t>A clear s</w:t>
      </w:r>
      <w:r w:rsidRPr="00993C0A">
        <w:rPr>
          <w:rFonts w:cs="Times New Roman"/>
        </w:rPr>
        <w:t xml:space="preserve">tatement of </w:t>
      </w:r>
      <w:r w:rsidR="00D71AD0">
        <w:rPr>
          <w:rFonts w:cs="Times New Roman"/>
        </w:rPr>
        <w:t>each goal</w:t>
      </w:r>
      <w:r w:rsidRPr="00993C0A">
        <w:rPr>
          <w:rFonts w:cs="Times New Roman"/>
        </w:rPr>
        <w:t xml:space="preserve"> the household intends to achieve.</w:t>
      </w:r>
    </w:p>
    <w:p w14:paraId="6A299FB3" w14:textId="06017B46" w:rsidR="00ED208F" w:rsidRPr="00C37A91" w:rsidRDefault="00ED208F" w:rsidP="00ED208F">
      <w:pPr>
        <w:pStyle w:val="NoSpacing"/>
        <w:numPr>
          <w:ilvl w:val="1"/>
          <w:numId w:val="6"/>
        </w:numPr>
        <w:ind w:left="1260"/>
        <w:rPr>
          <w:rFonts w:cs="Times New Roman"/>
        </w:rPr>
      </w:pPr>
      <w:r w:rsidRPr="00C37A91">
        <w:rPr>
          <w:rFonts w:cs="Times New Roman"/>
        </w:rPr>
        <w:t>Action steps</w:t>
      </w:r>
      <w:r w:rsidR="00D71AD0">
        <w:rPr>
          <w:rFonts w:cs="Times New Roman"/>
        </w:rPr>
        <w:t xml:space="preserve"> designed to achieve each goal</w:t>
      </w:r>
      <w:r w:rsidR="00993C0A">
        <w:rPr>
          <w:rFonts w:cs="Times New Roman"/>
        </w:rPr>
        <w:t>.</w:t>
      </w:r>
    </w:p>
    <w:p w14:paraId="59E07D47" w14:textId="4F8B2486" w:rsidR="00ED208F" w:rsidRPr="00C37A91" w:rsidRDefault="00993C0A" w:rsidP="00ED208F">
      <w:pPr>
        <w:pStyle w:val="NoSpacing"/>
        <w:numPr>
          <w:ilvl w:val="1"/>
          <w:numId w:val="6"/>
        </w:numPr>
        <w:ind w:left="1260"/>
        <w:rPr>
          <w:rFonts w:cs="Times New Roman"/>
        </w:rPr>
      </w:pPr>
      <w:r>
        <w:rPr>
          <w:rFonts w:cs="Times New Roman"/>
        </w:rPr>
        <w:t>A specified t</w:t>
      </w:r>
      <w:r w:rsidR="00ED208F" w:rsidRPr="00C37A91">
        <w:rPr>
          <w:rFonts w:cs="Times New Roman"/>
        </w:rPr>
        <w:t xml:space="preserve">imeframe for completing </w:t>
      </w:r>
      <w:r w:rsidR="00D71AD0">
        <w:rPr>
          <w:rFonts w:cs="Times New Roman"/>
        </w:rPr>
        <w:t>each</w:t>
      </w:r>
      <w:r>
        <w:rPr>
          <w:rFonts w:cs="Times New Roman"/>
        </w:rPr>
        <w:t xml:space="preserve"> </w:t>
      </w:r>
      <w:r w:rsidR="00ED208F" w:rsidRPr="00C37A91">
        <w:rPr>
          <w:rFonts w:cs="Times New Roman"/>
        </w:rPr>
        <w:t>action step</w:t>
      </w:r>
      <w:r>
        <w:rPr>
          <w:rFonts w:cs="Times New Roman"/>
        </w:rPr>
        <w:t>.</w:t>
      </w:r>
    </w:p>
    <w:p w14:paraId="74254C06" w14:textId="651FCD37" w:rsidR="00D71AD0" w:rsidRDefault="00D71AD0" w:rsidP="00D71AD0">
      <w:pPr>
        <w:pStyle w:val="NoSpacing"/>
        <w:numPr>
          <w:ilvl w:val="1"/>
          <w:numId w:val="6"/>
        </w:numPr>
        <w:ind w:left="1260"/>
        <w:rPr>
          <w:rFonts w:cs="Times New Roman"/>
        </w:rPr>
      </w:pPr>
      <w:r>
        <w:rPr>
          <w:rFonts w:cs="Times New Roman"/>
        </w:rPr>
        <w:t>Assignment of action steps to the</w:t>
      </w:r>
      <w:r w:rsidRPr="00C37A91">
        <w:rPr>
          <w:rFonts w:cs="Times New Roman"/>
        </w:rPr>
        <w:t xml:space="preserve"> </w:t>
      </w:r>
      <w:r>
        <w:rPr>
          <w:rFonts w:cs="Times New Roman"/>
        </w:rPr>
        <w:t>household</w:t>
      </w:r>
      <w:r w:rsidRPr="00C37A91">
        <w:rPr>
          <w:rFonts w:cs="Times New Roman"/>
        </w:rPr>
        <w:t xml:space="preserve"> </w:t>
      </w:r>
      <w:r>
        <w:rPr>
          <w:rFonts w:cs="Times New Roman"/>
        </w:rPr>
        <w:t>or</w:t>
      </w:r>
      <w:r w:rsidRPr="00C37A91">
        <w:rPr>
          <w:rFonts w:cs="Times New Roman"/>
        </w:rPr>
        <w:t xml:space="preserve"> the </w:t>
      </w:r>
      <w:r>
        <w:rPr>
          <w:rFonts w:cs="Times New Roman"/>
        </w:rPr>
        <w:t xml:space="preserve">housing </w:t>
      </w:r>
      <w:r w:rsidRPr="00C37A91">
        <w:rPr>
          <w:rFonts w:cs="Times New Roman"/>
        </w:rPr>
        <w:t>case manager</w:t>
      </w:r>
      <w:r>
        <w:rPr>
          <w:rFonts w:cs="Times New Roman"/>
        </w:rPr>
        <w:t>.</w:t>
      </w:r>
    </w:p>
    <w:p w14:paraId="1432F22D" w14:textId="28050392" w:rsidR="00ED208F" w:rsidRPr="00C37A91" w:rsidRDefault="00D71AD0" w:rsidP="00ED208F">
      <w:pPr>
        <w:pStyle w:val="NoSpacing"/>
        <w:numPr>
          <w:ilvl w:val="1"/>
          <w:numId w:val="6"/>
        </w:numPr>
        <w:ind w:left="1260"/>
        <w:rPr>
          <w:rFonts w:cs="Times New Roman"/>
        </w:rPr>
      </w:pPr>
      <w:r>
        <w:rPr>
          <w:rFonts w:cs="Times New Roman"/>
        </w:rPr>
        <w:t>Status updates for each action step.</w:t>
      </w:r>
    </w:p>
    <w:p w14:paraId="4204D74C" w14:textId="065439A9" w:rsidR="00E22A75" w:rsidRDefault="00E22A75" w:rsidP="00B15C68">
      <w:pPr>
        <w:pStyle w:val="NoSpacing"/>
        <w:ind w:left="720"/>
        <w:rPr>
          <w:rFonts w:cs="Times New Roman"/>
          <w:color w:val="C00000"/>
        </w:rPr>
      </w:pPr>
      <w:r w:rsidRPr="00E22A75">
        <w:rPr>
          <w:rFonts w:cs="Times New Roman"/>
          <w:b/>
          <w:color w:val="C00000"/>
        </w:rPr>
        <w:t>NOTE:</w:t>
      </w:r>
      <w:r w:rsidR="003E3383">
        <w:rPr>
          <w:rFonts w:cs="Times New Roman"/>
          <w:color w:val="C00000"/>
        </w:rPr>
        <w:t xml:space="preserve"> Use of Forms M</w:t>
      </w:r>
      <w:r w:rsidRPr="00E22A75">
        <w:rPr>
          <w:rFonts w:cs="Times New Roman"/>
          <w:color w:val="C00000"/>
        </w:rPr>
        <w:t xml:space="preserve"> and N are optional – Project Sponsors may use their preferred budgeting form</w:t>
      </w:r>
      <w:r>
        <w:rPr>
          <w:rFonts w:cs="Times New Roman"/>
          <w:color w:val="C00000"/>
        </w:rPr>
        <w:t xml:space="preserve"> and housing plan form</w:t>
      </w:r>
      <w:r w:rsidRPr="00E22A75">
        <w:rPr>
          <w:rFonts w:cs="Times New Roman"/>
          <w:color w:val="C00000"/>
        </w:rPr>
        <w:t>.</w:t>
      </w:r>
      <w:r>
        <w:rPr>
          <w:rFonts w:cs="Times New Roman"/>
          <w:color w:val="C00000"/>
        </w:rPr>
        <w:t xml:space="preserve"> Alternate budget and/or housing plan forms should </w:t>
      </w:r>
      <w:r w:rsidR="008C65FA">
        <w:rPr>
          <w:rFonts w:cs="Times New Roman"/>
          <w:color w:val="C00000"/>
        </w:rPr>
        <w:t>contain similar level</w:t>
      </w:r>
      <w:r w:rsidR="003E3383">
        <w:rPr>
          <w:rFonts w:cs="Times New Roman"/>
          <w:color w:val="C00000"/>
        </w:rPr>
        <w:t>s</w:t>
      </w:r>
      <w:r w:rsidR="008C65FA">
        <w:rPr>
          <w:rFonts w:cs="Times New Roman"/>
          <w:color w:val="C00000"/>
        </w:rPr>
        <w:t xml:space="preserve"> of detail.</w:t>
      </w:r>
    </w:p>
    <w:p w14:paraId="3FC0525D" w14:textId="77777777" w:rsidR="00692FFC" w:rsidRPr="00E22A75" w:rsidRDefault="00692FFC" w:rsidP="00B15C68">
      <w:pPr>
        <w:pStyle w:val="NoSpacing"/>
        <w:ind w:left="720"/>
        <w:rPr>
          <w:rFonts w:cs="Times New Roman"/>
        </w:rPr>
      </w:pPr>
    </w:p>
    <w:p w14:paraId="76DD0EA1" w14:textId="239B8AF6" w:rsidR="008E48CB" w:rsidRDefault="008E48CB" w:rsidP="00B15C68">
      <w:pPr>
        <w:pStyle w:val="NoSpacing"/>
        <w:ind w:left="720"/>
        <w:rPr>
          <w:rFonts w:cs="Times New Roman"/>
        </w:rPr>
      </w:pPr>
      <w:r>
        <w:rPr>
          <w:rFonts w:cs="Times New Roman"/>
        </w:rPr>
        <w:t xml:space="preserve">For example, </w:t>
      </w:r>
      <w:r w:rsidR="00397771">
        <w:rPr>
          <w:rFonts w:cs="Times New Roman"/>
        </w:rPr>
        <w:t xml:space="preserve">a </w:t>
      </w:r>
      <w:r>
        <w:rPr>
          <w:rFonts w:cs="Times New Roman"/>
        </w:rPr>
        <w:t xml:space="preserve">Project Sponsor </w:t>
      </w:r>
      <w:r w:rsidR="00EE6C26">
        <w:rPr>
          <w:rFonts w:cs="Times New Roman"/>
        </w:rPr>
        <w:t>could work</w:t>
      </w:r>
      <w:r>
        <w:rPr>
          <w:rFonts w:cs="Times New Roman"/>
        </w:rPr>
        <w:t xml:space="preserve"> with TBRA-assisted households</w:t>
      </w:r>
      <w:r w:rsidR="00EE6C26">
        <w:rPr>
          <w:rFonts w:cs="Times New Roman"/>
        </w:rPr>
        <w:t xml:space="preserve"> to develop a plan that safeguards against future crises, identifies</w:t>
      </w:r>
      <w:r>
        <w:rPr>
          <w:rFonts w:cs="Times New Roman"/>
        </w:rPr>
        <w:t xml:space="preserve"> </w:t>
      </w:r>
      <w:r w:rsidR="00EE6C26">
        <w:rPr>
          <w:rFonts w:cs="Times New Roman"/>
        </w:rPr>
        <w:t xml:space="preserve">ongoing housing stability goals, and includes a strategy for accessing and maintaining adherence to medical care. </w:t>
      </w:r>
      <w:r w:rsidR="009C621C">
        <w:rPr>
          <w:rFonts w:cs="Times New Roman"/>
        </w:rPr>
        <w:t>Or</w:t>
      </w:r>
      <w:r w:rsidR="00EE6C26">
        <w:rPr>
          <w:rFonts w:cs="Times New Roman"/>
        </w:rPr>
        <w:t xml:space="preserve"> Project Sponsors could work with STRMU-assisted households to develop a plan that addresses immediate housing as</w:t>
      </w:r>
      <w:r w:rsidR="008D307D">
        <w:rPr>
          <w:rFonts w:cs="Times New Roman"/>
        </w:rPr>
        <w:t>sistance needs and</w:t>
      </w:r>
      <w:r w:rsidR="00EE6C26">
        <w:rPr>
          <w:rFonts w:cs="Times New Roman"/>
        </w:rPr>
        <w:t xml:space="preserve"> sh</w:t>
      </w:r>
      <w:r w:rsidR="008D307D">
        <w:rPr>
          <w:rFonts w:cs="Times New Roman"/>
        </w:rPr>
        <w:t>ort-term steps that would help sta</w:t>
      </w:r>
      <w:r w:rsidR="00D9532E">
        <w:rPr>
          <w:rFonts w:cs="Times New Roman"/>
        </w:rPr>
        <w:t xml:space="preserve">bilize </w:t>
      </w:r>
      <w:r w:rsidR="009A1AF0">
        <w:rPr>
          <w:rFonts w:cs="Times New Roman"/>
        </w:rPr>
        <w:t>a presenting</w:t>
      </w:r>
      <w:r w:rsidR="00D9532E">
        <w:rPr>
          <w:rFonts w:cs="Times New Roman"/>
        </w:rPr>
        <w:t xml:space="preserve"> </w:t>
      </w:r>
      <w:r w:rsidR="000A08A7">
        <w:rPr>
          <w:rFonts w:cs="Times New Roman"/>
        </w:rPr>
        <w:t>emergency</w:t>
      </w:r>
      <w:r w:rsidR="00D9532E">
        <w:rPr>
          <w:rFonts w:cs="Times New Roman"/>
        </w:rPr>
        <w:t>.</w:t>
      </w:r>
    </w:p>
    <w:p w14:paraId="6B418C29" w14:textId="1E726C2A" w:rsidR="009E5B3A" w:rsidRPr="00DA098E" w:rsidRDefault="001E652A" w:rsidP="00DA098E">
      <w:pPr>
        <w:pStyle w:val="NoSpacing"/>
      </w:pPr>
      <w:r>
        <w:rPr>
          <w:sz w:val="4"/>
        </w:rPr>
        <w:t xml:space="preserve"> </w:t>
      </w:r>
    </w:p>
    <w:p w14:paraId="08AC7418" w14:textId="70220BB9" w:rsidR="009C4A35" w:rsidRDefault="008D307D">
      <w:pPr>
        <w:pStyle w:val="NoSpacing"/>
        <w:ind w:left="720"/>
        <w:rPr>
          <w:rFonts w:cs="Times New Roman"/>
        </w:rPr>
      </w:pPr>
      <w:r>
        <w:rPr>
          <w:rFonts w:cs="Times New Roman"/>
        </w:rPr>
        <w:t xml:space="preserve">A household’s housing plan should have goals, </w:t>
      </w:r>
      <w:r w:rsidR="00F90EDC">
        <w:rPr>
          <w:rFonts w:cs="Times New Roman"/>
        </w:rPr>
        <w:t xml:space="preserve">prioritized </w:t>
      </w:r>
      <w:r>
        <w:rPr>
          <w:rFonts w:cs="Times New Roman"/>
        </w:rPr>
        <w:t>tasks,</w:t>
      </w:r>
      <w:r w:rsidR="00F90EDC">
        <w:rPr>
          <w:rFonts w:cs="Times New Roman"/>
        </w:rPr>
        <w:t xml:space="preserve"> target dates,</w:t>
      </w:r>
      <w:r>
        <w:rPr>
          <w:rFonts w:cs="Times New Roman"/>
        </w:rPr>
        <w:t xml:space="preserve"> and clear intent. </w:t>
      </w:r>
      <w:r w:rsidR="009A1AF0">
        <w:rPr>
          <w:rFonts w:cs="Times New Roman"/>
        </w:rPr>
        <w:t xml:space="preserve">Plans </w:t>
      </w:r>
      <w:r w:rsidR="00FA754A">
        <w:rPr>
          <w:rFonts w:cs="Times New Roman"/>
        </w:rPr>
        <w:t xml:space="preserve">evolve </w:t>
      </w:r>
      <w:r w:rsidR="004D465F">
        <w:rPr>
          <w:rFonts w:cs="Times New Roman"/>
        </w:rPr>
        <w:t>with</w:t>
      </w:r>
      <w:r w:rsidR="00FA754A">
        <w:rPr>
          <w:rFonts w:cs="Times New Roman"/>
        </w:rPr>
        <w:t xml:space="preserve"> changing circumstances </w:t>
      </w:r>
      <w:r w:rsidR="004D465F">
        <w:rPr>
          <w:rFonts w:cs="Times New Roman"/>
        </w:rPr>
        <w:t>and</w:t>
      </w:r>
      <w:r w:rsidR="00FA754A">
        <w:rPr>
          <w:rFonts w:cs="Times New Roman"/>
        </w:rPr>
        <w:t xml:space="preserve"> households may need to update or revise their plans </w:t>
      </w:r>
      <w:r w:rsidR="004D465F">
        <w:rPr>
          <w:rFonts w:cs="Times New Roman"/>
        </w:rPr>
        <w:t>so they r</w:t>
      </w:r>
      <w:r w:rsidR="00FA754A">
        <w:rPr>
          <w:rFonts w:cs="Times New Roman"/>
        </w:rPr>
        <w:t xml:space="preserve">eflect </w:t>
      </w:r>
      <w:r w:rsidR="004D465F">
        <w:rPr>
          <w:rFonts w:cs="Times New Roman"/>
        </w:rPr>
        <w:t>current goals and tasks</w:t>
      </w:r>
      <w:r w:rsidR="009A1AF0">
        <w:rPr>
          <w:rFonts w:cs="Times New Roman"/>
        </w:rPr>
        <w:t xml:space="preserve">. </w:t>
      </w:r>
      <w:r w:rsidR="00FA754A">
        <w:rPr>
          <w:rFonts w:cs="Times New Roman"/>
        </w:rPr>
        <w:t>Project Sponsors should only provide h</w:t>
      </w:r>
      <w:r>
        <w:rPr>
          <w:rFonts w:cs="Times New Roman"/>
        </w:rPr>
        <w:t xml:space="preserve">ousing assistance to households that </w:t>
      </w:r>
      <w:r w:rsidR="00FA754A">
        <w:rPr>
          <w:rFonts w:cs="Times New Roman"/>
        </w:rPr>
        <w:t>adhere</w:t>
      </w:r>
      <w:r w:rsidR="00D9532E">
        <w:rPr>
          <w:rFonts w:cs="Times New Roman"/>
        </w:rPr>
        <w:t xml:space="preserve"> to their plans.</w:t>
      </w:r>
      <w:r w:rsidR="00F90EDC">
        <w:rPr>
          <w:rFonts w:cs="Times New Roman"/>
        </w:rPr>
        <w:t xml:space="preserve"> Housing case m</w:t>
      </w:r>
      <w:r w:rsidR="008E48CB" w:rsidRPr="008E48CB">
        <w:rPr>
          <w:rFonts w:cs="Times New Roman"/>
        </w:rPr>
        <w:t>anagers follow up with clients to monitor their progress and needs</w:t>
      </w:r>
      <w:r w:rsidR="002E608F">
        <w:rPr>
          <w:rFonts w:cs="Times New Roman"/>
        </w:rPr>
        <w:t>.</w:t>
      </w:r>
      <w:r w:rsidR="001750FB">
        <w:rPr>
          <w:rFonts w:cs="Times New Roman"/>
        </w:rPr>
        <w:t xml:space="preserve"> </w:t>
      </w:r>
      <w:r w:rsidR="001750FB" w:rsidRPr="001750FB">
        <w:rPr>
          <w:rFonts w:cs="Times New Roman"/>
        </w:rPr>
        <w:t xml:space="preserve">If a household </w:t>
      </w:r>
      <w:r w:rsidR="00FA754A">
        <w:rPr>
          <w:rFonts w:cs="Times New Roman"/>
        </w:rPr>
        <w:t>does not adhere</w:t>
      </w:r>
      <w:r w:rsidR="001750FB" w:rsidRPr="001750FB">
        <w:rPr>
          <w:rFonts w:cs="Times New Roman"/>
        </w:rPr>
        <w:t xml:space="preserve"> to their housing plan or DSHS HOPWA Program rules, or if a Project Sponsor has reason to believe the household </w:t>
      </w:r>
      <w:r w:rsidR="00FA754A">
        <w:rPr>
          <w:rFonts w:cs="Times New Roman"/>
        </w:rPr>
        <w:t>has</w:t>
      </w:r>
      <w:r w:rsidR="00FA754A" w:rsidRPr="001750FB">
        <w:rPr>
          <w:rFonts w:cs="Times New Roman"/>
        </w:rPr>
        <w:t xml:space="preserve"> </w:t>
      </w:r>
      <w:r w:rsidR="001750FB" w:rsidRPr="001750FB">
        <w:rPr>
          <w:rFonts w:cs="Times New Roman"/>
        </w:rPr>
        <w:t>commi</w:t>
      </w:r>
      <w:r w:rsidR="00FA754A">
        <w:rPr>
          <w:rFonts w:cs="Times New Roman"/>
        </w:rPr>
        <w:t>tted</w:t>
      </w:r>
      <w:r w:rsidR="001750FB" w:rsidRPr="001750FB">
        <w:rPr>
          <w:rFonts w:cs="Times New Roman"/>
        </w:rPr>
        <w:t xml:space="preserve"> fraud or inappropriately us</w:t>
      </w:r>
      <w:r w:rsidR="00FA754A">
        <w:rPr>
          <w:rFonts w:cs="Times New Roman"/>
        </w:rPr>
        <w:t>ed</w:t>
      </w:r>
      <w:r w:rsidR="001750FB" w:rsidRPr="001750FB">
        <w:rPr>
          <w:rFonts w:cs="Times New Roman"/>
        </w:rPr>
        <w:t xml:space="preserve"> program services, </w:t>
      </w:r>
      <w:bookmarkStart w:id="45" w:name="_Hlk75183376"/>
      <w:r w:rsidR="001750FB" w:rsidRPr="001750FB">
        <w:rPr>
          <w:rFonts w:cs="Times New Roman"/>
        </w:rPr>
        <w:t>the Project Sponsor may terminate the household from the program per their termination policies and procedures see (Section 16. Termination)</w:t>
      </w:r>
      <w:bookmarkEnd w:id="45"/>
      <w:r w:rsidR="001750FB" w:rsidRPr="001750FB">
        <w:rPr>
          <w:rFonts w:cs="Times New Roman"/>
        </w:rPr>
        <w:t>.</w:t>
      </w:r>
    </w:p>
    <w:p w14:paraId="2C36FBBE" w14:textId="0F286CC6" w:rsidR="00FD198B" w:rsidRPr="00ED208F" w:rsidRDefault="00FD198B">
      <w:pPr>
        <w:pStyle w:val="NoSpacing"/>
      </w:pPr>
    </w:p>
    <w:p w14:paraId="04D004FA" w14:textId="6FD72041" w:rsidR="00580E04" w:rsidRDefault="004D465F">
      <w:pPr>
        <w:pStyle w:val="NoSpacing"/>
        <w:ind w:left="720"/>
        <w:rPr>
          <w:rFonts w:cs="Times New Roman"/>
        </w:rPr>
      </w:pPr>
      <w:r>
        <w:rPr>
          <w:rFonts w:cs="Times New Roman"/>
        </w:rPr>
        <w:lastRenderedPageBreak/>
        <w:t xml:space="preserve">Households and Project Sponsors should base </w:t>
      </w:r>
      <w:r w:rsidR="009C4A35">
        <w:rPr>
          <w:rFonts w:cs="Times New Roman"/>
        </w:rPr>
        <w:t>budget</w:t>
      </w:r>
      <w:r>
        <w:rPr>
          <w:rFonts w:cs="Times New Roman"/>
        </w:rPr>
        <w:t>s</w:t>
      </w:r>
      <w:r w:rsidR="009C4A35">
        <w:rPr>
          <w:rFonts w:cs="Times New Roman"/>
        </w:rPr>
        <w:t xml:space="preserve"> on act</w:t>
      </w:r>
      <w:r w:rsidR="005A2088">
        <w:rPr>
          <w:rFonts w:cs="Times New Roman"/>
        </w:rPr>
        <w:t>u</w:t>
      </w:r>
      <w:r w:rsidR="009C4A35">
        <w:rPr>
          <w:rFonts w:cs="Times New Roman"/>
        </w:rPr>
        <w:t>al income and expenditures</w:t>
      </w:r>
      <w:r>
        <w:rPr>
          <w:rFonts w:cs="Times New Roman"/>
        </w:rPr>
        <w:t xml:space="preserve"> so they can better understand </w:t>
      </w:r>
      <w:r w:rsidR="009C4A35">
        <w:rPr>
          <w:rFonts w:cs="Times New Roman"/>
        </w:rPr>
        <w:t xml:space="preserve">household spending patterns. For example, a budget </w:t>
      </w:r>
      <w:r w:rsidR="002A211E">
        <w:rPr>
          <w:rFonts w:cs="Times New Roman"/>
        </w:rPr>
        <w:t xml:space="preserve">might </w:t>
      </w:r>
      <w:r w:rsidR="00DC1EF6">
        <w:rPr>
          <w:rFonts w:cs="Times New Roman"/>
        </w:rPr>
        <w:t>assess</w:t>
      </w:r>
      <w:r w:rsidR="009C4A35">
        <w:rPr>
          <w:rFonts w:cs="Times New Roman"/>
        </w:rPr>
        <w:t xml:space="preserve"> the last 30 days of income and expenditures to better understand recent spending and determine current available </w:t>
      </w:r>
      <w:r w:rsidR="00EC56B4">
        <w:rPr>
          <w:rFonts w:cs="Times New Roman"/>
        </w:rPr>
        <w:t xml:space="preserve">financial resources. The plan, </w:t>
      </w:r>
      <w:r w:rsidR="009C4A35">
        <w:rPr>
          <w:rFonts w:cs="Times New Roman"/>
        </w:rPr>
        <w:t>with the budget,</w:t>
      </w:r>
      <w:r w:rsidR="008E48CB" w:rsidRPr="008E48CB">
        <w:rPr>
          <w:rFonts w:cs="Times New Roman"/>
        </w:rPr>
        <w:t xml:space="preserve"> </w:t>
      </w:r>
      <w:r w:rsidR="00EC56B4">
        <w:rPr>
          <w:rFonts w:cs="Times New Roman"/>
        </w:rPr>
        <w:t>could</w:t>
      </w:r>
      <w:r w:rsidR="008E48CB" w:rsidRPr="008E48CB">
        <w:rPr>
          <w:rFonts w:cs="Times New Roman"/>
        </w:rPr>
        <w:t xml:space="preserve"> address money management issues</w:t>
      </w:r>
      <w:r w:rsidR="00EC56B4">
        <w:rPr>
          <w:rFonts w:cs="Times New Roman"/>
        </w:rPr>
        <w:t xml:space="preserve"> (particularly</w:t>
      </w:r>
      <w:r w:rsidR="008E48CB" w:rsidRPr="008E48CB">
        <w:rPr>
          <w:rFonts w:cs="Times New Roman"/>
        </w:rPr>
        <w:t xml:space="preserve"> if </w:t>
      </w:r>
      <w:r w:rsidR="00EC56B4">
        <w:rPr>
          <w:rFonts w:cs="Times New Roman"/>
        </w:rPr>
        <w:t xml:space="preserve">housing instability </w:t>
      </w:r>
      <w:r>
        <w:rPr>
          <w:rFonts w:cs="Times New Roman"/>
        </w:rPr>
        <w:t>relates to</w:t>
      </w:r>
      <w:r w:rsidR="008E48CB" w:rsidRPr="008E48CB">
        <w:rPr>
          <w:rFonts w:cs="Times New Roman"/>
        </w:rPr>
        <w:t xml:space="preserve"> poor money management practices, such as the use of credit cards or cash for non-essential items or entertainment activi</w:t>
      </w:r>
      <w:r w:rsidR="001A6FBB">
        <w:rPr>
          <w:rFonts w:cs="Times New Roman"/>
        </w:rPr>
        <w:t>ties</w:t>
      </w:r>
      <w:r w:rsidR="00EC56B4">
        <w:rPr>
          <w:rFonts w:cs="Times New Roman"/>
        </w:rPr>
        <w:t>)</w:t>
      </w:r>
      <w:r w:rsidR="001A6FBB">
        <w:rPr>
          <w:rFonts w:cs="Times New Roman"/>
        </w:rPr>
        <w:t>.</w:t>
      </w:r>
      <w:r w:rsidR="009C4A35">
        <w:rPr>
          <w:rFonts w:cs="Times New Roman"/>
        </w:rPr>
        <w:t xml:space="preserve"> </w:t>
      </w:r>
      <w:r>
        <w:rPr>
          <w:rFonts w:cs="Times New Roman"/>
        </w:rPr>
        <w:t xml:space="preserve">Households can also use </w:t>
      </w:r>
      <w:r w:rsidR="009C4A35">
        <w:rPr>
          <w:rFonts w:cs="Times New Roman"/>
        </w:rPr>
        <w:t>Form M to plan</w:t>
      </w:r>
      <w:r w:rsidR="002B1BD8">
        <w:rPr>
          <w:rFonts w:cs="Times New Roman"/>
        </w:rPr>
        <w:t xml:space="preserve"> and prioritize</w:t>
      </w:r>
      <w:r w:rsidR="009C4A35">
        <w:rPr>
          <w:rFonts w:cs="Times New Roman"/>
        </w:rPr>
        <w:t xml:space="preserve"> future expenditures</w:t>
      </w:r>
      <w:r w:rsidR="00EC56B4">
        <w:rPr>
          <w:rFonts w:cs="Times New Roman"/>
        </w:rPr>
        <w:t xml:space="preserve"> </w:t>
      </w:r>
      <w:r>
        <w:rPr>
          <w:rFonts w:cs="Times New Roman"/>
        </w:rPr>
        <w:t>in the interest of promoting</w:t>
      </w:r>
      <w:r w:rsidR="00EC56B4">
        <w:rPr>
          <w:rFonts w:cs="Times New Roman"/>
        </w:rPr>
        <w:t xml:space="preserve"> financial stability</w:t>
      </w:r>
      <w:r w:rsidR="009C4A35">
        <w:rPr>
          <w:rFonts w:cs="Times New Roman"/>
        </w:rPr>
        <w:t>.</w:t>
      </w:r>
    </w:p>
    <w:p w14:paraId="124EA7FF" w14:textId="2CAD109C" w:rsidR="0020236B" w:rsidRPr="00A25B91" w:rsidRDefault="0020236B" w:rsidP="002A61C8">
      <w:pPr>
        <w:pStyle w:val="NoSpacing"/>
        <w:rPr>
          <w:rFonts w:cs="Times New Roman"/>
        </w:rPr>
      </w:pPr>
    </w:p>
    <w:p w14:paraId="032485FC" w14:textId="06630C50" w:rsidR="007D2EAA" w:rsidRPr="0082659C" w:rsidRDefault="00D77584">
      <w:pPr>
        <w:pStyle w:val="NoSpacing"/>
        <w:numPr>
          <w:ilvl w:val="1"/>
          <w:numId w:val="43"/>
        </w:numPr>
        <w:rPr>
          <w:rFonts w:cs="Times New Roman"/>
          <w:b/>
          <w:u w:val="single"/>
        </w:rPr>
      </w:pPr>
      <w:r>
        <w:rPr>
          <w:rFonts w:cs="Times New Roman"/>
          <w:b/>
          <w:u w:val="single"/>
        </w:rPr>
        <w:t>HCM</w:t>
      </w:r>
      <w:r w:rsidR="007D2EAA" w:rsidRPr="0082659C">
        <w:rPr>
          <w:rFonts w:cs="Times New Roman"/>
          <w:b/>
          <w:u w:val="single"/>
        </w:rPr>
        <w:t xml:space="preserve"> Outcome Measures</w:t>
      </w:r>
    </w:p>
    <w:p w14:paraId="7BCA8BA2" w14:textId="09FFA87D" w:rsidR="00026315" w:rsidRDefault="00BC01B7" w:rsidP="00B15C68">
      <w:pPr>
        <w:pStyle w:val="NoSpacing"/>
        <w:ind w:left="720"/>
        <w:rPr>
          <w:rFonts w:cs="Times New Roman"/>
        </w:rPr>
      </w:pPr>
      <w:r>
        <w:rPr>
          <w:rFonts w:cs="Times New Roman"/>
        </w:rPr>
        <w:t xml:space="preserve">HCM services do not </w:t>
      </w:r>
      <w:r w:rsidR="000A08A7">
        <w:rPr>
          <w:rFonts w:cs="Times New Roman"/>
        </w:rPr>
        <w:t xml:space="preserve">currently </w:t>
      </w:r>
      <w:r>
        <w:rPr>
          <w:rFonts w:cs="Times New Roman"/>
        </w:rPr>
        <w:t>have outcome measure</w:t>
      </w:r>
      <w:r w:rsidR="000A08A7">
        <w:rPr>
          <w:rFonts w:cs="Times New Roman"/>
        </w:rPr>
        <w:t>s</w:t>
      </w:r>
      <w:r>
        <w:rPr>
          <w:rFonts w:cs="Times New Roman"/>
        </w:rPr>
        <w:t>.</w:t>
      </w:r>
    </w:p>
    <w:p w14:paraId="05FEB930" w14:textId="77777777" w:rsidR="00495AE2" w:rsidRDefault="00495AE2" w:rsidP="00B15C68">
      <w:pPr>
        <w:pStyle w:val="NoSpacing"/>
        <w:ind w:left="720"/>
        <w:rPr>
          <w:rFonts w:cs="Times New Roman"/>
        </w:rPr>
      </w:pPr>
    </w:p>
    <w:p w14:paraId="6DEE5346" w14:textId="17A0AF13" w:rsidR="00F37AAB" w:rsidRDefault="00F37AAB" w:rsidP="00066B7E">
      <w:pPr>
        <w:pStyle w:val="Heading2"/>
        <w:rPr>
          <w:szCs w:val="32"/>
        </w:rPr>
      </w:pPr>
      <w:bookmarkStart w:id="46" w:name="_Toc140755475"/>
      <w:r w:rsidRPr="00066B7E">
        <w:rPr>
          <w:szCs w:val="32"/>
        </w:rPr>
        <w:t>Housing Information Services</w:t>
      </w:r>
      <w:r w:rsidR="00C3340B" w:rsidRPr="00066B7E">
        <w:rPr>
          <w:szCs w:val="32"/>
        </w:rPr>
        <w:t xml:space="preserve"> (HIS)</w:t>
      </w:r>
      <w:bookmarkEnd w:id="46"/>
    </w:p>
    <w:p w14:paraId="0F5F783E" w14:textId="77777777" w:rsidR="008A4538" w:rsidRPr="0019001F" w:rsidRDefault="008A4538" w:rsidP="008A4538">
      <w:pPr>
        <w:numPr>
          <w:ilvl w:val="0"/>
          <w:numId w:val="116"/>
        </w:numPr>
        <w:spacing w:after="0" w:line="240" w:lineRule="auto"/>
        <w:rPr>
          <w:rFonts w:ascii="Calibri" w:eastAsia="Calibri" w:hAnsi="Calibri" w:cs="Times New Roman"/>
          <w:b/>
          <w:u w:val="single"/>
        </w:rPr>
      </w:pPr>
      <w:r w:rsidRPr="0019001F">
        <w:rPr>
          <w:rFonts w:ascii="Calibri" w:eastAsia="Calibri" w:hAnsi="Calibri" w:cs="Times New Roman"/>
          <w:b/>
          <w:u w:val="single"/>
        </w:rPr>
        <w:t>Purpose</w:t>
      </w:r>
    </w:p>
    <w:p w14:paraId="5C94A80F" w14:textId="0EE053F3" w:rsidR="008A4538" w:rsidRPr="00DF18C5" w:rsidRDefault="008A4538" w:rsidP="008A4538">
      <w:pPr>
        <w:spacing w:after="0" w:line="240" w:lineRule="auto"/>
        <w:ind w:left="720"/>
        <w:rPr>
          <w:rFonts w:ascii="Calibri" w:eastAsia="Calibri" w:hAnsi="Calibri" w:cs="Times New Roman"/>
        </w:rPr>
      </w:pPr>
      <w:r w:rsidRPr="00DF18C5">
        <w:rPr>
          <w:rFonts w:ascii="Calibri" w:eastAsia="Calibri" w:hAnsi="Calibri" w:cs="Times New Roman"/>
        </w:rPr>
        <w:t>Per 24 CFR §574.300, Housing Information Services</w:t>
      </w:r>
      <w:r w:rsidR="008B2D15">
        <w:rPr>
          <w:rFonts w:ascii="Calibri" w:eastAsia="Calibri" w:hAnsi="Calibri" w:cs="Times New Roman"/>
        </w:rPr>
        <w:t xml:space="preserve"> (HIS)</w:t>
      </w:r>
      <w:r w:rsidRPr="00DF18C5">
        <w:rPr>
          <w:rFonts w:ascii="Calibri" w:eastAsia="Calibri" w:hAnsi="Calibri" w:cs="Times New Roman"/>
        </w:rPr>
        <w:t xml:space="preserve"> include, but are not limited to, counseling, information, and referral services to assist households with locating, acquiring, financing, and maintaining housing. This may also include fair housing guidance for households that have encountered discrimination </w:t>
      </w:r>
      <w:r w:rsidR="00B22EA3" w:rsidRPr="00DF18C5">
        <w:rPr>
          <w:rFonts w:ascii="Calibri" w:eastAsia="Calibri" w:hAnsi="Calibri" w:cs="Times New Roman"/>
        </w:rPr>
        <w:t>based on</w:t>
      </w:r>
      <w:r w:rsidRPr="00DF18C5">
        <w:rPr>
          <w:rFonts w:ascii="Calibri" w:eastAsia="Calibri" w:hAnsi="Calibri" w:cs="Times New Roman"/>
        </w:rPr>
        <w:t xml:space="preserve"> race, color, religion, sex</w:t>
      </w:r>
      <w:r w:rsidR="00E04211">
        <w:rPr>
          <w:rFonts w:ascii="Calibri" w:eastAsia="Calibri" w:hAnsi="Calibri" w:cs="Times New Roman"/>
        </w:rPr>
        <w:t xml:space="preserve"> </w:t>
      </w:r>
      <w:bookmarkStart w:id="47" w:name="_Hlk140800895"/>
      <w:r w:rsidR="00E04211">
        <w:rPr>
          <w:rFonts w:ascii="Calibri" w:eastAsia="Calibri" w:hAnsi="Calibri" w:cs="Times New Roman"/>
        </w:rPr>
        <w:t>(including gender identity and sexual orientation)</w:t>
      </w:r>
      <w:bookmarkEnd w:id="47"/>
      <w:r w:rsidRPr="00DF18C5">
        <w:rPr>
          <w:rFonts w:ascii="Calibri" w:eastAsia="Calibri" w:hAnsi="Calibri" w:cs="Times New Roman"/>
        </w:rPr>
        <w:t xml:space="preserve">, age, national origin, familial status, or disability. </w:t>
      </w:r>
      <w:r>
        <w:rPr>
          <w:rFonts w:ascii="Calibri" w:eastAsia="Calibri" w:hAnsi="Calibri" w:cs="Times New Roman"/>
        </w:rPr>
        <w:t>Housing c</w:t>
      </w:r>
      <w:r w:rsidRPr="00DF18C5">
        <w:rPr>
          <w:rFonts w:ascii="Calibri" w:eastAsia="Calibri" w:hAnsi="Calibri" w:cs="Times New Roman"/>
        </w:rPr>
        <w:t xml:space="preserve">ounseling, as defined in 24 CFR §5.100, funded </w:t>
      </w:r>
      <w:r w:rsidR="00401FF2">
        <w:rPr>
          <w:rFonts w:ascii="Calibri" w:eastAsia="Calibri" w:hAnsi="Calibri" w:cs="Times New Roman"/>
        </w:rPr>
        <w:t>by HOPWA</w:t>
      </w:r>
      <w:r w:rsidR="00401FF2" w:rsidRPr="00DF18C5">
        <w:rPr>
          <w:rFonts w:ascii="Calibri" w:eastAsia="Calibri" w:hAnsi="Calibri" w:cs="Times New Roman"/>
        </w:rPr>
        <w:t xml:space="preserve"> </w:t>
      </w:r>
      <w:r w:rsidRPr="00DF18C5">
        <w:rPr>
          <w:rFonts w:ascii="Calibri" w:eastAsia="Calibri" w:hAnsi="Calibri" w:cs="Times New Roman"/>
        </w:rPr>
        <w:t xml:space="preserve">or provided in connection with HOPWA </w:t>
      </w:r>
      <w:r w:rsidR="00401FF2">
        <w:rPr>
          <w:rFonts w:ascii="Calibri" w:eastAsia="Calibri" w:hAnsi="Calibri" w:cs="Times New Roman"/>
        </w:rPr>
        <w:t>services</w:t>
      </w:r>
      <w:r w:rsidR="00401FF2" w:rsidRPr="00DF18C5">
        <w:rPr>
          <w:rFonts w:ascii="Calibri" w:eastAsia="Calibri" w:hAnsi="Calibri" w:cs="Times New Roman"/>
        </w:rPr>
        <w:t xml:space="preserve"> </w:t>
      </w:r>
      <w:r w:rsidRPr="00DF18C5">
        <w:rPr>
          <w:rFonts w:ascii="Calibri" w:eastAsia="Calibri" w:hAnsi="Calibri" w:cs="Times New Roman"/>
        </w:rPr>
        <w:t xml:space="preserve">must </w:t>
      </w:r>
      <w:r w:rsidR="00401FF2">
        <w:rPr>
          <w:rFonts w:ascii="Calibri" w:eastAsia="Calibri" w:hAnsi="Calibri" w:cs="Times New Roman"/>
        </w:rPr>
        <w:t>adhere to</w:t>
      </w:r>
      <w:r w:rsidRPr="00DF18C5">
        <w:rPr>
          <w:rFonts w:ascii="Calibri" w:eastAsia="Calibri" w:hAnsi="Calibri" w:cs="Times New Roman"/>
        </w:rPr>
        <w:t xml:space="preserve"> 24 CFR §5.111</w:t>
      </w:r>
      <w:r>
        <w:rPr>
          <w:rFonts w:ascii="Calibri" w:eastAsia="Calibri" w:hAnsi="Calibri" w:cs="Times New Roman"/>
        </w:rPr>
        <w:t xml:space="preserve"> and should be performed by a certified housing counseling agency</w:t>
      </w:r>
      <w:r w:rsidRPr="00DF18C5">
        <w:rPr>
          <w:rFonts w:ascii="Calibri" w:eastAsia="Calibri" w:hAnsi="Calibri" w:cs="Times New Roman"/>
        </w:rPr>
        <w:t>. Al</w:t>
      </w:r>
      <w:r>
        <w:rPr>
          <w:rFonts w:ascii="Calibri" w:eastAsia="Calibri" w:hAnsi="Calibri" w:cs="Times New Roman"/>
        </w:rPr>
        <w:t>so, the content and process of housing c</w:t>
      </w:r>
      <w:r w:rsidRPr="00DF18C5">
        <w:rPr>
          <w:rFonts w:ascii="Calibri" w:eastAsia="Calibri" w:hAnsi="Calibri" w:cs="Times New Roman"/>
        </w:rPr>
        <w:t>ounseling must meet the standards outlined in 24 CFR §214.</w:t>
      </w:r>
    </w:p>
    <w:p w14:paraId="4E002782" w14:textId="7992D59F" w:rsidR="008A4538" w:rsidRDefault="008A4538" w:rsidP="008A4538">
      <w:pPr>
        <w:spacing w:after="0" w:line="240" w:lineRule="auto"/>
        <w:ind w:left="720"/>
        <w:rPr>
          <w:rFonts w:ascii="Calibri" w:eastAsia="Calibri" w:hAnsi="Calibri" w:cs="Times New Roman"/>
          <w:color w:val="C00000"/>
        </w:rPr>
      </w:pPr>
      <w:r w:rsidRPr="00267CC2">
        <w:rPr>
          <w:rFonts w:ascii="Calibri" w:eastAsia="Calibri" w:hAnsi="Calibri" w:cs="Times New Roman"/>
          <w:b/>
          <w:color w:val="C00000"/>
        </w:rPr>
        <w:t>NOTE:</w:t>
      </w:r>
      <w:r w:rsidRPr="00267CC2">
        <w:rPr>
          <w:rFonts w:ascii="Calibri" w:eastAsia="Calibri" w:hAnsi="Calibri" w:cs="Times New Roman"/>
          <w:color w:val="C00000"/>
        </w:rPr>
        <w:t xml:space="preserve"> </w:t>
      </w:r>
      <w:r>
        <w:rPr>
          <w:rFonts w:ascii="Calibri" w:eastAsia="Calibri" w:hAnsi="Calibri" w:cs="Times New Roman"/>
          <w:color w:val="C00000"/>
        </w:rPr>
        <w:t xml:space="preserve">Counseling, information, and referral activities </w:t>
      </w:r>
      <w:r w:rsidRPr="00267CC2">
        <w:rPr>
          <w:rFonts w:ascii="Calibri" w:eastAsia="Calibri" w:hAnsi="Calibri" w:cs="Times New Roman"/>
          <w:color w:val="C00000"/>
        </w:rPr>
        <w:t xml:space="preserve">incidental to a larger set of </w:t>
      </w:r>
      <w:r w:rsidR="00D77584">
        <w:rPr>
          <w:rFonts w:ascii="Calibri" w:eastAsia="Calibri" w:hAnsi="Calibri" w:cs="Times New Roman"/>
          <w:color w:val="C00000"/>
        </w:rPr>
        <w:t>h</w:t>
      </w:r>
      <w:r w:rsidR="00C80618">
        <w:rPr>
          <w:rFonts w:ascii="Calibri" w:eastAsia="Calibri" w:hAnsi="Calibri" w:cs="Times New Roman"/>
          <w:color w:val="C00000"/>
        </w:rPr>
        <w:t xml:space="preserve">ousing </w:t>
      </w:r>
      <w:r w:rsidR="00D77584">
        <w:rPr>
          <w:rFonts w:ascii="Calibri" w:eastAsia="Calibri" w:hAnsi="Calibri" w:cs="Times New Roman"/>
          <w:color w:val="C00000"/>
        </w:rPr>
        <w:t>c</w:t>
      </w:r>
      <w:r w:rsidR="00C80618">
        <w:rPr>
          <w:rFonts w:ascii="Calibri" w:eastAsia="Calibri" w:hAnsi="Calibri" w:cs="Times New Roman"/>
          <w:color w:val="C00000"/>
        </w:rPr>
        <w:t xml:space="preserve">ase </w:t>
      </w:r>
      <w:r w:rsidR="00D77584">
        <w:rPr>
          <w:rFonts w:ascii="Calibri" w:eastAsia="Calibri" w:hAnsi="Calibri" w:cs="Times New Roman"/>
          <w:color w:val="C00000"/>
        </w:rPr>
        <w:t>m</w:t>
      </w:r>
      <w:r>
        <w:rPr>
          <w:rFonts w:ascii="Calibri" w:eastAsia="Calibri" w:hAnsi="Calibri" w:cs="Times New Roman"/>
          <w:color w:val="C00000"/>
        </w:rPr>
        <w:t xml:space="preserve">anagement activities </w:t>
      </w:r>
      <w:r w:rsidRPr="00267CC2">
        <w:rPr>
          <w:rFonts w:ascii="Calibri" w:eastAsia="Calibri" w:hAnsi="Calibri" w:cs="Times New Roman"/>
          <w:color w:val="C00000"/>
        </w:rPr>
        <w:t xml:space="preserve">do not </w:t>
      </w:r>
      <w:r>
        <w:rPr>
          <w:rFonts w:ascii="Calibri" w:eastAsia="Calibri" w:hAnsi="Calibri" w:cs="Times New Roman"/>
          <w:color w:val="C00000"/>
        </w:rPr>
        <w:t>meet the definition of housing counseling</w:t>
      </w:r>
      <w:r w:rsidRPr="00267CC2">
        <w:rPr>
          <w:rFonts w:ascii="Calibri" w:eastAsia="Calibri" w:hAnsi="Calibri" w:cs="Times New Roman"/>
          <w:color w:val="C00000"/>
        </w:rPr>
        <w:t xml:space="preserve"> as defined in 24 CFR </w:t>
      </w:r>
      <w:r>
        <w:rPr>
          <w:rFonts w:ascii="Calibri" w:eastAsia="Calibri" w:hAnsi="Calibri" w:cs="Times New Roman"/>
          <w:color w:val="C00000"/>
        </w:rPr>
        <w:t>§5.100</w:t>
      </w:r>
      <w:r w:rsidR="00C26FC2">
        <w:rPr>
          <w:rFonts w:ascii="Calibri" w:eastAsia="Calibri" w:hAnsi="Calibri" w:cs="Times New Roman"/>
          <w:color w:val="C00000"/>
        </w:rPr>
        <w:t xml:space="preserve">. Therefore, such activities do not need to comply with 24 </w:t>
      </w:r>
      <w:r w:rsidRPr="00267CC2">
        <w:rPr>
          <w:rFonts w:ascii="Calibri" w:eastAsia="Calibri" w:hAnsi="Calibri" w:cs="Times New Roman"/>
          <w:color w:val="C00000"/>
        </w:rPr>
        <w:t>CFR §5.111.</w:t>
      </w:r>
    </w:p>
    <w:p w14:paraId="7B6986C0" w14:textId="77777777" w:rsidR="00447314" w:rsidRPr="002A61C8" w:rsidRDefault="00447314" w:rsidP="004F1682">
      <w:pPr>
        <w:spacing w:after="0" w:line="240" w:lineRule="auto"/>
        <w:rPr>
          <w:rFonts w:ascii="Calibri" w:eastAsia="Calibri" w:hAnsi="Calibri" w:cs="Times New Roman"/>
        </w:rPr>
      </w:pPr>
    </w:p>
    <w:p w14:paraId="358CA6E7" w14:textId="77777777" w:rsidR="008A4538" w:rsidRPr="0019001F" w:rsidRDefault="008A4538" w:rsidP="008A4538">
      <w:pPr>
        <w:numPr>
          <w:ilvl w:val="0"/>
          <w:numId w:val="116"/>
        </w:numPr>
        <w:spacing w:after="0" w:line="240" w:lineRule="auto"/>
        <w:rPr>
          <w:rFonts w:ascii="Calibri" w:eastAsia="Calibri" w:hAnsi="Calibri" w:cs="Times New Roman"/>
          <w:b/>
          <w:u w:val="single"/>
        </w:rPr>
      </w:pPr>
      <w:r w:rsidRPr="0019001F">
        <w:rPr>
          <w:rFonts w:ascii="Calibri" w:eastAsia="Calibri" w:hAnsi="Calibri" w:cs="Times New Roman"/>
          <w:b/>
          <w:u w:val="single"/>
        </w:rPr>
        <w:t>Eligible Costs</w:t>
      </w:r>
    </w:p>
    <w:p w14:paraId="6FEBB2DF" w14:textId="7ED5416A" w:rsidR="008A4538" w:rsidRDefault="003B6FB2" w:rsidP="002A61C8">
      <w:pPr>
        <w:pStyle w:val="NoSpacing"/>
        <w:ind w:left="720"/>
        <w:rPr>
          <w:rFonts w:ascii="Calibri" w:hAnsi="Calibri"/>
          <w:szCs w:val="32"/>
        </w:rPr>
      </w:pPr>
      <w:r w:rsidRPr="003B6FB2">
        <w:rPr>
          <w:rFonts w:ascii="Calibri" w:hAnsi="Calibri"/>
          <w:szCs w:val="32"/>
        </w:rPr>
        <w:t xml:space="preserve">Generally, </w:t>
      </w:r>
      <w:r>
        <w:rPr>
          <w:rFonts w:ascii="Calibri" w:hAnsi="Calibri"/>
          <w:szCs w:val="32"/>
        </w:rPr>
        <w:t>eligible</w:t>
      </w:r>
      <w:r w:rsidRPr="003B6FB2">
        <w:rPr>
          <w:rFonts w:ascii="Calibri" w:hAnsi="Calibri"/>
          <w:szCs w:val="32"/>
        </w:rPr>
        <w:t xml:space="preserve"> costs include personnel, travel, equipment, supplies</w:t>
      </w:r>
      <w:r>
        <w:rPr>
          <w:rFonts w:ascii="Calibri" w:hAnsi="Calibri"/>
          <w:szCs w:val="32"/>
        </w:rPr>
        <w:t>, and contracts for good</w:t>
      </w:r>
      <w:r w:rsidR="00A52D5D">
        <w:rPr>
          <w:rFonts w:ascii="Calibri" w:hAnsi="Calibri"/>
          <w:szCs w:val="32"/>
        </w:rPr>
        <w:t>s</w:t>
      </w:r>
      <w:r>
        <w:rPr>
          <w:rFonts w:ascii="Calibri" w:hAnsi="Calibri"/>
          <w:szCs w:val="32"/>
        </w:rPr>
        <w:t xml:space="preserve"> and services</w:t>
      </w:r>
      <w:r w:rsidRPr="003B6FB2">
        <w:rPr>
          <w:rFonts w:ascii="Calibri" w:hAnsi="Calibri"/>
          <w:szCs w:val="32"/>
        </w:rPr>
        <w:t>. Costs must be</w:t>
      </w:r>
      <w:r w:rsidR="00D47D01">
        <w:rPr>
          <w:rFonts w:ascii="Calibri" w:hAnsi="Calibri"/>
          <w:szCs w:val="32"/>
        </w:rPr>
        <w:t xml:space="preserve"> necessary,</w:t>
      </w:r>
      <w:r w:rsidRPr="003B6FB2">
        <w:rPr>
          <w:rFonts w:ascii="Calibri" w:hAnsi="Calibri"/>
          <w:szCs w:val="32"/>
        </w:rPr>
        <w:t xml:space="preserve"> reasonable, allowable, documented, and allocable to </w:t>
      </w:r>
      <w:r>
        <w:rPr>
          <w:rFonts w:ascii="Calibri" w:hAnsi="Calibri"/>
          <w:szCs w:val="32"/>
        </w:rPr>
        <w:t>HIS</w:t>
      </w:r>
      <w:r w:rsidRPr="003B6FB2">
        <w:rPr>
          <w:rFonts w:ascii="Calibri" w:hAnsi="Calibri"/>
          <w:szCs w:val="32"/>
        </w:rPr>
        <w:t>.</w:t>
      </w:r>
      <w:r>
        <w:rPr>
          <w:rFonts w:ascii="Calibri" w:hAnsi="Calibri"/>
          <w:szCs w:val="32"/>
        </w:rPr>
        <w:t xml:space="preserve"> </w:t>
      </w:r>
      <w:r w:rsidR="008B2D15">
        <w:rPr>
          <w:rFonts w:ascii="Calibri" w:hAnsi="Calibri"/>
          <w:szCs w:val="32"/>
        </w:rPr>
        <w:t>HIS</w:t>
      </w:r>
      <w:r w:rsidR="008A4538" w:rsidRPr="00E276DE">
        <w:rPr>
          <w:rFonts w:ascii="Calibri" w:hAnsi="Calibri"/>
          <w:szCs w:val="32"/>
        </w:rPr>
        <w:t xml:space="preserve"> </w:t>
      </w:r>
      <w:r w:rsidR="0026256B">
        <w:rPr>
          <w:rFonts w:ascii="Calibri" w:hAnsi="Calibri"/>
          <w:szCs w:val="32"/>
        </w:rPr>
        <w:t>service delivery activities may include</w:t>
      </w:r>
      <w:r w:rsidR="008A4538" w:rsidRPr="00207302">
        <w:rPr>
          <w:rFonts w:ascii="Calibri" w:hAnsi="Calibri"/>
          <w:szCs w:val="32"/>
        </w:rPr>
        <w:t>:</w:t>
      </w:r>
    </w:p>
    <w:p w14:paraId="403A15BD" w14:textId="0E7EE37E" w:rsidR="008A4538" w:rsidRPr="000C76CE" w:rsidRDefault="008A4538" w:rsidP="008A4538">
      <w:pPr>
        <w:pStyle w:val="ListParagraph"/>
        <w:numPr>
          <w:ilvl w:val="1"/>
          <w:numId w:val="116"/>
        </w:numPr>
        <w:spacing w:after="0"/>
        <w:rPr>
          <w:rFonts w:ascii="Calibri" w:hAnsi="Calibri"/>
          <w:szCs w:val="32"/>
        </w:rPr>
      </w:pPr>
      <w:r>
        <w:rPr>
          <w:rFonts w:ascii="Calibri" w:hAnsi="Calibri"/>
          <w:szCs w:val="32"/>
        </w:rPr>
        <w:t>Exploring</w:t>
      </w:r>
      <w:r w:rsidRPr="000C76CE">
        <w:rPr>
          <w:rFonts w:ascii="Calibri" w:hAnsi="Calibri"/>
          <w:szCs w:val="32"/>
        </w:rPr>
        <w:t xml:space="preserve"> households’ housing status, barriers, and needs</w:t>
      </w:r>
    </w:p>
    <w:p w14:paraId="0F60CFE6" w14:textId="7D012B29" w:rsidR="008A4538" w:rsidRDefault="008A4538" w:rsidP="008A4538">
      <w:pPr>
        <w:pStyle w:val="NoSpacing"/>
        <w:numPr>
          <w:ilvl w:val="1"/>
          <w:numId w:val="116"/>
        </w:numPr>
        <w:rPr>
          <w:rFonts w:ascii="Calibri" w:hAnsi="Calibri"/>
          <w:szCs w:val="32"/>
        </w:rPr>
      </w:pPr>
      <w:r>
        <w:rPr>
          <w:rFonts w:ascii="Calibri" w:hAnsi="Calibri"/>
          <w:szCs w:val="32"/>
        </w:rPr>
        <w:t>Searching for and referring households to available and appropriate housing or shelter</w:t>
      </w:r>
    </w:p>
    <w:p w14:paraId="10147509" w14:textId="24A20C91" w:rsidR="008A4538" w:rsidRDefault="008A4538" w:rsidP="008A4538">
      <w:pPr>
        <w:pStyle w:val="NoSpacing"/>
        <w:numPr>
          <w:ilvl w:val="1"/>
          <w:numId w:val="116"/>
        </w:numPr>
        <w:rPr>
          <w:rFonts w:ascii="Calibri" w:hAnsi="Calibri"/>
          <w:szCs w:val="32"/>
        </w:rPr>
      </w:pPr>
      <w:r>
        <w:rPr>
          <w:rFonts w:ascii="Calibri" w:hAnsi="Calibri"/>
          <w:szCs w:val="32"/>
        </w:rPr>
        <w:t xml:space="preserve">Providing services that </w:t>
      </w:r>
      <w:r w:rsidRPr="001B47C0">
        <w:rPr>
          <w:rFonts w:ascii="Calibri" w:hAnsi="Calibri"/>
          <w:szCs w:val="32"/>
        </w:rPr>
        <w:t>assist with locating, acquiring, financing, and maintaining housing</w:t>
      </w:r>
    </w:p>
    <w:p w14:paraId="7BDAA2DF" w14:textId="04933368" w:rsidR="008A4538" w:rsidRDefault="008A4538" w:rsidP="008A4538">
      <w:pPr>
        <w:pStyle w:val="NoSpacing"/>
        <w:numPr>
          <w:ilvl w:val="1"/>
          <w:numId w:val="116"/>
        </w:numPr>
        <w:rPr>
          <w:rFonts w:ascii="Calibri" w:hAnsi="Calibri"/>
          <w:szCs w:val="32"/>
        </w:rPr>
      </w:pPr>
      <w:r w:rsidRPr="00E518C5">
        <w:rPr>
          <w:rFonts w:ascii="Calibri" w:hAnsi="Calibri"/>
          <w:szCs w:val="32"/>
        </w:rPr>
        <w:t xml:space="preserve">Advocating on behalf of households </w:t>
      </w:r>
      <w:r>
        <w:rPr>
          <w:rFonts w:ascii="Calibri" w:hAnsi="Calibri"/>
          <w:szCs w:val="32"/>
        </w:rPr>
        <w:t>with housing barriers</w:t>
      </w:r>
    </w:p>
    <w:p w14:paraId="0DA74598" w14:textId="467AC611" w:rsidR="008A4538" w:rsidRDefault="008A4538" w:rsidP="008A4538">
      <w:pPr>
        <w:pStyle w:val="NoSpacing"/>
        <w:numPr>
          <w:ilvl w:val="1"/>
          <w:numId w:val="116"/>
        </w:numPr>
        <w:rPr>
          <w:rFonts w:ascii="Calibri" w:hAnsi="Calibri"/>
          <w:szCs w:val="32"/>
        </w:rPr>
      </w:pPr>
      <w:r>
        <w:rPr>
          <w:rFonts w:ascii="Calibri" w:hAnsi="Calibri"/>
          <w:szCs w:val="32"/>
        </w:rPr>
        <w:t>Delivering</w:t>
      </w:r>
      <w:r w:rsidRPr="00E518C5">
        <w:rPr>
          <w:rFonts w:ascii="Calibri" w:hAnsi="Calibri"/>
          <w:szCs w:val="32"/>
        </w:rPr>
        <w:t xml:space="preserve"> </w:t>
      </w:r>
      <w:r>
        <w:rPr>
          <w:rFonts w:ascii="Calibri" w:hAnsi="Calibri"/>
          <w:szCs w:val="32"/>
        </w:rPr>
        <w:t xml:space="preserve">qualified </w:t>
      </w:r>
      <w:r w:rsidRPr="00E518C5">
        <w:rPr>
          <w:rFonts w:ascii="Calibri" w:hAnsi="Calibri"/>
          <w:szCs w:val="32"/>
        </w:rPr>
        <w:t>housing counseling</w:t>
      </w:r>
      <w:r>
        <w:rPr>
          <w:rFonts w:ascii="Calibri" w:hAnsi="Calibri"/>
          <w:szCs w:val="32"/>
        </w:rPr>
        <w:t>, fair housing guidance, and landlord/tenant mediation</w:t>
      </w:r>
    </w:p>
    <w:p w14:paraId="65258001" w14:textId="58BF75BA" w:rsidR="008A4538" w:rsidRPr="00E518C5" w:rsidRDefault="008A4538" w:rsidP="008A4538">
      <w:pPr>
        <w:pStyle w:val="NoSpacing"/>
        <w:numPr>
          <w:ilvl w:val="1"/>
          <w:numId w:val="116"/>
        </w:numPr>
        <w:rPr>
          <w:rFonts w:ascii="Calibri" w:hAnsi="Calibri"/>
          <w:szCs w:val="32"/>
        </w:rPr>
      </w:pPr>
      <w:r>
        <w:rPr>
          <w:rFonts w:ascii="Calibri" w:hAnsi="Calibri"/>
          <w:szCs w:val="32"/>
        </w:rPr>
        <w:t>Hiring consultants or other contractors for specialized housing information services</w:t>
      </w:r>
    </w:p>
    <w:p w14:paraId="6AAC9182" w14:textId="32ADBFC2" w:rsidR="008A4538" w:rsidRDefault="008A4538" w:rsidP="008A4538">
      <w:pPr>
        <w:pStyle w:val="NoSpacing"/>
        <w:numPr>
          <w:ilvl w:val="1"/>
          <w:numId w:val="116"/>
        </w:numPr>
        <w:rPr>
          <w:rFonts w:ascii="Calibri" w:hAnsi="Calibri"/>
          <w:szCs w:val="32"/>
        </w:rPr>
      </w:pPr>
      <w:r>
        <w:rPr>
          <w:rFonts w:ascii="Calibri" w:hAnsi="Calibri"/>
          <w:szCs w:val="32"/>
        </w:rPr>
        <w:t>Navigating and linking households to housing assistance and supportive services continuums of care</w:t>
      </w:r>
    </w:p>
    <w:p w14:paraId="79571EAF" w14:textId="1350D29A" w:rsidR="008A4538" w:rsidRDefault="008A4538" w:rsidP="008A4538">
      <w:pPr>
        <w:pStyle w:val="NoSpacing"/>
        <w:numPr>
          <w:ilvl w:val="1"/>
          <w:numId w:val="116"/>
        </w:numPr>
        <w:rPr>
          <w:rFonts w:ascii="Calibri" w:hAnsi="Calibri"/>
          <w:szCs w:val="32"/>
        </w:rPr>
      </w:pPr>
      <w:r>
        <w:rPr>
          <w:rFonts w:ascii="Calibri" w:hAnsi="Calibri"/>
          <w:szCs w:val="32"/>
        </w:rPr>
        <w:t>Responding to housing information inquiries from housing assistance and supportive services providers</w:t>
      </w:r>
    </w:p>
    <w:p w14:paraId="1E412673" w14:textId="0B52F455" w:rsidR="008A4538" w:rsidRDefault="008A4538" w:rsidP="008A4538">
      <w:pPr>
        <w:pStyle w:val="NoSpacing"/>
        <w:numPr>
          <w:ilvl w:val="1"/>
          <w:numId w:val="116"/>
        </w:numPr>
        <w:rPr>
          <w:rFonts w:ascii="Calibri" w:hAnsi="Calibri"/>
          <w:szCs w:val="32"/>
        </w:rPr>
      </w:pPr>
      <w:r>
        <w:rPr>
          <w:rFonts w:ascii="Calibri" w:hAnsi="Calibri"/>
          <w:szCs w:val="32"/>
        </w:rPr>
        <w:t>Organizing or collaborating with local resource fairs to provide housing information</w:t>
      </w:r>
    </w:p>
    <w:p w14:paraId="75F843A2" w14:textId="4115193B" w:rsidR="00127B92" w:rsidRPr="00DA098E" w:rsidRDefault="008A4538" w:rsidP="00DA098E">
      <w:pPr>
        <w:pStyle w:val="NoSpacing"/>
        <w:numPr>
          <w:ilvl w:val="1"/>
          <w:numId w:val="116"/>
        </w:numPr>
        <w:rPr>
          <w:rFonts w:ascii="Calibri" w:hAnsi="Calibri"/>
          <w:szCs w:val="32"/>
        </w:rPr>
      </w:pPr>
      <w:r>
        <w:rPr>
          <w:rFonts w:ascii="Calibri" w:hAnsi="Calibri"/>
          <w:szCs w:val="32"/>
        </w:rPr>
        <w:t>Holding housing information classes or presentations on the following topics:</w:t>
      </w:r>
    </w:p>
    <w:p w14:paraId="1A603B64" w14:textId="4A068E90" w:rsidR="008A4538" w:rsidRDefault="008A4538" w:rsidP="003A5712">
      <w:pPr>
        <w:pStyle w:val="NoSpacing"/>
        <w:numPr>
          <w:ilvl w:val="2"/>
          <w:numId w:val="116"/>
        </w:numPr>
        <w:ind w:left="1890" w:hanging="450"/>
        <w:rPr>
          <w:rFonts w:ascii="Calibri" w:hAnsi="Calibri"/>
          <w:szCs w:val="32"/>
        </w:rPr>
      </w:pPr>
      <w:r>
        <w:rPr>
          <w:rFonts w:ascii="Calibri" w:hAnsi="Calibri"/>
          <w:szCs w:val="32"/>
        </w:rPr>
        <w:t>Owner and tenant responsibilities</w:t>
      </w:r>
    </w:p>
    <w:p w14:paraId="78D33488" w14:textId="0E8CE9C6" w:rsidR="008A4538" w:rsidRDefault="008A4538" w:rsidP="003A5712">
      <w:pPr>
        <w:pStyle w:val="NoSpacing"/>
        <w:numPr>
          <w:ilvl w:val="2"/>
          <w:numId w:val="116"/>
        </w:numPr>
        <w:ind w:left="1890" w:hanging="450"/>
        <w:rPr>
          <w:rFonts w:ascii="Calibri" w:hAnsi="Calibri"/>
          <w:szCs w:val="32"/>
        </w:rPr>
      </w:pPr>
      <w:r>
        <w:rPr>
          <w:rFonts w:ascii="Calibri" w:hAnsi="Calibri"/>
          <w:szCs w:val="32"/>
        </w:rPr>
        <w:t>Disclosure of rental, credit, and/or criminal history to owners</w:t>
      </w:r>
    </w:p>
    <w:p w14:paraId="59933101" w14:textId="16B792A9" w:rsidR="008A4538" w:rsidRDefault="008A4538" w:rsidP="003A5712">
      <w:pPr>
        <w:pStyle w:val="NoSpacing"/>
        <w:numPr>
          <w:ilvl w:val="2"/>
          <w:numId w:val="116"/>
        </w:numPr>
        <w:ind w:left="1890" w:hanging="450"/>
        <w:rPr>
          <w:rFonts w:ascii="Calibri" w:hAnsi="Calibri"/>
          <w:szCs w:val="32"/>
        </w:rPr>
      </w:pPr>
      <w:r>
        <w:rPr>
          <w:rFonts w:ascii="Calibri" w:hAnsi="Calibri"/>
          <w:szCs w:val="32"/>
        </w:rPr>
        <w:t>Budgets and financial management</w:t>
      </w:r>
    </w:p>
    <w:p w14:paraId="7ECBC6E8" w14:textId="352C3A8D" w:rsidR="008A4538" w:rsidRDefault="008A4538" w:rsidP="003A5712">
      <w:pPr>
        <w:pStyle w:val="NoSpacing"/>
        <w:numPr>
          <w:ilvl w:val="2"/>
          <w:numId w:val="116"/>
        </w:numPr>
        <w:ind w:left="1890" w:hanging="450"/>
        <w:rPr>
          <w:rFonts w:ascii="Calibri" w:hAnsi="Calibri"/>
          <w:szCs w:val="32"/>
        </w:rPr>
      </w:pPr>
      <w:r>
        <w:rPr>
          <w:rFonts w:ascii="Calibri" w:hAnsi="Calibri"/>
          <w:szCs w:val="32"/>
        </w:rPr>
        <w:t>Leases and contracts</w:t>
      </w:r>
    </w:p>
    <w:p w14:paraId="6A9AA06C" w14:textId="699EEB46" w:rsidR="008A4538" w:rsidRDefault="008A4538" w:rsidP="003A5712">
      <w:pPr>
        <w:pStyle w:val="NoSpacing"/>
        <w:numPr>
          <w:ilvl w:val="2"/>
          <w:numId w:val="116"/>
        </w:numPr>
        <w:ind w:left="1890" w:hanging="450"/>
        <w:rPr>
          <w:rFonts w:ascii="Calibri" w:hAnsi="Calibri"/>
          <w:szCs w:val="32"/>
        </w:rPr>
      </w:pPr>
      <w:r>
        <w:rPr>
          <w:rFonts w:ascii="Calibri" w:hAnsi="Calibri"/>
          <w:szCs w:val="32"/>
        </w:rPr>
        <w:t>Fair housing and reasonable accommodations</w:t>
      </w:r>
    </w:p>
    <w:p w14:paraId="49095009" w14:textId="59FE8D39" w:rsidR="008A4538" w:rsidRDefault="008A4538" w:rsidP="003A5712">
      <w:pPr>
        <w:pStyle w:val="NoSpacing"/>
        <w:numPr>
          <w:ilvl w:val="2"/>
          <w:numId w:val="116"/>
        </w:numPr>
        <w:ind w:left="1890" w:hanging="450"/>
        <w:rPr>
          <w:rFonts w:ascii="Calibri" w:hAnsi="Calibri"/>
          <w:szCs w:val="32"/>
        </w:rPr>
      </w:pPr>
      <w:r>
        <w:rPr>
          <w:rFonts w:ascii="Calibri" w:hAnsi="Calibri"/>
          <w:szCs w:val="32"/>
        </w:rPr>
        <w:t>Safety and sanitation</w:t>
      </w:r>
    </w:p>
    <w:p w14:paraId="05504C54" w14:textId="2C7176CE" w:rsidR="008A4538" w:rsidRDefault="008A4538" w:rsidP="003A5712">
      <w:pPr>
        <w:pStyle w:val="NoSpacing"/>
        <w:numPr>
          <w:ilvl w:val="2"/>
          <w:numId w:val="116"/>
        </w:numPr>
        <w:ind w:left="1890" w:hanging="450"/>
        <w:rPr>
          <w:rFonts w:ascii="Calibri" w:hAnsi="Calibri"/>
          <w:szCs w:val="32"/>
        </w:rPr>
      </w:pPr>
      <w:r>
        <w:rPr>
          <w:rFonts w:ascii="Calibri" w:hAnsi="Calibri"/>
          <w:szCs w:val="32"/>
        </w:rPr>
        <w:t xml:space="preserve">Other topics with advance written approval from </w:t>
      </w:r>
      <w:r w:rsidR="00FE28F9">
        <w:rPr>
          <w:rFonts w:ascii="Calibri" w:hAnsi="Calibri"/>
          <w:szCs w:val="32"/>
        </w:rPr>
        <w:t>the</w:t>
      </w:r>
      <w:r w:rsidR="00570DA0">
        <w:rPr>
          <w:rFonts w:ascii="Calibri" w:hAnsi="Calibri"/>
          <w:szCs w:val="32"/>
        </w:rPr>
        <w:t xml:space="preserve"> AA</w:t>
      </w:r>
    </w:p>
    <w:p w14:paraId="748CEAEF" w14:textId="51661BE0" w:rsidR="008A4538" w:rsidRDefault="008A4538">
      <w:pPr>
        <w:pStyle w:val="NoSpacing"/>
        <w:numPr>
          <w:ilvl w:val="1"/>
          <w:numId w:val="116"/>
        </w:numPr>
        <w:rPr>
          <w:rFonts w:ascii="Calibri" w:hAnsi="Calibri"/>
          <w:szCs w:val="32"/>
        </w:rPr>
      </w:pPr>
      <w:r>
        <w:rPr>
          <w:rFonts w:ascii="Calibri" w:hAnsi="Calibri"/>
          <w:szCs w:val="32"/>
        </w:rPr>
        <w:t>Other activities with advance written approval from DSHS</w:t>
      </w:r>
    </w:p>
    <w:p w14:paraId="251C4DB5" w14:textId="1E28D9A0" w:rsidR="008C2CA4" w:rsidRPr="008C2CA4" w:rsidRDefault="008C2CA4" w:rsidP="008C2CA4">
      <w:pPr>
        <w:pStyle w:val="NoSpacing"/>
        <w:numPr>
          <w:ilvl w:val="1"/>
          <w:numId w:val="116"/>
        </w:numPr>
        <w:rPr>
          <w:rFonts w:ascii="Calibri" w:hAnsi="Calibri"/>
          <w:szCs w:val="32"/>
        </w:rPr>
      </w:pPr>
      <w:r w:rsidRPr="008C2CA4">
        <w:rPr>
          <w:rFonts w:ascii="Calibri" w:hAnsi="Calibri"/>
          <w:szCs w:val="32"/>
        </w:rPr>
        <w:t>Recordkeeping</w:t>
      </w:r>
      <w:r>
        <w:rPr>
          <w:rFonts w:ascii="Calibri" w:hAnsi="Calibri"/>
          <w:szCs w:val="32"/>
        </w:rPr>
        <w:t xml:space="preserve"> and </w:t>
      </w:r>
      <w:r w:rsidRPr="008C2CA4">
        <w:rPr>
          <w:rFonts w:ascii="Calibri" w:hAnsi="Calibri"/>
          <w:szCs w:val="32"/>
        </w:rPr>
        <w:t>logging time and effort</w:t>
      </w:r>
    </w:p>
    <w:p w14:paraId="6295150F" w14:textId="49DDDDEA" w:rsidR="008C2CA4" w:rsidRDefault="008C2CA4" w:rsidP="008C2CA4">
      <w:pPr>
        <w:pStyle w:val="NoSpacing"/>
        <w:numPr>
          <w:ilvl w:val="1"/>
          <w:numId w:val="116"/>
        </w:numPr>
        <w:rPr>
          <w:rFonts w:ascii="Calibri" w:hAnsi="Calibri"/>
          <w:szCs w:val="32"/>
        </w:rPr>
      </w:pPr>
      <w:r w:rsidRPr="008C2CA4">
        <w:rPr>
          <w:rFonts w:ascii="Calibri" w:hAnsi="Calibri"/>
          <w:szCs w:val="32"/>
        </w:rPr>
        <w:t>Translating documents and interpreting speech</w:t>
      </w:r>
    </w:p>
    <w:p w14:paraId="1592576A" w14:textId="77777777" w:rsidR="002A566B" w:rsidRDefault="002A566B" w:rsidP="00DE48B8">
      <w:pPr>
        <w:spacing w:after="0" w:line="240" w:lineRule="auto"/>
        <w:ind w:left="720"/>
        <w:rPr>
          <w:rFonts w:ascii="Calibri" w:eastAsia="Calibri" w:hAnsi="Calibri" w:cs="Times New Roman"/>
          <w:b/>
          <w:u w:val="single"/>
        </w:rPr>
      </w:pPr>
    </w:p>
    <w:p w14:paraId="5AEAF416" w14:textId="4E225136" w:rsidR="008A4538" w:rsidRPr="001A16AE" w:rsidRDefault="008A4538">
      <w:pPr>
        <w:numPr>
          <w:ilvl w:val="0"/>
          <w:numId w:val="116"/>
        </w:numPr>
        <w:spacing w:after="0" w:line="240" w:lineRule="auto"/>
        <w:rPr>
          <w:rFonts w:ascii="Calibri" w:eastAsia="Calibri" w:hAnsi="Calibri" w:cs="Times New Roman"/>
          <w:b/>
          <w:u w:val="single"/>
        </w:rPr>
      </w:pPr>
      <w:r w:rsidRPr="001A16AE">
        <w:rPr>
          <w:rFonts w:ascii="Calibri" w:eastAsia="Calibri" w:hAnsi="Calibri" w:cs="Times New Roman"/>
          <w:b/>
          <w:u w:val="single"/>
        </w:rPr>
        <w:t>Ineligible Costs</w:t>
      </w:r>
    </w:p>
    <w:p w14:paraId="02A2D6F3" w14:textId="113247BB" w:rsidR="008A4538" w:rsidRPr="001A16AE" w:rsidRDefault="00BB227A" w:rsidP="008A4538">
      <w:pPr>
        <w:spacing w:after="0" w:line="240" w:lineRule="auto"/>
        <w:ind w:left="720"/>
        <w:rPr>
          <w:rFonts w:ascii="Calibri" w:eastAsia="Calibri" w:hAnsi="Calibri" w:cs="Times New Roman"/>
        </w:rPr>
      </w:pPr>
      <w:r>
        <w:rPr>
          <w:rFonts w:cs="Times New Roman"/>
        </w:rPr>
        <w:t xml:space="preserve">While not an exhaustive list, </w:t>
      </w:r>
      <w:r w:rsidR="00CC62DA">
        <w:rPr>
          <w:rFonts w:ascii="Calibri" w:eastAsia="Calibri" w:hAnsi="Calibri" w:cs="Times New Roman"/>
        </w:rPr>
        <w:t>cannot pay for the following costs</w:t>
      </w:r>
      <w:r w:rsidR="008A4538" w:rsidRPr="001A16AE">
        <w:rPr>
          <w:rFonts w:ascii="Calibri" w:eastAsia="Calibri" w:hAnsi="Calibri" w:cs="Times New Roman"/>
        </w:rPr>
        <w:t xml:space="preserve">: General psychosocial, medical, or housing case management </w:t>
      </w:r>
      <w:r w:rsidR="00D77584">
        <w:rPr>
          <w:rFonts w:ascii="Calibri" w:eastAsia="Calibri" w:hAnsi="Calibri" w:cs="Times New Roman"/>
        </w:rPr>
        <w:t>activities</w:t>
      </w:r>
      <w:r w:rsidR="001D50C2">
        <w:rPr>
          <w:rFonts w:ascii="Calibri" w:eastAsia="Calibri" w:hAnsi="Calibri" w:cs="Times New Roman"/>
        </w:rPr>
        <w:t>; housing assistance services;</w:t>
      </w:r>
      <w:r w:rsidR="008A4538" w:rsidRPr="001A16AE">
        <w:rPr>
          <w:rFonts w:ascii="Calibri" w:eastAsia="Calibri" w:hAnsi="Calibri" w:cs="Times New Roman"/>
        </w:rPr>
        <w:t xml:space="preserve"> credit, rental history, and background checks; Housing </w:t>
      </w:r>
      <w:r w:rsidR="008A4538" w:rsidRPr="001A16AE">
        <w:rPr>
          <w:rFonts w:ascii="Calibri" w:eastAsia="Calibri" w:hAnsi="Calibri" w:cs="Times New Roman"/>
        </w:rPr>
        <w:lastRenderedPageBreak/>
        <w:t>Quality Standards inspections; developing individualized housing plans and budgets; and implementing and maintaining housing plans with regular updates.</w:t>
      </w:r>
    </w:p>
    <w:p w14:paraId="3C1CCB6B" w14:textId="77777777" w:rsidR="008A4538" w:rsidRPr="001A16AE" w:rsidRDefault="008A4538" w:rsidP="008A4538">
      <w:pPr>
        <w:spacing w:after="0" w:line="240" w:lineRule="auto"/>
        <w:ind w:left="720"/>
        <w:rPr>
          <w:rFonts w:ascii="Calibri" w:eastAsia="Calibri" w:hAnsi="Calibri" w:cs="Times New Roman"/>
        </w:rPr>
      </w:pPr>
    </w:p>
    <w:p w14:paraId="37B4A8FB" w14:textId="6164D494" w:rsidR="008A4538" w:rsidRDefault="008A4538" w:rsidP="008A4538">
      <w:pPr>
        <w:spacing w:after="0" w:line="240" w:lineRule="auto"/>
        <w:ind w:left="720"/>
        <w:rPr>
          <w:rFonts w:ascii="Calibri" w:eastAsia="Calibri" w:hAnsi="Calibri" w:cs="Times New Roman"/>
        </w:rPr>
      </w:pPr>
      <w:r w:rsidRPr="001A16AE">
        <w:rPr>
          <w:rFonts w:ascii="Calibri" w:eastAsia="Calibri" w:hAnsi="Calibri" w:cs="Times New Roman"/>
        </w:rPr>
        <w:t xml:space="preserve">While certain activities under </w:t>
      </w:r>
      <w:r w:rsidR="008B2D15">
        <w:rPr>
          <w:rFonts w:ascii="Calibri" w:eastAsia="Calibri" w:hAnsi="Calibri" w:cs="Times New Roman"/>
        </w:rPr>
        <w:t>HIS</w:t>
      </w:r>
      <w:r w:rsidRPr="001A16AE">
        <w:rPr>
          <w:rFonts w:ascii="Calibri" w:eastAsia="Calibri" w:hAnsi="Calibri" w:cs="Times New Roman"/>
        </w:rPr>
        <w:t xml:space="preserve"> may bear a resemblance to those under </w:t>
      </w:r>
      <w:r w:rsidR="008B2D15">
        <w:rPr>
          <w:rFonts w:ascii="Calibri" w:eastAsia="Calibri" w:hAnsi="Calibri" w:cs="Times New Roman"/>
        </w:rPr>
        <w:t xml:space="preserve">HCM </w:t>
      </w:r>
      <w:r w:rsidRPr="001A16AE">
        <w:rPr>
          <w:rFonts w:ascii="Calibri" w:eastAsia="Calibri" w:hAnsi="Calibri" w:cs="Times New Roman"/>
        </w:rPr>
        <w:t xml:space="preserve">and PHP, </w:t>
      </w:r>
      <w:r w:rsidR="008B2D15">
        <w:rPr>
          <w:rFonts w:ascii="Calibri" w:eastAsia="Calibri" w:hAnsi="Calibri" w:cs="Times New Roman"/>
        </w:rPr>
        <w:t>HIS</w:t>
      </w:r>
      <w:r w:rsidRPr="001A16AE">
        <w:rPr>
          <w:rFonts w:ascii="Calibri" w:eastAsia="Calibri" w:hAnsi="Calibri" w:cs="Times New Roman"/>
        </w:rPr>
        <w:t xml:space="preserve">, by comparison, should be brief, limited in scope, and require little to no follow-up on household goals and tasks. Project Sponsors </w:t>
      </w:r>
      <w:r w:rsidR="00165FD3">
        <w:rPr>
          <w:rFonts w:ascii="Calibri" w:eastAsia="Calibri" w:hAnsi="Calibri" w:cs="Times New Roman"/>
        </w:rPr>
        <w:t>planning</w:t>
      </w:r>
      <w:r w:rsidRPr="001A16AE">
        <w:rPr>
          <w:rFonts w:ascii="Calibri" w:eastAsia="Calibri" w:hAnsi="Calibri" w:cs="Times New Roman"/>
        </w:rPr>
        <w:t xml:space="preserve"> to provide </w:t>
      </w:r>
      <w:r w:rsidR="008B2D15">
        <w:rPr>
          <w:rFonts w:ascii="Calibri" w:eastAsia="Calibri" w:hAnsi="Calibri" w:cs="Times New Roman"/>
        </w:rPr>
        <w:t>HIS</w:t>
      </w:r>
      <w:r w:rsidRPr="001A16AE">
        <w:rPr>
          <w:rFonts w:ascii="Calibri" w:eastAsia="Calibri" w:hAnsi="Calibri" w:cs="Times New Roman"/>
        </w:rPr>
        <w:t xml:space="preserve"> should </w:t>
      </w:r>
      <w:r w:rsidR="00CB3549">
        <w:rPr>
          <w:rFonts w:ascii="Calibri" w:eastAsia="Calibri" w:hAnsi="Calibri" w:cs="Times New Roman"/>
        </w:rPr>
        <w:t xml:space="preserve">collaborate with </w:t>
      </w:r>
      <w:r w:rsidR="00570DA0">
        <w:rPr>
          <w:rFonts w:ascii="Calibri" w:eastAsia="Calibri" w:hAnsi="Calibri" w:cs="Times New Roman"/>
        </w:rPr>
        <w:t>their AA</w:t>
      </w:r>
      <w:r w:rsidR="00CB3549">
        <w:rPr>
          <w:rFonts w:ascii="Calibri" w:eastAsia="Calibri" w:hAnsi="Calibri" w:cs="Times New Roman"/>
        </w:rPr>
        <w:t xml:space="preserve"> to </w:t>
      </w:r>
      <w:r w:rsidR="001D50C2">
        <w:rPr>
          <w:rFonts w:ascii="Calibri" w:eastAsia="Calibri" w:hAnsi="Calibri" w:cs="Times New Roman"/>
        </w:rPr>
        <w:t xml:space="preserve">develop policies and procedures that </w:t>
      </w:r>
      <w:r w:rsidRPr="001A16AE">
        <w:rPr>
          <w:rFonts w:ascii="Calibri" w:eastAsia="Calibri" w:hAnsi="Calibri" w:cs="Times New Roman"/>
        </w:rPr>
        <w:t xml:space="preserve">clearly differentiate the functions of </w:t>
      </w:r>
      <w:r w:rsidR="008B2D15">
        <w:rPr>
          <w:rFonts w:ascii="Calibri" w:eastAsia="Calibri" w:hAnsi="Calibri" w:cs="Times New Roman"/>
        </w:rPr>
        <w:t>HIS</w:t>
      </w:r>
      <w:r w:rsidRPr="001A16AE">
        <w:rPr>
          <w:rFonts w:ascii="Calibri" w:eastAsia="Calibri" w:hAnsi="Calibri" w:cs="Times New Roman"/>
        </w:rPr>
        <w:t xml:space="preserve">, </w:t>
      </w:r>
      <w:r w:rsidR="008B2D15">
        <w:rPr>
          <w:rFonts w:ascii="Calibri" w:eastAsia="Calibri" w:hAnsi="Calibri" w:cs="Times New Roman"/>
        </w:rPr>
        <w:t>HCM</w:t>
      </w:r>
      <w:r w:rsidRPr="001A16AE">
        <w:rPr>
          <w:rFonts w:ascii="Calibri" w:eastAsia="Calibri" w:hAnsi="Calibri" w:cs="Times New Roman"/>
        </w:rPr>
        <w:t>, and PHP services to</w:t>
      </w:r>
      <w:r w:rsidR="001D50C2">
        <w:rPr>
          <w:rFonts w:ascii="Calibri" w:eastAsia="Calibri" w:hAnsi="Calibri" w:cs="Times New Roman"/>
        </w:rPr>
        <w:t xml:space="preserve"> ensure the accurate and correct accounting of all respective activity costs and to</w:t>
      </w:r>
      <w:r w:rsidRPr="001A16AE">
        <w:rPr>
          <w:rFonts w:ascii="Calibri" w:eastAsia="Calibri" w:hAnsi="Calibri" w:cs="Times New Roman"/>
        </w:rPr>
        <w:t xml:space="preserve"> reduce </w:t>
      </w:r>
      <w:r w:rsidR="001D50C2">
        <w:rPr>
          <w:rFonts w:ascii="Calibri" w:eastAsia="Calibri" w:hAnsi="Calibri" w:cs="Times New Roman"/>
        </w:rPr>
        <w:t xml:space="preserve">potential </w:t>
      </w:r>
      <w:r w:rsidRPr="001A16AE">
        <w:rPr>
          <w:rFonts w:ascii="Calibri" w:eastAsia="Calibri" w:hAnsi="Calibri" w:cs="Times New Roman"/>
        </w:rPr>
        <w:t>role confusion and conflicts.</w:t>
      </w:r>
    </w:p>
    <w:p w14:paraId="28C37F40" w14:textId="77777777" w:rsidR="008A4538" w:rsidRPr="00167A29" w:rsidRDefault="008A4538" w:rsidP="008A4538">
      <w:pPr>
        <w:spacing w:after="0" w:line="240" w:lineRule="auto"/>
        <w:ind w:left="720"/>
        <w:rPr>
          <w:rFonts w:ascii="Calibri" w:eastAsia="Calibri" w:hAnsi="Calibri" w:cs="Times New Roman"/>
        </w:rPr>
      </w:pPr>
    </w:p>
    <w:p w14:paraId="6EF57A76" w14:textId="77777777" w:rsidR="008A4538" w:rsidRDefault="008A4538" w:rsidP="008A4538">
      <w:pPr>
        <w:numPr>
          <w:ilvl w:val="0"/>
          <w:numId w:val="116"/>
        </w:numPr>
        <w:spacing w:after="0" w:line="240" w:lineRule="auto"/>
        <w:rPr>
          <w:rFonts w:ascii="Calibri" w:eastAsia="Calibri" w:hAnsi="Calibri" w:cs="Times New Roman"/>
          <w:b/>
          <w:u w:val="single"/>
        </w:rPr>
      </w:pPr>
      <w:r>
        <w:rPr>
          <w:rFonts w:ascii="Calibri" w:eastAsia="Calibri" w:hAnsi="Calibri" w:cs="Times New Roman"/>
          <w:b/>
          <w:u w:val="single"/>
        </w:rPr>
        <w:t>Exceptions to General Program Protocols</w:t>
      </w:r>
    </w:p>
    <w:p w14:paraId="5A67F441" w14:textId="77C212F3" w:rsidR="008A4538" w:rsidRPr="00124970" w:rsidRDefault="008A4538" w:rsidP="008A4538">
      <w:pPr>
        <w:spacing w:after="0" w:line="240" w:lineRule="auto"/>
        <w:ind w:left="720"/>
        <w:rPr>
          <w:rFonts w:ascii="Calibri" w:eastAsia="Calibri" w:hAnsi="Calibri" w:cs="Times New Roman"/>
        </w:rPr>
      </w:pPr>
      <w:r w:rsidRPr="00124970">
        <w:rPr>
          <w:rFonts w:ascii="Calibri" w:eastAsia="Calibri" w:hAnsi="Calibri" w:cs="Times New Roman"/>
        </w:rPr>
        <w:t>DSHS authorizes the following exceptions to general program protocols</w:t>
      </w:r>
      <w:r>
        <w:rPr>
          <w:rFonts w:ascii="Calibri" w:eastAsia="Calibri" w:hAnsi="Calibri" w:cs="Times New Roman"/>
        </w:rPr>
        <w:t xml:space="preserve"> for </w:t>
      </w:r>
      <w:r w:rsidR="008B2D15">
        <w:rPr>
          <w:rFonts w:ascii="Calibri" w:eastAsia="Calibri" w:hAnsi="Calibri" w:cs="Times New Roman"/>
        </w:rPr>
        <w:t>HIS</w:t>
      </w:r>
      <w:r w:rsidRPr="00124970">
        <w:rPr>
          <w:rFonts w:ascii="Calibri" w:eastAsia="Calibri" w:hAnsi="Calibri" w:cs="Times New Roman"/>
        </w:rPr>
        <w:t>:</w:t>
      </w:r>
    </w:p>
    <w:p w14:paraId="61125753" w14:textId="77777777" w:rsidR="008A4538" w:rsidRPr="005F0288" w:rsidRDefault="008A4538" w:rsidP="008A4538">
      <w:pPr>
        <w:pStyle w:val="ListParagraph"/>
        <w:numPr>
          <w:ilvl w:val="0"/>
          <w:numId w:val="124"/>
        </w:numPr>
        <w:spacing w:after="0" w:line="240" w:lineRule="auto"/>
        <w:rPr>
          <w:rFonts w:ascii="Calibri" w:eastAsia="Calibri" w:hAnsi="Calibri" w:cs="Times New Roman"/>
          <w:b/>
        </w:rPr>
      </w:pPr>
      <w:r w:rsidRPr="005F0288">
        <w:rPr>
          <w:rFonts w:ascii="Calibri" w:eastAsia="Calibri" w:hAnsi="Calibri" w:cs="Times New Roman"/>
          <w:b/>
        </w:rPr>
        <w:t>Exceptions to Program Eligibility Criteria</w:t>
      </w:r>
    </w:p>
    <w:p w14:paraId="17ACF2B5" w14:textId="5A46CFCE" w:rsidR="008A4538" w:rsidRPr="00DC302F" w:rsidRDefault="008A4538" w:rsidP="008A4538">
      <w:pPr>
        <w:pStyle w:val="NoSpacing"/>
        <w:ind w:left="1440"/>
        <w:rPr>
          <w:rFonts w:ascii="Calibri" w:hAnsi="Calibri"/>
          <w:szCs w:val="32"/>
        </w:rPr>
      </w:pPr>
      <w:r>
        <w:rPr>
          <w:rFonts w:ascii="Calibri" w:hAnsi="Calibri"/>
          <w:szCs w:val="32"/>
        </w:rPr>
        <w:t xml:space="preserve">Per 24 CFR </w:t>
      </w:r>
      <w:r w:rsidRPr="005C3A99">
        <w:rPr>
          <w:rFonts w:ascii="Calibri" w:hAnsi="Calibri"/>
          <w:szCs w:val="32"/>
        </w:rPr>
        <w:t>§574.3</w:t>
      </w:r>
      <w:r>
        <w:rPr>
          <w:rFonts w:ascii="Calibri" w:hAnsi="Calibri"/>
          <w:szCs w:val="32"/>
        </w:rPr>
        <w:t>,</w:t>
      </w:r>
      <w:r w:rsidRPr="005C3A99">
        <w:rPr>
          <w:rFonts w:ascii="Calibri" w:hAnsi="Calibri"/>
          <w:szCs w:val="32"/>
        </w:rPr>
        <w:t xml:space="preserve"> </w:t>
      </w:r>
      <w:r w:rsidRPr="00C6647D">
        <w:rPr>
          <w:rFonts w:ascii="Calibri" w:hAnsi="Calibri"/>
          <w:szCs w:val="32"/>
        </w:rPr>
        <w:t xml:space="preserve">PLWH and their households </w:t>
      </w:r>
      <w:r w:rsidR="008B28A9">
        <w:rPr>
          <w:rFonts w:ascii="Calibri" w:hAnsi="Calibri"/>
          <w:szCs w:val="32"/>
        </w:rPr>
        <w:t>may</w:t>
      </w:r>
      <w:r>
        <w:rPr>
          <w:rFonts w:ascii="Calibri" w:hAnsi="Calibri"/>
          <w:szCs w:val="32"/>
        </w:rPr>
        <w:t xml:space="preserve"> receive </w:t>
      </w:r>
      <w:r w:rsidR="008B2D15">
        <w:rPr>
          <w:rFonts w:ascii="Calibri" w:hAnsi="Calibri"/>
          <w:szCs w:val="32"/>
        </w:rPr>
        <w:t>HIS</w:t>
      </w:r>
      <w:r>
        <w:rPr>
          <w:rFonts w:ascii="Calibri" w:hAnsi="Calibri"/>
          <w:szCs w:val="32"/>
        </w:rPr>
        <w:t xml:space="preserve"> </w:t>
      </w:r>
      <w:r w:rsidRPr="00C6647D">
        <w:rPr>
          <w:rFonts w:ascii="Calibri" w:hAnsi="Calibri"/>
          <w:szCs w:val="32"/>
        </w:rPr>
        <w:t xml:space="preserve">regardless of </w:t>
      </w:r>
      <w:r>
        <w:rPr>
          <w:rFonts w:ascii="Calibri" w:hAnsi="Calibri"/>
          <w:szCs w:val="32"/>
        </w:rPr>
        <w:t>whether their annual income exceeds 80 percent of area median income per their county of residence or whether they reside in the Project Sponsor’s HSDA. Nonetheless, a</w:t>
      </w:r>
      <w:r w:rsidRPr="00DC302F">
        <w:rPr>
          <w:rFonts w:ascii="Calibri" w:hAnsi="Calibri"/>
          <w:szCs w:val="32"/>
        </w:rPr>
        <w:t xml:space="preserve">t least one household member must </w:t>
      </w:r>
      <w:r w:rsidR="00B159AA">
        <w:rPr>
          <w:rFonts w:ascii="Calibri" w:hAnsi="Calibri"/>
          <w:szCs w:val="32"/>
        </w:rPr>
        <w:t>live</w:t>
      </w:r>
      <w:r w:rsidRPr="00DC302F">
        <w:rPr>
          <w:rFonts w:ascii="Calibri" w:hAnsi="Calibri"/>
          <w:szCs w:val="32"/>
        </w:rPr>
        <w:t xml:space="preserve"> with HIV</w:t>
      </w:r>
      <w:r>
        <w:rPr>
          <w:rFonts w:ascii="Calibri" w:hAnsi="Calibri"/>
          <w:szCs w:val="32"/>
        </w:rPr>
        <w:t>.</w:t>
      </w:r>
    </w:p>
    <w:p w14:paraId="60E7BE47" w14:textId="77777777" w:rsidR="008A4538" w:rsidRDefault="008A4538" w:rsidP="008A4538">
      <w:pPr>
        <w:pStyle w:val="NoSpacing"/>
        <w:ind w:left="1440"/>
        <w:rPr>
          <w:rFonts w:ascii="Calibri" w:hAnsi="Calibri"/>
          <w:szCs w:val="32"/>
        </w:rPr>
      </w:pPr>
    </w:p>
    <w:p w14:paraId="357B904C" w14:textId="699EEC32" w:rsidR="008A4538" w:rsidRDefault="008A4538" w:rsidP="008A4538">
      <w:pPr>
        <w:numPr>
          <w:ilvl w:val="0"/>
          <w:numId w:val="124"/>
        </w:numPr>
        <w:spacing w:after="0" w:line="240" w:lineRule="auto"/>
        <w:rPr>
          <w:rFonts w:ascii="Calibri" w:eastAsia="Calibri" w:hAnsi="Calibri" w:cs="Times New Roman"/>
          <w:b/>
        </w:rPr>
      </w:pPr>
      <w:r w:rsidRPr="005F0288">
        <w:rPr>
          <w:rFonts w:ascii="Calibri" w:eastAsia="Calibri" w:hAnsi="Calibri" w:cs="Times New Roman"/>
          <w:b/>
        </w:rPr>
        <w:t>Exceptions to Eligibility Confirmation and Documentation Requirements</w:t>
      </w:r>
    </w:p>
    <w:p w14:paraId="605B79AA" w14:textId="295F2C17" w:rsidR="008A4538" w:rsidRDefault="008A4538" w:rsidP="008A4538">
      <w:pPr>
        <w:spacing w:after="0" w:line="240" w:lineRule="auto"/>
        <w:ind w:left="1440"/>
        <w:rPr>
          <w:rFonts w:ascii="Calibri" w:eastAsia="Calibri" w:hAnsi="Calibri" w:cs="Times New Roman"/>
        </w:rPr>
      </w:pPr>
      <w:r>
        <w:rPr>
          <w:rFonts w:ascii="Calibri" w:eastAsia="Calibri" w:hAnsi="Calibri" w:cs="Times New Roman"/>
        </w:rPr>
        <w:t xml:space="preserve">Project Sponsors </w:t>
      </w:r>
      <w:r w:rsidR="00FE28F9">
        <w:rPr>
          <w:rFonts w:ascii="Calibri" w:eastAsia="Calibri" w:hAnsi="Calibri" w:cs="Times New Roman"/>
        </w:rPr>
        <w:t>do not need to</w:t>
      </w:r>
      <w:r>
        <w:rPr>
          <w:rFonts w:ascii="Calibri" w:eastAsia="Calibri" w:hAnsi="Calibri" w:cs="Times New Roman"/>
        </w:rPr>
        <w:t xml:space="preserve"> obtain proof of income and current residency for all household members </w:t>
      </w:r>
      <w:r w:rsidR="00903020">
        <w:rPr>
          <w:rFonts w:ascii="Calibri" w:eastAsia="Calibri" w:hAnsi="Calibri" w:cs="Times New Roman"/>
        </w:rPr>
        <w:t xml:space="preserve">aged </w:t>
      </w:r>
      <w:r>
        <w:rPr>
          <w:rFonts w:ascii="Calibri" w:eastAsia="Calibri" w:hAnsi="Calibri" w:cs="Times New Roman"/>
        </w:rPr>
        <w:t xml:space="preserve">18 years </w:t>
      </w:r>
      <w:r w:rsidR="00903020">
        <w:rPr>
          <w:rFonts w:ascii="Calibri" w:eastAsia="Calibri" w:hAnsi="Calibri" w:cs="Times New Roman"/>
        </w:rPr>
        <w:t>old or</w:t>
      </w:r>
      <w:r>
        <w:rPr>
          <w:rFonts w:ascii="Calibri" w:eastAsia="Calibri" w:hAnsi="Calibri" w:cs="Times New Roman"/>
        </w:rPr>
        <w:t xml:space="preserve"> older </w:t>
      </w:r>
      <w:r w:rsidR="00FE28F9">
        <w:rPr>
          <w:rFonts w:ascii="Calibri" w:eastAsia="Calibri" w:hAnsi="Calibri" w:cs="Times New Roman"/>
        </w:rPr>
        <w:t>to</w:t>
      </w:r>
      <w:r w:rsidRPr="00C82972">
        <w:rPr>
          <w:rFonts w:ascii="Calibri" w:eastAsia="Calibri" w:hAnsi="Calibri" w:cs="Times New Roman"/>
        </w:rPr>
        <w:t xml:space="preserve"> deliver </w:t>
      </w:r>
      <w:r w:rsidR="008B2D15">
        <w:rPr>
          <w:rFonts w:ascii="Calibri" w:eastAsia="Calibri" w:hAnsi="Calibri" w:cs="Times New Roman"/>
        </w:rPr>
        <w:t>HIS</w:t>
      </w:r>
      <w:r>
        <w:rPr>
          <w:rFonts w:ascii="Calibri" w:eastAsia="Calibri" w:hAnsi="Calibri" w:cs="Times New Roman"/>
        </w:rPr>
        <w:t xml:space="preserve"> to PLWH and their households. However, Project Sponsors must obtain p</w:t>
      </w:r>
      <w:r w:rsidRPr="001E5813">
        <w:rPr>
          <w:rFonts w:ascii="Calibri" w:eastAsia="Calibri" w:hAnsi="Calibri" w:cs="Times New Roman"/>
        </w:rPr>
        <w:t>roof of HIV seropositivity for at least one household member</w:t>
      </w:r>
      <w:r>
        <w:rPr>
          <w:rFonts w:ascii="Calibri" w:eastAsia="Calibri" w:hAnsi="Calibri" w:cs="Times New Roman"/>
        </w:rPr>
        <w:t xml:space="preserve">. The type of documentation a Project Sponsor may use as proof of HIV seropositivity depends on whether the </w:t>
      </w:r>
      <w:r w:rsidR="00FE28F9">
        <w:rPr>
          <w:rFonts w:ascii="Calibri" w:eastAsia="Calibri" w:hAnsi="Calibri" w:cs="Times New Roman"/>
        </w:rPr>
        <w:t>activity provides</w:t>
      </w:r>
      <w:r>
        <w:rPr>
          <w:rFonts w:ascii="Calibri" w:eastAsia="Calibri" w:hAnsi="Calibri" w:cs="Times New Roman"/>
        </w:rPr>
        <w:t xml:space="preserve"> generalized or individualized</w:t>
      </w:r>
      <w:r w:rsidR="00FE28F9">
        <w:rPr>
          <w:rFonts w:ascii="Calibri" w:eastAsia="Calibri" w:hAnsi="Calibri" w:cs="Times New Roman"/>
        </w:rPr>
        <w:t xml:space="preserve"> services</w:t>
      </w:r>
      <w:r>
        <w:rPr>
          <w:rFonts w:ascii="Calibri" w:eastAsia="Calibri" w:hAnsi="Calibri" w:cs="Times New Roman"/>
        </w:rPr>
        <w:t>.</w:t>
      </w:r>
    </w:p>
    <w:p w14:paraId="30576898" w14:textId="3B55513C" w:rsidR="008A4538" w:rsidRDefault="008A4538" w:rsidP="003A5712">
      <w:pPr>
        <w:pStyle w:val="ListParagraph"/>
        <w:numPr>
          <w:ilvl w:val="0"/>
          <w:numId w:val="125"/>
        </w:numPr>
        <w:spacing w:after="0" w:line="240" w:lineRule="auto"/>
        <w:ind w:left="1890" w:hanging="450"/>
        <w:rPr>
          <w:rFonts w:ascii="Calibri" w:eastAsia="Calibri" w:hAnsi="Calibri" w:cs="Times New Roman"/>
          <w:i/>
        </w:rPr>
      </w:pPr>
      <w:r>
        <w:rPr>
          <w:rFonts w:ascii="Calibri" w:eastAsia="Calibri" w:hAnsi="Calibri" w:cs="Times New Roman"/>
          <w:i/>
        </w:rPr>
        <w:t xml:space="preserve">Proof of HIV Seropositivity for </w:t>
      </w:r>
      <w:r w:rsidRPr="00C82972">
        <w:rPr>
          <w:rFonts w:ascii="Calibri" w:eastAsia="Calibri" w:hAnsi="Calibri" w:cs="Times New Roman"/>
          <w:i/>
        </w:rPr>
        <w:t>General</w:t>
      </w:r>
      <w:r>
        <w:rPr>
          <w:rFonts w:ascii="Calibri" w:eastAsia="Calibri" w:hAnsi="Calibri" w:cs="Times New Roman"/>
          <w:i/>
        </w:rPr>
        <w:t>ized</w:t>
      </w:r>
      <w:r w:rsidRPr="00C82972">
        <w:rPr>
          <w:rFonts w:ascii="Calibri" w:eastAsia="Calibri" w:hAnsi="Calibri" w:cs="Times New Roman"/>
          <w:i/>
        </w:rPr>
        <w:t xml:space="preserve"> </w:t>
      </w:r>
      <w:r w:rsidR="008B2D15">
        <w:rPr>
          <w:rFonts w:ascii="Calibri" w:eastAsia="Calibri" w:hAnsi="Calibri" w:cs="Times New Roman"/>
          <w:i/>
        </w:rPr>
        <w:t>HIS</w:t>
      </w:r>
      <w:r>
        <w:rPr>
          <w:rFonts w:ascii="Calibri" w:eastAsia="Calibri" w:hAnsi="Calibri" w:cs="Times New Roman"/>
          <w:i/>
        </w:rPr>
        <w:t>.</w:t>
      </w:r>
      <w:r>
        <w:rPr>
          <w:rFonts w:ascii="Calibri" w:eastAsia="Calibri" w:hAnsi="Calibri" w:cs="Times New Roman"/>
        </w:rPr>
        <w:t xml:space="preserve"> Project Sponsors may obtain proof of HIV seropositivity for at least one household member as outlined in Section 13. Program Eligibility. Alternatively, Project Sponsors may obtain a verbal or written self-declaration of HIV seropositivity stating that 1) the declarant </w:t>
      </w:r>
      <w:r w:rsidR="00CD6AAA">
        <w:rPr>
          <w:rFonts w:ascii="Calibri" w:eastAsia="Calibri" w:hAnsi="Calibri" w:cs="Times New Roman"/>
        </w:rPr>
        <w:t>lives with HIV</w:t>
      </w:r>
      <w:r>
        <w:rPr>
          <w:rFonts w:ascii="Calibri" w:eastAsia="Calibri" w:hAnsi="Calibri" w:cs="Times New Roman"/>
        </w:rPr>
        <w:t xml:space="preserve"> or 2) the declarant’s household includes a PLWH. Self-declarations may be named or anonymous and do not require signatures, ensuring </w:t>
      </w:r>
      <w:r w:rsidR="00CC62DA">
        <w:rPr>
          <w:rFonts w:ascii="Calibri" w:eastAsia="Calibri" w:hAnsi="Calibri" w:cs="Times New Roman"/>
        </w:rPr>
        <w:t xml:space="preserve">minimal </w:t>
      </w:r>
      <w:r>
        <w:rPr>
          <w:rFonts w:ascii="Calibri" w:eastAsia="Calibri" w:hAnsi="Calibri" w:cs="Times New Roman"/>
        </w:rPr>
        <w:t>barriers to accessing generalized services.</w:t>
      </w:r>
    </w:p>
    <w:p w14:paraId="24545009" w14:textId="2351855A" w:rsidR="008A4538" w:rsidRPr="00C82972" w:rsidRDefault="008A4538" w:rsidP="003A5712">
      <w:pPr>
        <w:pStyle w:val="ListParagraph"/>
        <w:numPr>
          <w:ilvl w:val="0"/>
          <w:numId w:val="125"/>
        </w:numPr>
        <w:spacing w:after="0" w:line="240" w:lineRule="auto"/>
        <w:ind w:left="1890" w:hanging="450"/>
        <w:rPr>
          <w:rFonts w:ascii="Calibri" w:eastAsia="Calibri" w:hAnsi="Calibri" w:cs="Times New Roman"/>
          <w:i/>
        </w:rPr>
      </w:pPr>
      <w:r>
        <w:rPr>
          <w:rFonts w:ascii="Calibri" w:eastAsia="Calibri" w:hAnsi="Calibri" w:cs="Times New Roman"/>
          <w:i/>
        </w:rPr>
        <w:t xml:space="preserve">Proof of HIV Seropositivity for Individualized </w:t>
      </w:r>
      <w:r w:rsidR="008B2D15">
        <w:rPr>
          <w:rFonts w:ascii="Calibri" w:eastAsia="Calibri" w:hAnsi="Calibri" w:cs="Times New Roman"/>
          <w:i/>
        </w:rPr>
        <w:t>HIS</w:t>
      </w:r>
      <w:r>
        <w:rPr>
          <w:rFonts w:ascii="Calibri" w:eastAsia="Calibri" w:hAnsi="Calibri" w:cs="Times New Roman"/>
          <w:i/>
        </w:rPr>
        <w:t>.</w:t>
      </w:r>
      <w:r>
        <w:rPr>
          <w:rFonts w:ascii="Calibri" w:eastAsia="Calibri" w:hAnsi="Calibri" w:cs="Times New Roman"/>
        </w:rPr>
        <w:t xml:space="preserve"> Project Sponsors must obtain proof of HIV seropositivity for at least one household member as outlined in Section 13. Program Eligibility.</w:t>
      </w:r>
    </w:p>
    <w:p w14:paraId="518F2151" w14:textId="531A3D71" w:rsidR="008A4538" w:rsidRPr="00C832DB" w:rsidRDefault="008A4538" w:rsidP="008A4538">
      <w:pPr>
        <w:spacing w:after="0" w:line="240" w:lineRule="auto"/>
        <w:ind w:left="1440"/>
        <w:rPr>
          <w:rFonts w:ascii="Calibri" w:eastAsia="Calibri" w:hAnsi="Calibri" w:cs="Times New Roman"/>
          <w:color w:val="C00000"/>
        </w:rPr>
      </w:pPr>
      <w:r w:rsidRPr="00C832DB">
        <w:rPr>
          <w:rFonts w:ascii="Calibri" w:eastAsia="Calibri" w:hAnsi="Calibri" w:cs="Times New Roman"/>
          <w:b/>
          <w:color w:val="C00000"/>
        </w:rPr>
        <w:t>NOTE:</w:t>
      </w:r>
      <w:r w:rsidRPr="00C832DB">
        <w:rPr>
          <w:rFonts w:ascii="Calibri" w:eastAsia="Calibri" w:hAnsi="Calibri" w:cs="Times New Roman"/>
          <w:color w:val="C00000"/>
        </w:rPr>
        <w:t xml:space="preserve"> </w:t>
      </w:r>
      <w:r>
        <w:rPr>
          <w:rFonts w:ascii="Calibri" w:eastAsia="Calibri" w:hAnsi="Calibri" w:cs="Times New Roman"/>
          <w:color w:val="C00000"/>
        </w:rPr>
        <w:t xml:space="preserve">While Project Sponsors </w:t>
      </w:r>
      <w:r w:rsidR="00B22EA3">
        <w:rPr>
          <w:rFonts w:ascii="Calibri" w:eastAsia="Calibri" w:hAnsi="Calibri" w:cs="Times New Roman"/>
          <w:color w:val="C00000"/>
        </w:rPr>
        <w:t>do not need to</w:t>
      </w:r>
      <w:r>
        <w:rPr>
          <w:rFonts w:ascii="Calibri" w:eastAsia="Calibri" w:hAnsi="Calibri" w:cs="Times New Roman"/>
          <w:color w:val="C00000"/>
        </w:rPr>
        <w:t xml:space="preserve"> obtain proof of household income or residency for </w:t>
      </w:r>
      <w:r w:rsidR="008B2D15">
        <w:rPr>
          <w:rFonts w:ascii="Calibri" w:eastAsia="Calibri" w:hAnsi="Calibri" w:cs="Times New Roman"/>
          <w:color w:val="C00000"/>
        </w:rPr>
        <w:t>HIS</w:t>
      </w:r>
      <w:r>
        <w:rPr>
          <w:rFonts w:ascii="Calibri" w:eastAsia="Calibri" w:hAnsi="Calibri" w:cs="Times New Roman"/>
          <w:color w:val="C00000"/>
        </w:rPr>
        <w:t xml:space="preserve">, Project Sponsors may require these documents if they would improve the utility or efficacy of individualized services. </w:t>
      </w:r>
      <w:r w:rsidRPr="00C83CEE">
        <w:rPr>
          <w:rFonts w:ascii="Calibri" w:eastAsia="Calibri" w:hAnsi="Calibri" w:cs="Times New Roman"/>
          <w:color w:val="C00000"/>
        </w:rPr>
        <w:t xml:space="preserve">If </w:t>
      </w:r>
      <w:r>
        <w:rPr>
          <w:rFonts w:ascii="Calibri" w:eastAsia="Calibri" w:hAnsi="Calibri" w:cs="Times New Roman"/>
          <w:color w:val="C00000"/>
        </w:rPr>
        <w:t>a Project Sponsor establishes additional documentation requirements, they</w:t>
      </w:r>
      <w:r w:rsidRPr="00C83CEE">
        <w:rPr>
          <w:rFonts w:ascii="Calibri" w:eastAsia="Calibri" w:hAnsi="Calibri" w:cs="Times New Roman"/>
          <w:color w:val="C00000"/>
        </w:rPr>
        <w:t xml:space="preserve"> must </w:t>
      </w:r>
      <w:r>
        <w:rPr>
          <w:rFonts w:ascii="Calibri" w:eastAsia="Calibri" w:hAnsi="Calibri" w:cs="Times New Roman"/>
          <w:color w:val="C00000"/>
        </w:rPr>
        <w:t xml:space="preserve">apply them </w:t>
      </w:r>
      <w:r w:rsidRPr="00C83CEE">
        <w:rPr>
          <w:rFonts w:ascii="Calibri" w:eastAsia="Calibri" w:hAnsi="Calibri" w:cs="Times New Roman"/>
          <w:color w:val="C00000"/>
        </w:rPr>
        <w:t>in a uniform, consistent,</w:t>
      </w:r>
      <w:r>
        <w:rPr>
          <w:rFonts w:ascii="Calibri" w:eastAsia="Calibri" w:hAnsi="Calibri" w:cs="Times New Roman"/>
          <w:color w:val="C00000"/>
        </w:rPr>
        <w:t xml:space="preserve"> and non-discriminatory manner.</w:t>
      </w:r>
    </w:p>
    <w:p w14:paraId="4C272DF2" w14:textId="0715D81D" w:rsidR="004B218D" w:rsidRPr="004F1682" w:rsidRDefault="004B218D" w:rsidP="00066B7E">
      <w:pPr>
        <w:pStyle w:val="NoSpacing"/>
      </w:pPr>
    </w:p>
    <w:p w14:paraId="7BB35D2A" w14:textId="77777777" w:rsidR="008A4538" w:rsidRPr="005F0288" w:rsidRDefault="008A4538" w:rsidP="008A4538">
      <w:pPr>
        <w:numPr>
          <w:ilvl w:val="0"/>
          <w:numId w:val="124"/>
        </w:numPr>
        <w:spacing w:after="0" w:line="240" w:lineRule="auto"/>
        <w:rPr>
          <w:rFonts w:ascii="Calibri" w:eastAsia="Calibri" w:hAnsi="Calibri" w:cs="Times New Roman"/>
          <w:b/>
        </w:rPr>
      </w:pPr>
      <w:r w:rsidRPr="005F0288">
        <w:rPr>
          <w:rFonts w:ascii="Calibri" w:eastAsia="Calibri" w:hAnsi="Calibri" w:cs="Times New Roman"/>
          <w:b/>
        </w:rPr>
        <w:t xml:space="preserve">Exceptions to </w:t>
      </w:r>
      <w:r w:rsidRPr="005F0288">
        <w:rPr>
          <w:rFonts w:ascii="Calibri" w:hAnsi="Calibri"/>
          <w:b/>
          <w:szCs w:val="32"/>
        </w:rPr>
        <w:t xml:space="preserve">Program </w:t>
      </w:r>
      <w:r>
        <w:rPr>
          <w:rFonts w:ascii="Calibri" w:hAnsi="Calibri"/>
          <w:b/>
          <w:szCs w:val="32"/>
        </w:rPr>
        <w:t>Form Protocols</w:t>
      </w:r>
    </w:p>
    <w:p w14:paraId="2B0A1FDA" w14:textId="0456125B" w:rsidR="008A4538" w:rsidRPr="00251B42" w:rsidRDefault="008A4538" w:rsidP="008A4538">
      <w:pPr>
        <w:pStyle w:val="NoSpacing"/>
        <w:ind w:left="1440"/>
        <w:rPr>
          <w:rFonts w:ascii="Calibri" w:hAnsi="Calibri"/>
          <w:szCs w:val="32"/>
        </w:rPr>
      </w:pPr>
      <w:r w:rsidRPr="00251B42">
        <w:rPr>
          <w:rFonts w:ascii="Calibri" w:hAnsi="Calibri"/>
          <w:szCs w:val="32"/>
        </w:rPr>
        <w:t xml:space="preserve">Project Sponsors </w:t>
      </w:r>
      <w:r w:rsidR="00B22EA3">
        <w:rPr>
          <w:rFonts w:ascii="Calibri" w:hAnsi="Calibri"/>
          <w:szCs w:val="32"/>
        </w:rPr>
        <w:t>do not need to</w:t>
      </w:r>
      <w:r w:rsidRPr="00251B42">
        <w:rPr>
          <w:rFonts w:ascii="Calibri" w:hAnsi="Calibri"/>
          <w:szCs w:val="32"/>
        </w:rPr>
        <w:t xml:space="preserve"> use DSHS HOPWA Program Forms </w:t>
      </w:r>
      <w:r w:rsidR="00B22EA3" w:rsidRPr="00251B42">
        <w:rPr>
          <w:rFonts w:ascii="Calibri" w:eastAsia="Calibri" w:hAnsi="Calibri" w:cs="Times New Roman"/>
        </w:rPr>
        <w:t>to</w:t>
      </w:r>
      <w:r w:rsidRPr="00251B42">
        <w:rPr>
          <w:rFonts w:ascii="Calibri" w:eastAsia="Calibri" w:hAnsi="Calibri" w:cs="Times New Roman"/>
        </w:rPr>
        <w:t xml:space="preserve"> deliver </w:t>
      </w:r>
      <w:r w:rsidR="008B2D15">
        <w:rPr>
          <w:rFonts w:ascii="Calibri" w:eastAsia="Calibri" w:hAnsi="Calibri" w:cs="Times New Roman"/>
        </w:rPr>
        <w:t>HIS</w:t>
      </w:r>
      <w:r w:rsidRPr="00251B42">
        <w:rPr>
          <w:rFonts w:ascii="Calibri" w:eastAsia="Calibri" w:hAnsi="Calibri" w:cs="Times New Roman"/>
        </w:rPr>
        <w:t xml:space="preserve"> to PLWH and their households.</w:t>
      </w:r>
      <w:r w:rsidRPr="00251B42">
        <w:rPr>
          <w:rFonts w:ascii="Calibri" w:hAnsi="Calibri"/>
          <w:szCs w:val="32"/>
        </w:rPr>
        <w:t xml:space="preserve"> Instead, Project Sponsors must develop policies and/or procedures and program forms and/or tools unique to their </w:t>
      </w:r>
      <w:r w:rsidR="008B2D15">
        <w:rPr>
          <w:rFonts w:ascii="Calibri" w:hAnsi="Calibri"/>
          <w:szCs w:val="32"/>
        </w:rPr>
        <w:t>HIS</w:t>
      </w:r>
      <w:r w:rsidRPr="00251B42">
        <w:rPr>
          <w:rFonts w:ascii="Calibri" w:hAnsi="Calibri"/>
          <w:szCs w:val="32"/>
        </w:rPr>
        <w:t xml:space="preserve"> design. For example, if a Project Sponsor provides generalized housing information and referral services via phone, the Project Sponsor could develop a screening decision tree that 1) documents the call, 2) secures </w:t>
      </w:r>
      <w:r>
        <w:rPr>
          <w:rFonts w:ascii="Calibri" w:hAnsi="Calibri"/>
          <w:szCs w:val="32"/>
        </w:rPr>
        <w:t xml:space="preserve">a </w:t>
      </w:r>
      <w:r w:rsidRPr="00251B42">
        <w:rPr>
          <w:rFonts w:ascii="Calibri" w:hAnsi="Calibri"/>
          <w:szCs w:val="32"/>
        </w:rPr>
        <w:t>verbal self-declaration</w:t>
      </w:r>
      <w:r>
        <w:rPr>
          <w:rFonts w:ascii="Calibri" w:hAnsi="Calibri"/>
          <w:szCs w:val="32"/>
        </w:rPr>
        <w:t xml:space="preserve"> for proof</w:t>
      </w:r>
      <w:r w:rsidRPr="00251B42">
        <w:rPr>
          <w:rFonts w:ascii="Calibri" w:hAnsi="Calibri"/>
          <w:szCs w:val="32"/>
        </w:rPr>
        <w:t xml:space="preserve"> of HIV seropositivity, and 3) notes the information and/or referral outcome of the service transaction. Or, if a Project Sponsor </w:t>
      </w:r>
      <w:r>
        <w:rPr>
          <w:rFonts w:ascii="Calibri" w:hAnsi="Calibri"/>
          <w:szCs w:val="32"/>
        </w:rPr>
        <w:t>holds</w:t>
      </w:r>
      <w:r w:rsidRPr="00251B42">
        <w:rPr>
          <w:rFonts w:ascii="Calibri" w:hAnsi="Calibri"/>
          <w:szCs w:val="32"/>
        </w:rPr>
        <w:t xml:space="preserve"> individualized </w:t>
      </w:r>
      <w:r>
        <w:rPr>
          <w:rFonts w:ascii="Calibri" w:hAnsi="Calibri"/>
          <w:szCs w:val="32"/>
        </w:rPr>
        <w:t>classes on the topic of landlord and tenant responsibilities</w:t>
      </w:r>
      <w:r w:rsidRPr="00251B42">
        <w:rPr>
          <w:rFonts w:ascii="Calibri" w:hAnsi="Calibri"/>
          <w:szCs w:val="32"/>
        </w:rPr>
        <w:t>, the Project Sponsor could develop a mechanism that 1)</w:t>
      </w:r>
      <w:r>
        <w:rPr>
          <w:rFonts w:ascii="Calibri" w:hAnsi="Calibri"/>
          <w:szCs w:val="32"/>
        </w:rPr>
        <w:t xml:space="preserve"> </w:t>
      </w:r>
      <w:r w:rsidRPr="00251B42">
        <w:rPr>
          <w:rFonts w:ascii="Calibri" w:hAnsi="Calibri"/>
          <w:szCs w:val="32"/>
        </w:rPr>
        <w:t xml:space="preserve">tracks </w:t>
      </w:r>
      <w:r>
        <w:rPr>
          <w:rFonts w:ascii="Calibri" w:hAnsi="Calibri"/>
          <w:szCs w:val="32"/>
        </w:rPr>
        <w:t>the num</w:t>
      </w:r>
      <w:r w:rsidR="00176CB3">
        <w:rPr>
          <w:rFonts w:ascii="Calibri" w:hAnsi="Calibri"/>
          <w:szCs w:val="32"/>
        </w:rPr>
        <w:t>ber of participant households, 2</w:t>
      </w:r>
      <w:r w:rsidRPr="00251B42">
        <w:rPr>
          <w:rFonts w:ascii="Calibri" w:hAnsi="Calibri"/>
          <w:szCs w:val="32"/>
        </w:rPr>
        <w:t>) confidentially obtains proof of HIV seropositivity for at least one household member from each participant household,</w:t>
      </w:r>
      <w:r>
        <w:rPr>
          <w:rFonts w:ascii="Calibri" w:hAnsi="Calibri"/>
          <w:szCs w:val="32"/>
        </w:rPr>
        <w:t xml:space="preserve"> 3) secures participant household consent for services and/or consent to release and/or obtain confidential information as necessary, and 4</w:t>
      </w:r>
      <w:r w:rsidRPr="00251B42">
        <w:rPr>
          <w:rFonts w:ascii="Calibri" w:hAnsi="Calibri"/>
          <w:szCs w:val="32"/>
        </w:rPr>
        <w:t>) notes the purpose and content of the service transaction.</w:t>
      </w:r>
    </w:p>
    <w:p w14:paraId="3E74B0F5" w14:textId="77777777" w:rsidR="008A4538" w:rsidRPr="00251B42" w:rsidRDefault="008A4538" w:rsidP="008A4538">
      <w:pPr>
        <w:pStyle w:val="NoSpacing"/>
        <w:ind w:left="1440"/>
        <w:rPr>
          <w:rFonts w:ascii="Calibri" w:hAnsi="Calibri"/>
          <w:szCs w:val="32"/>
        </w:rPr>
      </w:pPr>
    </w:p>
    <w:p w14:paraId="1DB57AC7" w14:textId="750AD751" w:rsidR="008A4538" w:rsidRDefault="008A4538" w:rsidP="008A4538">
      <w:pPr>
        <w:pStyle w:val="NoSpacing"/>
        <w:ind w:left="1440"/>
        <w:rPr>
          <w:rFonts w:ascii="Calibri" w:hAnsi="Calibri"/>
          <w:szCs w:val="32"/>
        </w:rPr>
      </w:pPr>
      <w:r w:rsidRPr="00251B42">
        <w:rPr>
          <w:rFonts w:ascii="Calibri" w:hAnsi="Calibri"/>
          <w:szCs w:val="32"/>
        </w:rPr>
        <w:t xml:space="preserve">Additionally, Project Sponsors </w:t>
      </w:r>
      <w:r w:rsidR="00134FCF">
        <w:rPr>
          <w:rFonts w:ascii="Calibri" w:hAnsi="Calibri"/>
          <w:szCs w:val="32"/>
        </w:rPr>
        <w:t>providing</w:t>
      </w:r>
      <w:r w:rsidRPr="00251B42">
        <w:rPr>
          <w:rFonts w:ascii="Calibri" w:hAnsi="Calibri"/>
          <w:szCs w:val="32"/>
        </w:rPr>
        <w:t xml:space="preserve"> generalized housing information and referral services must establish a low-barrier protocol for self-declaration of HIV seropositivity. </w:t>
      </w:r>
      <w:r w:rsidR="00401FF2">
        <w:rPr>
          <w:rFonts w:ascii="Calibri" w:hAnsi="Calibri"/>
          <w:szCs w:val="32"/>
        </w:rPr>
        <w:t xml:space="preserve">This </w:t>
      </w:r>
      <w:r w:rsidRPr="00251B42">
        <w:rPr>
          <w:rFonts w:ascii="Calibri" w:hAnsi="Calibri"/>
          <w:szCs w:val="32"/>
        </w:rPr>
        <w:t>ensure</w:t>
      </w:r>
      <w:r w:rsidR="00401FF2">
        <w:rPr>
          <w:rFonts w:ascii="Calibri" w:hAnsi="Calibri"/>
          <w:szCs w:val="32"/>
        </w:rPr>
        <w:t>s</w:t>
      </w:r>
      <w:r w:rsidRPr="00251B42">
        <w:rPr>
          <w:rFonts w:ascii="Calibri" w:hAnsi="Calibri"/>
          <w:szCs w:val="32"/>
        </w:rPr>
        <w:t xml:space="preserve"> that Project Sponsors may deliver generalized </w:t>
      </w:r>
      <w:r w:rsidR="008B2D15">
        <w:rPr>
          <w:rFonts w:ascii="Calibri" w:hAnsi="Calibri"/>
          <w:szCs w:val="32"/>
        </w:rPr>
        <w:t>HIS</w:t>
      </w:r>
      <w:r w:rsidRPr="00251B42">
        <w:rPr>
          <w:rFonts w:ascii="Calibri" w:hAnsi="Calibri"/>
          <w:szCs w:val="32"/>
        </w:rPr>
        <w:t xml:space="preserve"> to eligible households without necessarily obtaining confirmatory proof of HIV seropositivity, thereby minimizing barriers to accessing generalized services. Self-</w:t>
      </w:r>
      <w:r w:rsidRPr="00251B42">
        <w:rPr>
          <w:rFonts w:ascii="Calibri" w:hAnsi="Calibri"/>
          <w:szCs w:val="32"/>
        </w:rPr>
        <w:lastRenderedPageBreak/>
        <w:t>declarations may be verbal or written, completed by a PLWH or any other member of a household that includes a PLWH, and named or anonymous.</w:t>
      </w:r>
    </w:p>
    <w:p w14:paraId="5633DA9D" w14:textId="77777777" w:rsidR="008A4538" w:rsidRPr="00325B20" w:rsidRDefault="008A4538" w:rsidP="008A4538">
      <w:pPr>
        <w:pStyle w:val="NoSpacing"/>
        <w:ind w:left="720"/>
        <w:rPr>
          <w:rFonts w:ascii="Calibri" w:hAnsi="Calibri"/>
          <w:szCs w:val="32"/>
        </w:rPr>
      </w:pPr>
    </w:p>
    <w:p w14:paraId="1E56AD54" w14:textId="77777777" w:rsidR="008A4538" w:rsidRPr="0019001F" w:rsidRDefault="008A4538" w:rsidP="008A4538">
      <w:pPr>
        <w:numPr>
          <w:ilvl w:val="0"/>
          <w:numId w:val="116"/>
        </w:numPr>
        <w:spacing w:after="0" w:line="240" w:lineRule="auto"/>
        <w:rPr>
          <w:rFonts w:ascii="Calibri" w:eastAsia="Calibri" w:hAnsi="Calibri" w:cs="Times New Roman"/>
          <w:b/>
          <w:u w:val="single"/>
        </w:rPr>
      </w:pPr>
      <w:r>
        <w:rPr>
          <w:rFonts w:ascii="Calibri" w:eastAsia="Calibri" w:hAnsi="Calibri" w:cs="Times New Roman"/>
          <w:b/>
          <w:u w:val="single"/>
        </w:rPr>
        <w:t>Additional DSHS Requirements</w:t>
      </w:r>
    </w:p>
    <w:p w14:paraId="7E441F64" w14:textId="7D9D124B" w:rsidR="00447314" w:rsidRDefault="008A4538" w:rsidP="008A4538">
      <w:pPr>
        <w:pStyle w:val="NoSpacing"/>
        <w:ind w:left="720"/>
        <w:rPr>
          <w:rFonts w:ascii="Calibri" w:hAnsi="Calibri"/>
          <w:szCs w:val="32"/>
        </w:rPr>
      </w:pPr>
      <w:r w:rsidRPr="00692FCB">
        <w:rPr>
          <w:rFonts w:ascii="Calibri" w:hAnsi="Calibri"/>
          <w:szCs w:val="32"/>
        </w:rPr>
        <w:t xml:space="preserve">Project Sponsors </w:t>
      </w:r>
      <w:r w:rsidR="00165FD3">
        <w:rPr>
          <w:rFonts w:ascii="Calibri" w:hAnsi="Calibri"/>
          <w:szCs w:val="32"/>
        </w:rPr>
        <w:t>planning</w:t>
      </w:r>
      <w:r w:rsidRPr="00692FCB">
        <w:rPr>
          <w:rFonts w:ascii="Calibri" w:hAnsi="Calibri"/>
          <w:szCs w:val="32"/>
        </w:rPr>
        <w:t xml:space="preserve"> to provide </w:t>
      </w:r>
      <w:r w:rsidR="008B2D15">
        <w:rPr>
          <w:rFonts w:ascii="Calibri" w:hAnsi="Calibri"/>
          <w:szCs w:val="32"/>
        </w:rPr>
        <w:t>HIS</w:t>
      </w:r>
      <w:r w:rsidRPr="00692FCB">
        <w:rPr>
          <w:rFonts w:ascii="Calibri" w:hAnsi="Calibri"/>
          <w:szCs w:val="32"/>
        </w:rPr>
        <w:t xml:space="preserve"> must collaborate with </w:t>
      </w:r>
      <w:r w:rsidR="00570DA0">
        <w:rPr>
          <w:rFonts w:ascii="Calibri" w:hAnsi="Calibri"/>
          <w:szCs w:val="32"/>
        </w:rPr>
        <w:t>their AA</w:t>
      </w:r>
      <w:r w:rsidRPr="00692FCB">
        <w:rPr>
          <w:rFonts w:ascii="Calibri" w:hAnsi="Calibri"/>
          <w:szCs w:val="32"/>
        </w:rPr>
        <w:t xml:space="preserve"> to develop a comprehensive proposal and service delivery model.</w:t>
      </w:r>
      <w:r>
        <w:rPr>
          <w:rFonts w:ascii="Calibri" w:hAnsi="Calibri"/>
          <w:szCs w:val="32"/>
        </w:rPr>
        <w:t xml:space="preserve"> </w:t>
      </w:r>
      <w:r w:rsidRPr="00E513F9">
        <w:rPr>
          <w:rFonts w:ascii="Calibri" w:hAnsi="Calibri"/>
          <w:szCs w:val="32"/>
        </w:rPr>
        <w:t xml:space="preserve">AAs will consider proposals, with DSHS oversight, on a case-by-case basis. </w:t>
      </w:r>
      <w:r>
        <w:rPr>
          <w:rFonts w:ascii="Calibri" w:hAnsi="Calibri"/>
          <w:szCs w:val="32"/>
        </w:rPr>
        <w:t>Proposals should describe the purpose of the service; the types of housing information services the Project Sponsor will provide; how the Project Sponsor will collect proof of HIV seropositivity; the types of additional documentation the Project Sponsor will require (if any) to improve the utility or efficacy of the service; wheth</w:t>
      </w:r>
      <w:r w:rsidR="00921891">
        <w:rPr>
          <w:rFonts w:ascii="Calibri" w:hAnsi="Calibri"/>
          <w:szCs w:val="32"/>
        </w:rPr>
        <w:t>er their services will be generalized and</w:t>
      </w:r>
      <w:r>
        <w:rPr>
          <w:rFonts w:ascii="Calibri" w:hAnsi="Calibri"/>
          <w:szCs w:val="32"/>
        </w:rPr>
        <w:t xml:space="preserve">/or individualized; affirmative outreach and marketing; recordkeeping; </w:t>
      </w:r>
      <w:r w:rsidR="003A1927">
        <w:rPr>
          <w:rFonts w:ascii="Calibri" w:hAnsi="Calibri"/>
          <w:szCs w:val="32"/>
        </w:rPr>
        <w:t xml:space="preserve">the budget and anticipated costs; </w:t>
      </w:r>
      <w:r>
        <w:rPr>
          <w:rFonts w:ascii="Calibri" w:hAnsi="Calibri"/>
          <w:szCs w:val="32"/>
        </w:rPr>
        <w:t xml:space="preserve">etc. </w:t>
      </w:r>
      <w:r w:rsidR="00570DA0">
        <w:rPr>
          <w:rFonts w:ascii="Calibri" w:hAnsi="Calibri"/>
          <w:szCs w:val="32"/>
        </w:rPr>
        <w:t>Their AA</w:t>
      </w:r>
      <w:r w:rsidRPr="00E513F9">
        <w:rPr>
          <w:rFonts w:ascii="Calibri" w:hAnsi="Calibri"/>
          <w:szCs w:val="32"/>
        </w:rPr>
        <w:t xml:space="preserve"> must consult with DSHS and DSHS must consult with HUD before </w:t>
      </w:r>
      <w:r w:rsidR="003D6AF3">
        <w:rPr>
          <w:rFonts w:ascii="Calibri" w:hAnsi="Calibri"/>
          <w:szCs w:val="32"/>
        </w:rPr>
        <w:t>DSHS approves the proposal</w:t>
      </w:r>
      <w:r w:rsidRPr="00E513F9">
        <w:rPr>
          <w:rFonts w:ascii="Calibri" w:hAnsi="Calibri"/>
          <w:szCs w:val="32"/>
        </w:rPr>
        <w:t xml:space="preserve">. If an AA evaluates and approves a proposal, </w:t>
      </w:r>
      <w:r w:rsidR="00570DA0">
        <w:rPr>
          <w:rFonts w:ascii="Calibri" w:hAnsi="Calibri"/>
          <w:szCs w:val="32"/>
        </w:rPr>
        <w:t>they</w:t>
      </w:r>
      <w:r w:rsidRPr="00E513F9">
        <w:rPr>
          <w:rFonts w:ascii="Calibri" w:hAnsi="Calibri"/>
          <w:szCs w:val="32"/>
        </w:rPr>
        <w:t xml:space="preserve"> must </w:t>
      </w:r>
      <w:r w:rsidR="002E5A23">
        <w:rPr>
          <w:rFonts w:ascii="Calibri" w:hAnsi="Calibri"/>
          <w:szCs w:val="32"/>
        </w:rPr>
        <w:t>include the proposed activities</w:t>
      </w:r>
      <w:r w:rsidR="002E5A23" w:rsidRPr="00E513F9">
        <w:rPr>
          <w:rFonts w:ascii="Calibri" w:hAnsi="Calibri"/>
          <w:szCs w:val="32"/>
        </w:rPr>
        <w:t xml:space="preserve"> </w:t>
      </w:r>
      <w:r w:rsidR="002E5A23">
        <w:rPr>
          <w:rFonts w:ascii="Calibri" w:hAnsi="Calibri"/>
          <w:szCs w:val="32"/>
        </w:rPr>
        <w:t>in</w:t>
      </w:r>
      <w:r w:rsidR="00401FF2" w:rsidRPr="00E513F9">
        <w:rPr>
          <w:rFonts w:ascii="Calibri" w:hAnsi="Calibri"/>
          <w:szCs w:val="32"/>
        </w:rPr>
        <w:t xml:space="preserve"> the Project Sponsor’s contractual statement of work</w:t>
      </w:r>
      <w:r w:rsidRPr="00E513F9">
        <w:rPr>
          <w:rFonts w:ascii="Calibri" w:hAnsi="Calibri"/>
          <w:szCs w:val="32"/>
        </w:rPr>
        <w:t xml:space="preserve">. Additionally, AAs must develop a mechanism for evaluating the impact of the </w:t>
      </w:r>
      <w:r>
        <w:rPr>
          <w:rFonts w:ascii="Calibri" w:hAnsi="Calibri"/>
          <w:szCs w:val="32"/>
        </w:rPr>
        <w:t>service</w:t>
      </w:r>
      <w:r w:rsidRPr="00E513F9">
        <w:rPr>
          <w:rFonts w:ascii="Calibri" w:hAnsi="Calibri"/>
          <w:szCs w:val="32"/>
        </w:rPr>
        <w:t xml:space="preserve">, whether the </w:t>
      </w:r>
      <w:r>
        <w:rPr>
          <w:rFonts w:ascii="Calibri" w:hAnsi="Calibri"/>
          <w:szCs w:val="32"/>
        </w:rPr>
        <w:t>service</w:t>
      </w:r>
      <w:r w:rsidRPr="00E513F9">
        <w:rPr>
          <w:rFonts w:ascii="Calibri" w:hAnsi="Calibri"/>
          <w:szCs w:val="32"/>
        </w:rPr>
        <w:t xml:space="preserve"> met its intended objectives, and all resultant </w:t>
      </w:r>
      <w:r>
        <w:rPr>
          <w:rFonts w:ascii="Calibri" w:hAnsi="Calibri"/>
          <w:szCs w:val="32"/>
        </w:rPr>
        <w:t>service outputs and outcome</w:t>
      </w:r>
      <w:r w:rsidRPr="00E513F9">
        <w:rPr>
          <w:rFonts w:ascii="Calibri" w:hAnsi="Calibri"/>
          <w:szCs w:val="32"/>
        </w:rPr>
        <w:t>s.</w:t>
      </w:r>
    </w:p>
    <w:p w14:paraId="1F531B41" w14:textId="345A8310" w:rsidR="00447314" w:rsidRPr="0020236B" w:rsidRDefault="00447314" w:rsidP="004F1682">
      <w:pPr>
        <w:pStyle w:val="NoSpacing"/>
      </w:pPr>
    </w:p>
    <w:p w14:paraId="7021CAF5" w14:textId="63BF5650" w:rsidR="00F37AAB" w:rsidRDefault="00F37AAB" w:rsidP="00066B7E">
      <w:pPr>
        <w:pStyle w:val="Heading2"/>
        <w:rPr>
          <w:szCs w:val="32"/>
        </w:rPr>
      </w:pPr>
      <w:bookmarkStart w:id="48" w:name="_Toc140755476"/>
      <w:r w:rsidRPr="00066B7E">
        <w:rPr>
          <w:szCs w:val="32"/>
        </w:rPr>
        <w:t>Resource Identification</w:t>
      </w:r>
      <w:r w:rsidR="00C3340B" w:rsidRPr="00066B7E">
        <w:rPr>
          <w:szCs w:val="32"/>
        </w:rPr>
        <w:t xml:space="preserve"> (RI)</w:t>
      </w:r>
      <w:bookmarkEnd w:id="48"/>
    </w:p>
    <w:p w14:paraId="5D6A2EBE" w14:textId="218E5D94" w:rsidR="00280305" w:rsidRDefault="00EC1E19" w:rsidP="00066B7E">
      <w:pPr>
        <w:pStyle w:val="NoSpacing"/>
        <w:numPr>
          <w:ilvl w:val="0"/>
          <w:numId w:val="126"/>
        </w:numPr>
        <w:rPr>
          <w:b/>
          <w:u w:val="single"/>
        </w:rPr>
      </w:pPr>
      <w:r w:rsidRPr="00066B7E">
        <w:rPr>
          <w:b/>
          <w:u w:val="single"/>
        </w:rPr>
        <w:t>Purpose</w:t>
      </w:r>
    </w:p>
    <w:p w14:paraId="6DA8C344" w14:textId="3633C81B" w:rsidR="00D2727F" w:rsidRDefault="00FC30F5" w:rsidP="00066B7E">
      <w:pPr>
        <w:pStyle w:val="NoSpacing"/>
        <w:ind w:left="720"/>
      </w:pPr>
      <w:r>
        <w:t xml:space="preserve">Per </w:t>
      </w:r>
      <w:r w:rsidR="00D2727F" w:rsidRPr="00D2727F">
        <w:t>24 CFR §574.300, Resource Identification encompasses activities that establish, coordinate, and develop housing assistance resources for eligible households (including preliminary research and expenditures necessary to determine the feasibility of specific housing-related initiatives).</w:t>
      </w:r>
    </w:p>
    <w:p w14:paraId="11AFBA59" w14:textId="77777777" w:rsidR="00D2727F" w:rsidRPr="00D2727F" w:rsidRDefault="00D2727F" w:rsidP="00066B7E">
      <w:pPr>
        <w:pStyle w:val="NoSpacing"/>
        <w:ind w:left="720"/>
      </w:pPr>
    </w:p>
    <w:p w14:paraId="7641F8A0" w14:textId="2E9ECD5C" w:rsidR="00EC1E19" w:rsidRPr="00066B7E" w:rsidRDefault="00EC1E19" w:rsidP="00066B7E">
      <w:pPr>
        <w:pStyle w:val="NoSpacing"/>
        <w:numPr>
          <w:ilvl w:val="0"/>
          <w:numId w:val="126"/>
        </w:numPr>
        <w:rPr>
          <w:b/>
          <w:u w:val="single"/>
        </w:rPr>
      </w:pPr>
      <w:r w:rsidRPr="00066B7E">
        <w:rPr>
          <w:b/>
          <w:u w:val="single"/>
        </w:rPr>
        <w:t>Eligible Costs</w:t>
      </w:r>
    </w:p>
    <w:p w14:paraId="4E2176F5" w14:textId="5F4FC02D" w:rsidR="000E4F15" w:rsidRDefault="003B6FB2" w:rsidP="00066B7E">
      <w:pPr>
        <w:pStyle w:val="NoSpacing"/>
        <w:ind w:left="720"/>
        <w:rPr>
          <w:rFonts w:ascii="Calibri" w:hAnsi="Calibri"/>
        </w:rPr>
      </w:pPr>
      <w:r w:rsidRPr="003B6FB2">
        <w:rPr>
          <w:rFonts w:ascii="Calibri" w:hAnsi="Calibri"/>
        </w:rPr>
        <w:t>Generally, eligible costs include personnel, travel, equipment, supplies, and contracts for good</w:t>
      </w:r>
      <w:r w:rsidR="00A52D5D">
        <w:rPr>
          <w:rFonts w:ascii="Calibri" w:hAnsi="Calibri"/>
        </w:rPr>
        <w:t>s</w:t>
      </w:r>
      <w:r w:rsidRPr="003B6FB2">
        <w:rPr>
          <w:rFonts w:ascii="Calibri" w:hAnsi="Calibri"/>
        </w:rPr>
        <w:t xml:space="preserve"> and services. Costs must be reasonable, allowable, documented, and allocable to </w:t>
      </w:r>
      <w:r>
        <w:rPr>
          <w:rFonts w:ascii="Calibri" w:hAnsi="Calibri"/>
        </w:rPr>
        <w:t>Resource Identification</w:t>
      </w:r>
      <w:r w:rsidRPr="003B6FB2">
        <w:rPr>
          <w:rFonts w:ascii="Calibri" w:hAnsi="Calibri"/>
        </w:rPr>
        <w:t xml:space="preserve">. </w:t>
      </w:r>
      <w:r>
        <w:rPr>
          <w:rFonts w:ascii="Calibri" w:hAnsi="Calibri"/>
        </w:rPr>
        <w:t>Resource Identification</w:t>
      </w:r>
      <w:r w:rsidRPr="003B6FB2">
        <w:rPr>
          <w:rFonts w:ascii="Calibri" w:hAnsi="Calibri"/>
        </w:rPr>
        <w:t xml:space="preserve"> may be used for costs related to</w:t>
      </w:r>
      <w:r w:rsidR="00D2125D">
        <w:rPr>
          <w:rFonts w:ascii="Calibri" w:hAnsi="Calibri"/>
        </w:rPr>
        <w:t xml:space="preserve"> h</w:t>
      </w:r>
      <w:r w:rsidR="00D2727F" w:rsidRPr="002A61C8">
        <w:rPr>
          <w:rFonts w:ascii="Calibri" w:hAnsi="Calibri"/>
        </w:rPr>
        <w:t>ousing resource development</w:t>
      </w:r>
      <w:r w:rsidR="00D2125D">
        <w:rPr>
          <w:rFonts w:ascii="Calibri" w:hAnsi="Calibri"/>
        </w:rPr>
        <w:t>, h</w:t>
      </w:r>
      <w:r w:rsidR="00D2727F" w:rsidRPr="007849A1">
        <w:rPr>
          <w:rFonts w:ascii="Calibri" w:hAnsi="Calibri"/>
        </w:rPr>
        <w:t>ousing research and needs assessment</w:t>
      </w:r>
      <w:r w:rsidR="00D2125D">
        <w:rPr>
          <w:rFonts w:ascii="Calibri" w:hAnsi="Calibri"/>
        </w:rPr>
        <w:t>, h</w:t>
      </w:r>
      <w:r w:rsidR="00D2727F" w:rsidRPr="007849A1">
        <w:rPr>
          <w:rFonts w:ascii="Calibri" w:hAnsi="Calibri"/>
        </w:rPr>
        <w:t>ousing systems coordination</w:t>
      </w:r>
      <w:r w:rsidR="00D2125D">
        <w:rPr>
          <w:rFonts w:ascii="Calibri" w:hAnsi="Calibri"/>
        </w:rPr>
        <w:t>,</w:t>
      </w:r>
      <w:r w:rsidR="00D2727F">
        <w:rPr>
          <w:rFonts w:ascii="Calibri" w:hAnsi="Calibri"/>
        </w:rPr>
        <w:t xml:space="preserve"> and</w:t>
      </w:r>
      <w:r w:rsidR="00D2125D">
        <w:rPr>
          <w:rFonts w:ascii="Calibri" w:hAnsi="Calibri"/>
        </w:rPr>
        <w:t xml:space="preserve"> </w:t>
      </w:r>
      <w:r w:rsidR="00D2727F" w:rsidRPr="007849A1">
        <w:rPr>
          <w:rFonts w:ascii="Calibri" w:hAnsi="Calibri"/>
        </w:rPr>
        <w:t>HUD-approved HOPWA-related training</w:t>
      </w:r>
      <w:r w:rsidR="008B6A81">
        <w:rPr>
          <w:rFonts w:ascii="Calibri" w:hAnsi="Calibri"/>
        </w:rPr>
        <w:t>.</w:t>
      </w:r>
      <w:r w:rsidR="009E2CF7">
        <w:rPr>
          <w:rFonts w:ascii="Calibri" w:hAnsi="Calibri"/>
        </w:rPr>
        <w:t xml:space="preserve"> </w:t>
      </w:r>
      <w:r w:rsidR="00BD567D">
        <w:rPr>
          <w:rFonts w:ascii="Calibri" w:hAnsi="Calibri"/>
        </w:rPr>
        <w:t>DSHS, AAs</w:t>
      </w:r>
      <w:r w:rsidR="005B5A4C">
        <w:rPr>
          <w:rFonts w:ascii="Calibri" w:hAnsi="Calibri"/>
        </w:rPr>
        <w:t xml:space="preserve"> (</w:t>
      </w:r>
      <w:r w:rsidR="009E2CF7">
        <w:rPr>
          <w:rFonts w:ascii="Calibri" w:hAnsi="Calibri"/>
        </w:rPr>
        <w:t>in lieu of or in conjunction with DSHS)</w:t>
      </w:r>
      <w:r w:rsidR="00BD567D">
        <w:rPr>
          <w:rFonts w:ascii="Calibri" w:hAnsi="Calibri"/>
        </w:rPr>
        <w:t>,</w:t>
      </w:r>
      <w:r w:rsidR="009E2CF7">
        <w:rPr>
          <w:rFonts w:ascii="Calibri" w:hAnsi="Calibri"/>
        </w:rPr>
        <w:t xml:space="preserve"> and Project Sponsors</w:t>
      </w:r>
      <w:r w:rsidR="00D2125D">
        <w:rPr>
          <w:rFonts w:ascii="Calibri" w:hAnsi="Calibri"/>
        </w:rPr>
        <w:t xml:space="preserve"> may undertake Resource Identification activities. </w:t>
      </w:r>
      <w:r w:rsidR="00D2125D" w:rsidRPr="00D2125D">
        <w:rPr>
          <w:rFonts w:ascii="Calibri" w:hAnsi="Calibri"/>
        </w:rPr>
        <w:t xml:space="preserve">Note, </w:t>
      </w:r>
      <w:r w:rsidR="009E2CF7">
        <w:rPr>
          <w:rFonts w:ascii="Calibri" w:hAnsi="Calibri"/>
        </w:rPr>
        <w:t>an</w:t>
      </w:r>
      <w:r w:rsidR="00D2125D" w:rsidRPr="00D2125D">
        <w:rPr>
          <w:rFonts w:ascii="Calibri" w:hAnsi="Calibri"/>
        </w:rPr>
        <w:t xml:space="preserve"> AA </w:t>
      </w:r>
      <w:r w:rsidR="009E2CF7">
        <w:rPr>
          <w:rFonts w:ascii="Calibri" w:hAnsi="Calibri"/>
        </w:rPr>
        <w:t>will not receive</w:t>
      </w:r>
      <w:r w:rsidR="00D2125D" w:rsidRPr="00D2125D">
        <w:rPr>
          <w:rFonts w:ascii="Calibri" w:hAnsi="Calibri"/>
        </w:rPr>
        <w:t xml:space="preserve"> separate or additional funding</w:t>
      </w:r>
      <w:r w:rsidR="009E2CF7">
        <w:rPr>
          <w:rFonts w:ascii="Calibri" w:hAnsi="Calibri"/>
        </w:rPr>
        <w:t xml:space="preserve"> for Resource Identification</w:t>
      </w:r>
      <w:r w:rsidR="00D2125D" w:rsidRPr="00D2125D">
        <w:rPr>
          <w:rFonts w:ascii="Calibri" w:hAnsi="Calibri"/>
        </w:rPr>
        <w:t xml:space="preserve">. If an AA allocates funds for AA </w:t>
      </w:r>
      <w:r w:rsidR="009E2CF7">
        <w:rPr>
          <w:rFonts w:ascii="Calibri" w:hAnsi="Calibri"/>
        </w:rPr>
        <w:t>Resource Identification costs</w:t>
      </w:r>
      <w:r w:rsidR="00D2125D" w:rsidRPr="00D2125D">
        <w:rPr>
          <w:rFonts w:ascii="Calibri" w:hAnsi="Calibri"/>
        </w:rPr>
        <w:t>, it must inversely decrease its total allocation to its Project Sponsors.</w:t>
      </w:r>
    </w:p>
    <w:p w14:paraId="6E2E836C" w14:textId="77777777" w:rsidR="000E4F15" w:rsidRDefault="000E4F15" w:rsidP="00066B7E">
      <w:pPr>
        <w:pStyle w:val="NoSpacing"/>
        <w:ind w:left="720"/>
        <w:rPr>
          <w:rFonts w:ascii="Calibri" w:hAnsi="Calibri"/>
        </w:rPr>
      </w:pPr>
    </w:p>
    <w:p w14:paraId="62CDB402" w14:textId="1B312D4C" w:rsidR="00EC1E19" w:rsidRDefault="00D2727F" w:rsidP="00066B7E">
      <w:pPr>
        <w:pStyle w:val="NoSpacing"/>
        <w:ind w:left="720"/>
        <w:rPr>
          <w:rFonts w:ascii="Calibri" w:hAnsi="Calibri"/>
        </w:rPr>
      </w:pPr>
      <w:r w:rsidRPr="00F020EA">
        <w:rPr>
          <w:rFonts w:ascii="Calibri" w:hAnsi="Calibri"/>
        </w:rPr>
        <w:t xml:space="preserve">DSHS limits Project Sponsor Resource Identification costs to 5 percent of the portion of the grant amount they receive. Resource Identification budgets that fall at or below the 5 percent limit do not require special budget-approval from DSHS. For special project proposals, Project Sponsors may request an increased percentage rate if necessary to achieve specific Resource Identification objectives. Project Sponsors </w:t>
      </w:r>
      <w:r w:rsidR="00165FD3">
        <w:rPr>
          <w:rFonts w:ascii="Calibri" w:hAnsi="Calibri"/>
        </w:rPr>
        <w:t>requesting</w:t>
      </w:r>
      <w:r w:rsidRPr="00F020EA">
        <w:rPr>
          <w:rFonts w:ascii="Calibri" w:hAnsi="Calibri"/>
        </w:rPr>
        <w:t xml:space="preserve"> an increased percentage rate must collaborate with </w:t>
      </w:r>
      <w:r w:rsidR="00570DA0">
        <w:rPr>
          <w:rFonts w:ascii="Calibri" w:hAnsi="Calibri"/>
        </w:rPr>
        <w:t>their AA</w:t>
      </w:r>
      <w:r w:rsidRPr="00F020EA">
        <w:rPr>
          <w:rFonts w:ascii="Calibri" w:hAnsi="Calibri"/>
        </w:rPr>
        <w:t xml:space="preserve"> to identify an appropriate rate and incorporate </w:t>
      </w:r>
      <w:r>
        <w:rPr>
          <w:rFonts w:ascii="Calibri" w:hAnsi="Calibri"/>
        </w:rPr>
        <w:t>the rate</w:t>
      </w:r>
      <w:r w:rsidRPr="00F020EA">
        <w:rPr>
          <w:rFonts w:ascii="Calibri" w:hAnsi="Calibri"/>
        </w:rPr>
        <w:t xml:space="preserve"> in</w:t>
      </w:r>
      <w:r>
        <w:rPr>
          <w:rFonts w:ascii="Calibri" w:hAnsi="Calibri"/>
        </w:rPr>
        <w:t>to</w:t>
      </w:r>
      <w:r w:rsidRPr="00F020EA">
        <w:rPr>
          <w:rFonts w:ascii="Calibri" w:hAnsi="Calibri"/>
        </w:rPr>
        <w:t xml:space="preserve"> their comprehensive project proposal. </w:t>
      </w:r>
      <w:r w:rsidR="00165FD3">
        <w:rPr>
          <w:rFonts w:ascii="Calibri" w:hAnsi="Calibri"/>
        </w:rPr>
        <w:t>AAs</w:t>
      </w:r>
      <w:r w:rsidR="00165FD3" w:rsidRPr="00F020EA">
        <w:rPr>
          <w:rFonts w:ascii="Calibri" w:hAnsi="Calibri"/>
        </w:rPr>
        <w:t xml:space="preserve"> </w:t>
      </w:r>
      <w:r>
        <w:rPr>
          <w:rFonts w:ascii="Calibri" w:hAnsi="Calibri"/>
        </w:rPr>
        <w:t>may authorize increased percentage rates on a case-by-case basis, if justified and with advance written approval from DSHS</w:t>
      </w:r>
      <w:r w:rsidRPr="00F020EA">
        <w:rPr>
          <w:rFonts w:ascii="Calibri" w:hAnsi="Calibri"/>
        </w:rPr>
        <w:t>.</w:t>
      </w:r>
      <w:r w:rsidR="000E4F15">
        <w:rPr>
          <w:rFonts w:ascii="Calibri" w:hAnsi="Calibri"/>
        </w:rPr>
        <w:t xml:space="preserve"> AA Resource Identification costs </w:t>
      </w:r>
      <w:r w:rsidR="00CC62DA">
        <w:rPr>
          <w:rFonts w:ascii="Calibri" w:hAnsi="Calibri"/>
        </w:rPr>
        <w:t xml:space="preserve">do not </w:t>
      </w:r>
      <w:r w:rsidR="000A08A7">
        <w:rPr>
          <w:rFonts w:ascii="Calibri" w:hAnsi="Calibri"/>
        </w:rPr>
        <w:t xml:space="preserve">currently </w:t>
      </w:r>
      <w:r w:rsidR="00CC62DA">
        <w:rPr>
          <w:rFonts w:ascii="Calibri" w:hAnsi="Calibri"/>
        </w:rPr>
        <w:t>have a cap</w:t>
      </w:r>
      <w:r w:rsidR="000E4F15" w:rsidRPr="000E4F15">
        <w:rPr>
          <w:rFonts w:ascii="Calibri" w:hAnsi="Calibri"/>
        </w:rPr>
        <w:t>.</w:t>
      </w:r>
    </w:p>
    <w:p w14:paraId="0615198A" w14:textId="77777777" w:rsidR="00580E04" w:rsidRDefault="00580E04" w:rsidP="00066B7E">
      <w:pPr>
        <w:pStyle w:val="NoSpacing"/>
        <w:ind w:left="720"/>
        <w:rPr>
          <w:rFonts w:ascii="Calibri" w:hAnsi="Calibri"/>
        </w:rPr>
      </w:pPr>
    </w:p>
    <w:p w14:paraId="07A4DF76" w14:textId="4D707D38" w:rsidR="00D2727F" w:rsidRPr="00805422" w:rsidRDefault="00D2727F" w:rsidP="00066B7E">
      <w:pPr>
        <w:pStyle w:val="NoSpacing"/>
        <w:numPr>
          <w:ilvl w:val="0"/>
          <w:numId w:val="126"/>
        </w:numPr>
        <w:rPr>
          <w:b/>
          <w:u w:val="single"/>
        </w:rPr>
      </w:pPr>
      <w:r>
        <w:rPr>
          <w:b/>
          <w:u w:val="single"/>
        </w:rPr>
        <w:t>Ineligible</w:t>
      </w:r>
      <w:r w:rsidRPr="00805422">
        <w:rPr>
          <w:b/>
          <w:u w:val="single"/>
        </w:rPr>
        <w:t xml:space="preserve"> Costs</w:t>
      </w:r>
    </w:p>
    <w:p w14:paraId="385DD676" w14:textId="30F9B66F" w:rsidR="00D2727F" w:rsidRDefault="00D2727F" w:rsidP="00066B7E">
      <w:pPr>
        <w:pStyle w:val="NoSpacing"/>
        <w:ind w:left="720"/>
        <w:rPr>
          <w:rFonts w:ascii="Calibri" w:hAnsi="Calibri"/>
        </w:rPr>
      </w:pPr>
      <w:r w:rsidRPr="00D2727F">
        <w:rPr>
          <w:rFonts w:ascii="Calibri" w:hAnsi="Calibri"/>
        </w:rPr>
        <w:t xml:space="preserve">While Resource Identification </w:t>
      </w:r>
      <w:r w:rsidR="009C32E5">
        <w:rPr>
          <w:rFonts w:ascii="Calibri" w:hAnsi="Calibri"/>
        </w:rPr>
        <w:t>provides a</w:t>
      </w:r>
      <w:r w:rsidR="009C32E5" w:rsidRPr="00D2727F">
        <w:rPr>
          <w:rFonts w:ascii="Calibri" w:hAnsi="Calibri"/>
        </w:rPr>
        <w:t xml:space="preserve"> </w:t>
      </w:r>
      <w:r w:rsidRPr="00D2727F">
        <w:rPr>
          <w:rFonts w:ascii="Calibri" w:hAnsi="Calibri"/>
        </w:rPr>
        <w:t>broad and flexible</w:t>
      </w:r>
      <w:r w:rsidR="009C32E5">
        <w:rPr>
          <w:rFonts w:ascii="Calibri" w:hAnsi="Calibri"/>
        </w:rPr>
        <w:t xml:space="preserve"> range of possible activities</w:t>
      </w:r>
      <w:r w:rsidRPr="00D2727F">
        <w:rPr>
          <w:rFonts w:ascii="Calibri" w:hAnsi="Calibri"/>
        </w:rPr>
        <w:t xml:space="preserve">, </w:t>
      </w:r>
      <w:r w:rsidR="009C32E5">
        <w:rPr>
          <w:rFonts w:ascii="Calibri" w:hAnsi="Calibri"/>
        </w:rPr>
        <w:t>these activities must</w:t>
      </w:r>
      <w:r w:rsidRPr="00D2727F">
        <w:rPr>
          <w:rFonts w:ascii="Calibri" w:hAnsi="Calibri"/>
        </w:rPr>
        <w:t xml:space="preserve"> </w:t>
      </w:r>
      <w:r w:rsidR="00BA1503">
        <w:rPr>
          <w:rFonts w:ascii="Calibri" w:hAnsi="Calibri"/>
        </w:rPr>
        <w:t>focus</w:t>
      </w:r>
      <w:r w:rsidRPr="00D2727F">
        <w:rPr>
          <w:rFonts w:ascii="Calibri" w:hAnsi="Calibri"/>
        </w:rPr>
        <w:t xml:space="preserve"> on establishing, coordinating, and developing housing assistance resources for eligible households, not </w:t>
      </w:r>
      <w:proofErr w:type="gramStart"/>
      <w:r w:rsidR="009C32E5">
        <w:rPr>
          <w:rFonts w:ascii="Calibri" w:hAnsi="Calibri"/>
        </w:rPr>
        <w:t>placing</w:t>
      </w:r>
      <w:proofErr w:type="gramEnd"/>
      <w:r w:rsidR="009C32E5">
        <w:rPr>
          <w:rFonts w:ascii="Calibri" w:hAnsi="Calibri"/>
        </w:rPr>
        <w:t xml:space="preserve"> or steering </w:t>
      </w:r>
      <w:r w:rsidRPr="00D2727F">
        <w:rPr>
          <w:rFonts w:ascii="Calibri" w:hAnsi="Calibri"/>
        </w:rPr>
        <w:t>individual household</w:t>
      </w:r>
      <w:r w:rsidR="009C32E5">
        <w:rPr>
          <w:rFonts w:ascii="Calibri" w:hAnsi="Calibri"/>
        </w:rPr>
        <w:t>s</w:t>
      </w:r>
      <w:r w:rsidRPr="00D2727F">
        <w:rPr>
          <w:rFonts w:ascii="Calibri" w:hAnsi="Calibri"/>
        </w:rPr>
        <w:t xml:space="preserve"> </w:t>
      </w:r>
      <w:r w:rsidR="009C32E5">
        <w:rPr>
          <w:rFonts w:ascii="Calibri" w:hAnsi="Calibri"/>
        </w:rPr>
        <w:t>in</w:t>
      </w:r>
      <w:r w:rsidRPr="00D2727F">
        <w:rPr>
          <w:rFonts w:ascii="Calibri" w:hAnsi="Calibri"/>
        </w:rPr>
        <w:t xml:space="preserve">to available housing, </w:t>
      </w:r>
      <w:r w:rsidR="0001210A">
        <w:rPr>
          <w:rFonts w:ascii="Calibri" w:hAnsi="Calibri"/>
        </w:rPr>
        <w:t xml:space="preserve">which </w:t>
      </w:r>
      <w:r w:rsidR="009C32E5">
        <w:rPr>
          <w:rFonts w:ascii="Calibri" w:hAnsi="Calibri"/>
        </w:rPr>
        <w:t>align</w:t>
      </w:r>
      <w:r w:rsidR="0001210A">
        <w:rPr>
          <w:rFonts w:ascii="Calibri" w:hAnsi="Calibri"/>
        </w:rPr>
        <w:t>s</w:t>
      </w:r>
      <w:r w:rsidR="009C32E5">
        <w:rPr>
          <w:rFonts w:ascii="Calibri" w:hAnsi="Calibri"/>
        </w:rPr>
        <w:t xml:space="preserve"> </w:t>
      </w:r>
      <w:r w:rsidR="0001210A">
        <w:rPr>
          <w:rFonts w:ascii="Calibri" w:hAnsi="Calibri"/>
        </w:rPr>
        <w:t xml:space="preserve">more </w:t>
      </w:r>
      <w:r w:rsidR="009C32E5">
        <w:rPr>
          <w:rFonts w:ascii="Calibri" w:hAnsi="Calibri"/>
        </w:rPr>
        <w:t>with</w:t>
      </w:r>
      <w:r w:rsidRPr="00D2727F">
        <w:rPr>
          <w:rFonts w:ascii="Calibri" w:hAnsi="Calibri"/>
        </w:rPr>
        <w:t xml:space="preserve"> </w:t>
      </w:r>
      <w:r w:rsidR="008B2D15">
        <w:rPr>
          <w:rFonts w:ascii="Calibri" w:hAnsi="Calibri"/>
        </w:rPr>
        <w:t>HIS</w:t>
      </w:r>
      <w:r w:rsidRPr="00D2727F">
        <w:rPr>
          <w:rFonts w:ascii="Calibri" w:hAnsi="Calibri"/>
        </w:rPr>
        <w:t xml:space="preserve"> or </w:t>
      </w:r>
      <w:r w:rsidR="008B2D15">
        <w:rPr>
          <w:rFonts w:ascii="Calibri" w:hAnsi="Calibri"/>
        </w:rPr>
        <w:t>PHP</w:t>
      </w:r>
      <w:r w:rsidRPr="00D2727F">
        <w:rPr>
          <w:rFonts w:ascii="Calibri" w:hAnsi="Calibri"/>
        </w:rPr>
        <w:t xml:space="preserve">. As such, Resource Identification activities do not </w:t>
      </w:r>
      <w:r w:rsidR="009C32E5">
        <w:rPr>
          <w:rFonts w:ascii="Calibri" w:hAnsi="Calibri"/>
        </w:rPr>
        <w:t xml:space="preserve">provide </w:t>
      </w:r>
      <w:r w:rsidRPr="00D2727F">
        <w:rPr>
          <w:rFonts w:ascii="Calibri" w:hAnsi="Calibri"/>
        </w:rPr>
        <w:t xml:space="preserve">direct services </w:t>
      </w:r>
      <w:r w:rsidR="0001210A">
        <w:rPr>
          <w:rFonts w:ascii="Calibri" w:hAnsi="Calibri"/>
        </w:rPr>
        <w:t xml:space="preserve">or </w:t>
      </w:r>
      <w:r w:rsidRPr="00D2727F">
        <w:rPr>
          <w:rFonts w:ascii="Calibri" w:hAnsi="Calibri"/>
        </w:rPr>
        <w:t>units of service.</w:t>
      </w:r>
    </w:p>
    <w:p w14:paraId="32E56A88" w14:textId="77777777" w:rsidR="002A566B" w:rsidRPr="00DE48B8" w:rsidRDefault="002A566B" w:rsidP="00DE48B8">
      <w:pPr>
        <w:pStyle w:val="NoSpacing"/>
        <w:ind w:left="720"/>
        <w:rPr>
          <w:b/>
          <w:u w:val="single"/>
        </w:rPr>
      </w:pPr>
    </w:p>
    <w:p w14:paraId="1836166D" w14:textId="3C3E08D3" w:rsidR="00D2727F" w:rsidRPr="00805422" w:rsidRDefault="00D2727F" w:rsidP="00066B7E">
      <w:pPr>
        <w:pStyle w:val="NoSpacing"/>
        <w:numPr>
          <w:ilvl w:val="0"/>
          <w:numId w:val="126"/>
        </w:numPr>
        <w:rPr>
          <w:b/>
          <w:u w:val="single"/>
        </w:rPr>
      </w:pPr>
      <w:r>
        <w:rPr>
          <w:b/>
          <w:u w:val="single"/>
        </w:rPr>
        <w:t>Resource Identification Activities</w:t>
      </w:r>
    </w:p>
    <w:p w14:paraId="14CAFFE0" w14:textId="48407904" w:rsidR="00D2727F" w:rsidRDefault="00D2727F" w:rsidP="00066B7E">
      <w:pPr>
        <w:pStyle w:val="NoSpacing"/>
        <w:ind w:left="720"/>
        <w:rPr>
          <w:rFonts w:ascii="Calibri" w:hAnsi="Calibri"/>
        </w:rPr>
      </w:pPr>
      <w:r w:rsidRPr="00D2727F">
        <w:rPr>
          <w:rFonts w:ascii="Calibri" w:hAnsi="Calibri"/>
        </w:rPr>
        <w:t xml:space="preserve">The following represents a non-exhaustive list of potential Resource Identification </w:t>
      </w:r>
      <w:r w:rsidR="0026256B">
        <w:rPr>
          <w:rFonts w:ascii="Calibri" w:hAnsi="Calibri"/>
        </w:rPr>
        <w:t xml:space="preserve">activities and </w:t>
      </w:r>
      <w:r w:rsidRPr="00D2727F">
        <w:rPr>
          <w:rFonts w:ascii="Calibri" w:hAnsi="Calibri"/>
        </w:rPr>
        <w:t>projects:</w:t>
      </w:r>
    </w:p>
    <w:p w14:paraId="3CA92288" w14:textId="77777777" w:rsidR="00D2727F" w:rsidRPr="007849A1" w:rsidRDefault="00D2727F" w:rsidP="00D2727F">
      <w:pPr>
        <w:pStyle w:val="ListParagraph"/>
        <w:numPr>
          <w:ilvl w:val="0"/>
          <w:numId w:val="118"/>
        </w:numPr>
        <w:spacing w:after="0" w:line="240" w:lineRule="auto"/>
        <w:ind w:left="1440" w:hanging="360"/>
        <w:rPr>
          <w:rFonts w:ascii="Calibri" w:hAnsi="Calibri"/>
          <w:b/>
        </w:rPr>
      </w:pPr>
      <w:r w:rsidRPr="007849A1">
        <w:rPr>
          <w:rFonts w:ascii="Calibri" w:hAnsi="Calibri"/>
          <w:b/>
        </w:rPr>
        <w:t>Housing Resource Development</w:t>
      </w:r>
    </w:p>
    <w:p w14:paraId="3F9E988B" w14:textId="77777777" w:rsidR="00D2727F" w:rsidRPr="007849A1" w:rsidRDefault="00D2727F" w:rsidP="003A5712">
      <w:pPr>
        <w:pStyle w:val="ListParagraph"/>
        <w:numPr>
          <w:ilvl w:val="1"/>
          <w:numId w:val="120"/>
        </w:numPr>
        <w:spacing w:after="0" w:line="240" w:lineRule="auto"/>
        <w:ind w:left="1890" w:hanging="450"/>
        <w:rPr>
          <w:rFonts w:ascii="Calibri" w:hAnsi="Calibri"/>
        </w:rPr>
      </w:pPr>
      <w:r w:rsidRPr="007849A1">
        <w:rPr>
          <w:rFonts w:ascii="Calibri" w:hAnsi="Calibri"/>
        </w:rPr>
        <w:t>Outreach and relationship-building with housing owners</w:t>
      </w:r>
    </w:p>
    <w:p w14:paraId="424EDDDE" w14:textId="77777777" w:rsidR="00D2727F" w:rsidRDefault="00D2727F" w:rsidP="003A5712">
      <w:pPr>
        <w:pStyle w:val="ListParagraph"/>
        <w:numPr>
          <w:ilvl w:val="1"/>
          <w:numId w:val="120"/>
        </w:numPr>
        <w:spacing w:after="0" w:line="240" w:lineRule="auto"/>
        <w:ind w:left="1890" w:hanging="450"/>
        <w:rPr>
          <w:rFonts w:ascii="Calibri" w:hAnsi="Calibri"/>
        </w:rPr>
      </w:pPr>
      <w:r w:rsidRPr="007849A1">
        <w:rPr>
          <w:rFonts w:ascii="Calibri" w:hAnsi="Calibri"/>
        </w:rPr>
        <w:t>Identifying and tracking housing resources and vacancies</w:t>
      </w:r>
    </w:p>
    <w:p w14:paraId="66A27187" w14:textId="77777777" w:rsidR="00D2727F" w:rsidRDefault="00D2727F" w:rsidP="003A5712">
      <w:pPr>
        <w:pStyle w:val="ListParagraph"/>
        <w:numPr>
          <w:ilvl w:val="1"/>
          <w:numId w:val="120"/>
        </w:numPr>
        <w:spacing w:after="0" w:line="240" w:lineRule="auto"/>
        <w:ind w:left="1890" w:hanging="450"/>
        <w:rPr>
          <w:rFonts w:ascii="Calibri" w:hAnsi="Calibri"/>
        </w:rPr>
      </w:pPr>
      <w:r w:rsidRPr="006F34C5">
        <w:rPr>
          <w:rFonts w:ascii="Calibri" w:hAnsi="Calibri"/>
        </w:rPr>
        <w:t xml:space="preserve">Developing an inventory of current housing assistance and supportive services available to </w:t>
      </w:r>
      <w:r>
        <w:rPr>
          <w:rFonts w:ascii="Calibri" w:hAnsi="Calibri"/>
        </w:rPr>
        <w:t>PLWH</w:t>
      </w:r>
    </w:p>
    <w:p w14:paraId="00EA26C2" w14:textId="77777777" w:rsidR="00D2727F" w:rsidRPr="006F34C5" w:rsidRDefault="00D2727F" w:rsidP="003A5712">
      <w:pPr>
        <w:pStyle w:val="ListParagraph"/>
        <w:numPr>
          <w:ilvl w:val="1"/>
          <w:numId w:val="120"/>
        </w:numPr>
        <w:spacing w:after="0" w:line="240" w:lineRule="auto"/>
        <w:ind w:left="1890" w:hanging="450"/>
        <w:rPr>
          <w:rFonts w:ascii="Calibri" w:hAnsi="Calibri"/>
        </w:rPr>
      </w:pPr>
      <w:r w:rsidRPr="006F34C5">
        <w:rPr>
          <w:rFonts w:ascii="Calibri" w:hAnsi="Calibri"/>
        </w:rPr>
        <w:t>Leveraging mainstream housing for PLWH</w:t>
      </w:r>
    </w:p>
    <w:p w14:paraId="1A2BE437" w14:textId="77777777" w:rsidR="00D2727F" w:rsidRDefault="00D2727F" w:rsidP="003A5712">
      <w:pPr>
        <w:pStyle w:val="ListParagraph"/>
        <w:numPr>
          <w:ilvl w:val="1"/>
          <w:numId w:val="120"/>
        </w:numPr>
        <w:spacing w:after="0" w:line="240" w:lineRule="auto"/>
        <w:ind w:left="1890" w:hanging="450"/>
        <w:rPr>
          <w:rFonts w:ascii="Calibri" w:hAnsi="Calibri"/>
        </w:rPr>
      </w:pPr>
      <w:r w:rsidRPr="007849A1">
        <w:rPr>
          <w:rFonts w:ascii="Calibri" w:hAnsi="Calibri"/>
        </w:rPr>
        <w:lastRenderedPageBreak/>
        <w:t>Establishing and/or maintaining housing information websites</w:t>
      </w:r>
    </w:p>
    <w:p w14:paraId="20DEDDB3" w14:textId="77777777" w:rsidR="00D2727F" w:rsidRPr="007849A1" w:rsidRDefault="00D2727F" w:rsidP="003A5712">
      <w:pPr>
        <w:pStyle w:val="ListParagraph"/>
        <w:numPr>
          <w:ilvl w:val="1"/>
          <w:numId w:val="120"/>
        </w:numPr>
        <w:spacing w:after="0" w:line="240" w:lineRule="auto"/>
        <w:ind w:left="1890" w:hanging="450"/>
        <w:rPr>
          <w:rFonts w:ascii="Calibri" w:hAnsi="Calibri"/>
        </w:rPr>
      </w:pPr>
      <w:r>
        <w:rPr>
          <w:rFonts w:ascii="Calibri" w:hAnsi="Calibri"/>
        </w:rPr>
        <w:t>Creating housing information brochures and other distributable materials</w:t>
      </w:r>
    </w:p>
    <w:p w14:paraId="20EBD157" w14:textId="77777777" w:rsidR="00D2727F" w:rsidRPr="007849A1" w:rsidRDefault="00D2727F" w:rsidP="003A5712">
      <w:pPr>
        <w:pStyle w:val="ListParagraph"/>
        <w:numPr>
          <w:ilvl w:val="1"/>
          <w:numId w:val="120"/>
        </w:numPr>
        <w:spacing w:after="0" w:line="240" w:lineRule="auto"/>
        <w:ind w:left="1890" w:hanging="450"/>
        <w:rPr>
          <w:rFonts w:ascii="Calibri" w:hAnsi="Calibri"/>
        </w:rPr>
      </w:pPr>
      <w:r w:rsidRPr="007849A1">
        <w:rPr>
          <w:rFonts w:ascii="Calibri" w:hAnsi="Calibri"/>
        </w:rPr>
        <w:t>Other activities with advance written approval from DSHS</w:t>
      </w:r>
    </w:p>
    <w:p w14:paraId="11CAC65F" w14:textId="77777777" w:rsidR="00D2727F" w:rsidRPr="007849A1" w:rsidRDefault="00D2727F" w:rsidP="00D2727F">
      <w:pPr>
        <w:pStyle w:val="ListParagraph"/>
        <w:numPr>
          <w:ilvl w:val="0"/>
          <w:numId w:val="118"/>
        </w:numPr>
        <w:spacing w:after="0" w:line="240" w:lineRule="auto"/>
        <w:ind w:left="1440" w:hanging="360"/>
        <w:rPr>
          <w:rFonts w:ascii="Calibri" w:hAnsi="Calibri"/>
          <w:b/>
        </w:rPr>
      </w:pPr>
      <w:r w:rsidRPr="007849A1">
        <w:rPr>
          <w:rFonts w:ascii="Calibri" w:hAnsi="Calibri"/>
          <w:b/>
        </w:rPr>
        <w:t>Housin</w:t>
      </w:r>
      <w:r>
        <w:rPr>
          <w:rFonts w:ascii="Calibri" w:hAnsi="Calibri"/>
          <w:b/>
        </w:rPr>
        <w:t>g Research and Needs Assessment</w:t>
      </w:r>
    </w:p>
    <w:p w14:paraId="2B28D87B" w14:textId="17BC55D8" w:rsidR="00D2727F" w:rsidRPr="007849A1" w:rsidRDefault="00D2727F" w:rsidP="003A5712">
      <w:pPr>
        <w:pStyle w:val="ListParagraph"/>
        <w:numPr>
          <w:ilvl w:val="1"/>
          <w:numId w:val="121"/>
        </w:numPr>
        <w:spacing w:after="0" w:line="240" w:lineRule="auto"/>
        <w:ind w:left="1890" w:hanging="450"/>
        <w:rPr>
          <w:rFonts w:ascii="Calibri" w:hAnsi="Calibri"/>
        </w:rPr>
      </w:pPr>
      <w:r w:rsidRPr="007849A1">
        <w:rPr>
          <w:rFonts w:ascii="Calibri" w:hAnsi="Calibri"/>
        </w:rPr>
        <w:t xml:space="preserve">Collecting and/or analyzing local HIV housing-related </w:t>
      </w:r>
      <w:r>
        <w:rPr>
          <w:rFonts w:ascii="Calibri" w:hAnsi="Calibri"/>
        </w:rPr>
        <w:t>quantitative</w:t>
      </w:r>
      <w:r w:rsidR="00473751">
        <w:rPr>
          <w:rFonts w:ascii="Calibri" w:hAnsi="Calibri"/>
        </w:rPr>
        <w:t xml:space="preserve"> and/or qualitative</w:t>
      </w:r>
      <w:r>
        <w:rPr>
          <w:rFonts w:ascii="Calibri" w:hAnsi="Calibri"/>
        </w:rPr>
        <w:t xml:space="preserve"> </w:t>
      </w:r>
      <w:r w:rsidRPr="007849A1">
        <w:rPr>
          <w:rFonts w:ascii="Calibri" w:hAnsi="Calibri"/>
        </w:rPr>
        <w:t>data</w:t>
      </w:r>
    </w:p>
    <w:p w14:paraId="5905BE16" w14:textId="77777777" w:rsidR="00D2727F" w:rsidRPr="007849A1" w:rsidRDefault="00D2727F" w:rsidP="003A5712">
      <w:pPr>
        <w:pStyle w:val="ListParagraph"/>
        <w:numPr>
          <w:ilvl w:val="1"/>
          <w:numId w:val="121"/>
        </w:numPr>
        <w:spacing w:after="0" w:line="240" w:lineRule="auto"/>
        <w:ind w:left="1890" w:hanging="450"/>
        <w:rPr>
          <w:rFonts w:ascii="Calibri" w:hAnsi="Calibri"/>
        </w:rPr>
      </w:pPr>
      <w:r w:rsidRPr="007849A1">
        <w:rPr>
          <w:rFonts w:ascii="Calibri" w:hAnsi="Calibri"/>
        </w:rPr>
        <w:t xml:space="preserve">Funding client </w:t>
      </w:r>
      <w:r>
        <w:rPr>
          <w:rFonts w:ascii="Calibri" w:hAnsi="Calibri"/>
        </w:rPr>
        <w:t xml:space="preserve">housing </w:t>
      </w:r>
      <w:r w:rsidRPr="007849A1">
        <w:rPr>
          <w:rFonts w:ascii="Calibri" w:hAnsi="Calibri"/>
        </w:rPr>
        <w:t>surveys or partnering on Ryan White needs assessment surveys</w:t>
      </w:r>
    </w:p>
    <w:p w14:paraId="4C5A3A8E" w14:textId="77777777" w:rsidR="00D2727F" w:rsidRPr="007849A1" w:rsidRDefault="00D2727F" w:rsidP="003A5712">
      <w:pPr>
        <w:pStyle w:val="ListParagraph"/>
        <w:numPr>
          <w:ilvl w:val="1"/>
          <w:numId w:val="121"/>
        </w:numPr>
        <w:spacing w:after="0" w:line="240" w:lineRule="auto"/>
        <w:ind w:left="1890" w:hanging="450"/>
        <w:rPr>
          <w:rFonts w:ascii="Calibri" w:hAnsi="Calibri"/>
        </w:rPr>
      </w:pPr>
      <w:r w:rsidRPr="007849A1">
        <w:rPr>
          <w:rFonts w:ascii="Calibri" w:hAnsi="Calibri"/>
        </w:rPr>
        <w:t>Conducting housing market studies</w:t>
      </w:r>
    </w:p>
    <w:p w14:paraId="3C85329A" w14:textId="77777777" w:rsidR="00D2727F" w:rsidRDefault="00D2727F" w:rsidP="003A5712">
      <w:pPr>
        <w:pStyle w:val="ListParagraph"/>
        <w:numPr>
          <w:ilvl w:val="1"/>
          <w:numId w:val="121"/>
        </w:numPr>
        <w:spacing w:after="0" w:line="240" w:lineRule="auto"/>
        <w:ind w:left="1890" w:hanging="450"/>
        <w:rPr>
          <w:rFonts w:ascii="Calibri" w:hAnsi="Calibri"/>
        </w:rPr>
      </w:pPr>
      <w:r w:rsidRPr="007849A1">
        <w:rPr>
          <w:rFonts w:ascii="Calibri" w:hAnsi="Calibri"/>
        </w:rPr>
        <w:t xml:space="preserve">Facilitating client focus groups </w:t>
      </w:r>
      <w:r>
        <w:rPr>
          <w:rFonts w:ascii="Calibri" w:hAnsi="Calibri"/>
        </w:rPr>
        <w:t xml:space="preserve">on housing </w:t>
      </w:r>
      <w:r w:rsidRPr="007849A1">
        <w:rPr>
          <w:rFonts w:ascii="Calibri" w:hAnsi="Calibri"/>
        </w:rPr>
        <w:t>and collecting and/or analyzing qualitative data</w:t>
      </w:r>
    </w:p>
    <w:p w14:paraId="5CF30FB1" w14:textId="77777777" w:rsidR="00D2727F" w:rsidRPr="007849A1" w:rsidRDefault="00D2727F" w:rsidP="003A5712">
      <w:pPr>
        <w:pStyle w:val="ListParagraph"/>
        <w:numPr>
          <w:ilvl w:val="1"/>
          <w:numId w:val="121"/>
        </w:numPr>
        <w:spacing w:after="0" w:line="240" w:lineRule="auto"/>
        <w:ind w:left="1890" w:hanging="450"/>
        <w:rPr>
          <w:rFonts w:ascii="Calibri" w:hAnsi="Calibri"/>
        </w:rPr>
      </w:pPr>
      <w:r>
        <w:rPr>
          <w:rFonts w:ascii="Calibri" w:hAnsi="Calibri"/>
        </w:rPr>
        <w:t>Conducting voluntary consumer satisfaction surveys for housing assistance and supportive services</w:t>
      </w:r>
    </w:p>
    <w:p w14:paraId="73ADD9A8" w14:textId="77777777" w:rsidR="00D2727F" w:rsidRPr="007849A1" w:rsidRDefault="00D2727F" w:rsidP="003A5712">
      <w:pPr>
        <w:pStyle w:val="ListParagraph"/>
        <w:numPr>
          <w:ilvl w:val="1"/>
          <w:numId w:val="121"/>
        </w:numPr>
        <w:spacing w:after="0" w:line="240" w:lineRule="auto"/>
        <w:ind w:left="1890" w:hanging="450"/>
        <w:rPr>
          <w:rFonts w:ascii="Calibri" w:hAnsi="Calibri"/>
        </w:rPr>
      </w:pPr>
      <w:r w:rsidRPr="007849A1">
        <w:rPr>
          <w:rFonts w:ascii="Calibri" w:hAnsi="Calibri"/>
        </w:rPr>
        <w:t>Hiring consultants or other contractors to perform HIV housing needs assessments</w:t>
      </w:r>
    </w:p>
    <w:p w14:paraId="6F83F27F" w14:textId="3F8A393C" w:rsidR="00D2727F" w:rsidRPr="007849A1" w:rsidRDefault="00D2727F" w:rsidP="003A5712">
      <w:pPr>
        <w:pStyle w:val="ListParagraph"/>
        <w:numPr>
          <w:ilvl w:val="1"/>
          <w:numId w:val="121"/>
        </w:numPr>
        <w:spacing w:after="0" w:line="240" w:lineRule="auto"/>
        <w:ind w:left="1890" w:hanging="450"/>
        <w:rPr>
          <w:rFonts w:ascii="Calibri" w:hAnsi="Calibri"/>
        </w:rPr>
      </w:pPr>
      <w:r w:rsidRPr="007849A1">
        <w:rPr>
          <w:rFonts w:ascii="Calibri" w:hAnsi="Calibri"/>
        </w:rPr>
        <w:t>Illustrating overall engagement in care by PLWH receiving housing assistance services</w:t>
      </w:r>
    </w:p>
    <w:p w14:paraId="33FAE4B4" w14:textId="77777777" w:rsidR="00D2727F" w:rsidRPr="007849A1" w:rsidRDefault="00D2727F" w:rsidP="003A5712">
      <w:pPr>
        <w:pStyle w:val="ListParagraph"/>
        <w:numPr>
          <w:ilvl w:val="1"/>
          <w:numId w:val="121"/>
        </w:numPr>
        <w:spacing w:after="0" w:line="240" w:lineRule="auto"/>
        <w:ind w:left="1890" w:hanging="450"/>
        <w:rPr>
          <w:rFonts w:ascii="Calibri" w:hAnsi="Calibri"/>
        </w:rPr>
      </w:pPr>
      <w:r w:rsidRPr="007849A1">
        <w:rPr>
          <w:rFonts w:ascii="Calibri" w:hAnsi="Calibri"/>
        </w:rPr>
        <w:t xml:space="preserve">Benchmarking against national- and community-level HIV </w:t>
      </w:r>
      <w:r>
        <w:rPr>
          <w:rFonts w:ascii="Calibri" w:hAnsi="Calibri"/>
        </w:rPr>
        <w:t xml:space="preserve">housing and </w:t>
      </w:r>
      <w:r w:rsidRPr="007849A1">
        <w:rPr>
          <w:rFonts w:ascii="Calibri" w:hAnsi="Calibri"/>
        </w:rPr>
        <w:t>care continuums</w:t>
      </w:r>
    </w:p>
    <w:p w14:paraId="3B249CE4" w14:textId="0DE0C125" w:rsidR="00D2727F" w:rsidRDefault="00D2727F" w:rsidP="003A5712">
      <w:pPr>
        <w:pStyle w:val="ListParagraph"/>
        <w:numPr>
          <w:ilvl w:val="1"/>
          <w:numId w:val="121"/>
        </w:numPr>
        <w:spacing w:after="0" w:line="240" w:lineRule="auto"/>
        <w:ind w:left="1890" w:hanging="450"/>
        <w:rPr>
          <w:rFonts w:ascii="Calibri" w:hAnsi="Calibri"/>
        </w:rPr>
      </w:pPr>
      <w:r w:rsidRPr="007849A1">
        <w:rPr>
          <w:rFonts w:ascii="Calibri" w:hAnsi="Calibri"/>
        </w:rPr>
        <w:t>Identifying successes and gaps in care experienced by PLWH receiving housing assistance services</w:t>
      </w:r>
    </w:p>
    <w:p w14:paraId="06A3A5F5" w14:textId="440D9637" w:rsidR="00D2727F" w:rsidRDefault="00D2727F" w:rsidP="003A5712">
      <w:pPr>
        <w:pStyle w:val="ListParagraph"/>
        <w:numPr>
          <w:ilvl w:val="1"/>
          <w:numId w:val="121"/>
        </w:numPr>
        <w:spacing w:after="0" w:line="240" w:lineRule="auto"/>
        <w:ind w:left="1890" w:hanging="450"/>
        <w:rPr>
          <w:rFonts w:ascii="Calibri" w:hAnsi="Calibri"/>
        </w:rPr>
      </w:pPr>
      <w:r>
        <w:rPr>
          <w:rFonts w:ascii="Calibri" w:hAnsi="Calibri"/>
        </w:rPr>
        <w:t>Evaluating housing programs and service outcomes</w:t>
      </w:r>
    </w:p>
    <w:p w14:paraId="58489E96" w14:textId="4205FFAC" w:rsidR="000E4F15" w:rsidRPr="007849A1" w:rsidRDefault="000E4F15" w:rsidP="003A5712">
      <w:pPr>
        <w:pStyle w:val="ListParagraph"/>
        <w:numPr>
          <w:ilvl w:val="1"/>
          <w:numId w:val="121"/>
        </w:numPr>
        <w:spacing w:after="0" w:line="240" w:lineRule="auto"/>
        <w:ind w:left="1890" w:hanging="450"/>
        <w:rPr>
          <w:rFonts w:ascii="Calibri" w:hAnsi="Calibri"/>
        </w:rPr>
      </w:pPr>
      <w:r>
        <w:rPr>
          <w:rFonts w:ascii="Calibri" w:hAnsi="Calibri"/>
        </w:rPr>
        <w:t>Offering reasonable stipends or other incentives to PLWH who participate in research/assessments</w:t>
      </w:r>
    </w:p>
    <w:p w14:paraId="4F225449" w14:textId="77777777" w:rsidR="00D2727F" w:rsidRPr="007849A1" w:rsidRDefault="00D2727F" w:rsidP="003A5712">
      <w:pPr>
        <w:pStyle w:val="ListParagraph"/>
        <w:numPr>
          <w:ilvl w:val="1"/>
          <w:numId w:val="121"/>
        </w:numPr>
        <w:spacing w:after="0" w:line="240" w:lineRule="auto"/>
        <w:ind w:left="1890" w:hanging="450"/>
        <w:rPr>
          <w:rFonts w:ascii="Calibri" w:hAnsi="Calibri"/>
        </w:rPr>
      </w:pPr>
      <w:r w:rsidRPr="007849A1">
        <w:rPr>
          <w:rFonts w:ascii="Calibri" w:hAnsi="Calibri"/>
        </w:rPr>
        <w:t>Other activities with advance written approval from DSHS</w:t>
      </w:r>
    </w:p>
    <w:p w14:paraId="73085BC5" w14:textId="77777777" w:rsidR="00D2727F" w:rsidRPr="007849A1" w:rsidRDefault="00D2727F" w:rsidP="00D2727F">
      <w:pPr>
        <w:pStyle w:val="ListParagraph"/>
        <w:numPr>
          <w:ilvl w:val="0"/>
          <w:numId w:val="118"/>
        </w:numPr>
        <w:spacing w:after="0" w:line="240" w:lineRule="auto"/>
        <w:ind w:left="1440" w:hanging="360"/>
        <w:rPr>
          <w:rFonts w:ascii="Calibri" w:hAnsi="Calibri"/>
          <w:b/>
        </w:rPr>
      </w:pPr>
      <w:r w:rsidRPr="007849A1">
        <w:rPr>
          <w:rFonts w:ascii="Calibri" w:hAnsi="Calibri"/>
          <w:b/>
        </w:rPr>
        <w:t>Housing Systems Coordination</w:t>
      </w:r>
    </w:p>
    <w:p w14:paraId="22B579F2" w14:textId="47677C81" w:rsidR="00D2727F" w:rsidRPr="007849A1" w:rsidRDefault="00D2727F" w:rsidP="003A5712">
      <w:pPr>
        <w:pStyle w:val="ListParagraph"/>
        <w:numPr>
          <w:ilvl w:val="1"/>
          <w:numId w:val="122"/>
        </w:numPr>
        <w:spacing w:after="0" w:line="240" w:lineRule="auto"/>
        <w:ind w:left="1890" w:hanging="450"/>
        <w:rPr>
          <w:rFonts w:ascii="Calibri" w:hAnsi="Calibri"/>
        </w:rPr>
      </w:pPr>
      <w:bookmarkStart w:id="49" w:name="_Hlk74575677"/>
      <w:r w:rsidRPr="007849A1">
        <w:rPr>
          <w:rFonts w:ascii="Calibri" w:hAnsi="Calibri"/>
        </w:rPr>
        <w:t>Creating and/or lea</w:t>
      </w:r>
      <w:r w:rsidR="00A150FB">
        <w:rPr>
          <w:rFonts w:ascii="Calibri" w:hAnsi="Calibri"/>
        </w:rPr>
        <w:t>ding collaborative efforts (e.g.</w:t>
      </w:r>
      <w:r w:rsidRPr="007849A1">
        <w:rPr>
          <w:rFonts w:ascii="Calibri" w:hAnsi="Calibri"/>
        </w:rPr>
        <w:t>, housing and healthcare)</w:t>
      </w:r>
    </w:p>
    <w:p w14:paraId="2714099D" w14:textId="77777777" w:rsidR="00D2727F" w:rsidRPr="007849A1" w:rsidRDefault="00D2727F" w:rsidP="003A5712">
      <w:pPr>
        <w:pStyle w:val="ListParagraph"/>
        <w:numPr>
          <w:ilvl w:val="1"/>
          <w:numId w:val="122"/>
        </w:numPr>
        <w:spacing w:after="0" w:line="240" w:lineRule="auto"/>
        <w:ind w:left="1890" w:hanging="450"/>
        <w:rPr>
          <w:rFonts w:ascii="Calibri" w:hAnsi="Calibri"/>
        </w:rPr>
      </w:pPr>
      <w:r w:rsidRPr="007849A1">
        <w:rPr>
          <w:rFonts w:ascii="Calibri" w:hAnsi="Calibri"/>
        </w:rPr>
        <w:t>Coo</w:t>
      </w:r>
      <w:bookmarkEnd w:id="49"/>
      <w:r w:rsidRPr="007849A1">
        <w:rPr>
          <w:rFonts w:ascii="Calibri" w:hAnsi="Calibri"/>
        </w:rPr>
        <w:t>rdinating housing assistance and supportive services efforts across providers</w:t>
      </w:r>
    </w:p>
    <w:p w14:paraId="46C19790" w14:textId="77777777" w:rsidR="00D2727F" w:rsidRPr="007849A1" w:rsidRDefault="00D2727F" w:rsidP="003A5712">
      <w:pPr>
        <w:pStyle w:val="ListParagraph"/>
        <w:numPr>
          <w:ilvl w:val="1"/>
          <w:numId w:val="122"/>
        </w:numPr>
        <w:spacing w:after="0" w:line="240" w:lineRule="auto"/>
        <w:ind w:left="1890" w:hanging="450"/>
        <w:rPr>
          <w:rFonts w:ascii="Calibri" w:hAnsi="Calibri"/>
        </w:rPr>
      </w:pPr>
      <w:r w:rsidRPr="007849A1">
        <w:rPr>
          <w:rFonts w:ascii="Calibri" w:hAnsi="Calibri"/>
        </w:rPr>
        <w:t>Implementing system and/or service enhancements to improve health outcomes</w:t>
      </w:r>
    </w:p>
    <w:p w14:paraId="0BE04CC0" w14:textId="77777777" w:rsidR="00D2727F" w:rsidRPr="007849A1" w:rsidRDefault="00D2727F" w:rsidP="003A5712">
      <w:pPr>
        <w:pStyle w:val="ListParagraph"/>
        <w:numPr>
          <w:ilvl w:val="1"/>
          <w:numId w:val="122"/>
        </w:numPr>
        <w:spacing w:after="0" w:line="240" w:lineRule="auto"/>
        <w:ind w:left="1890" w:hanging="450"/>
        <w:rPr>
          <w:rFonts w:ascii="Calibri" w:hAnsi="Calibri"/>
        </w:rPr>
      </w:pPr>
      <w:r w:rsidRPr="007849A1">
        <w:rPr>
          <w:rFonts w:ascii="Calibri" w:hAnsi="Calibri"/>
        </w:rPr>
        <w:t>Aligning housing systems with national initiatives</w:t>
      </w:r>
    </w:p>
    <w:p w14:paraId="334DC8D3" w14:textId="37280F5B" w:rsidR="00A10187" w:rsidRPr="007849A1" w:rsidRDefault="00A10187" w:rsidP="003A5712">
      <w:pPr>
        <w:pStyle w:val="ListParagraph"/>
        <w:numPr>
          <w:ilvl w:val="1"/>
          <w:numId w:val="122"/>
        </w:numPr>
        <w:spacing w:after="0" w:line="240" w:lineRule="auto"/>
        <w:ind w:left="1890" w:hanging="450"/>
        <w:rPr>
          <w:rFonts w:ascii="Calibri" w:hAnsi="Calibri"/>
        </w:rPr>
      </w:pPr>
      <w:r w:rsidRPr="007849A1">
        <w:rPr>
          <w:rFonts w:ascii="Calibri" w:hAnsi="Calibri"/>
        </w:rPr>
        <w:t xml:space="preserve">Interfacing with </w:t>
      </w:r>
      <w:r w:rsidR="00692360">
        <w:rPr>
          <w:rFonts w:ascii="Calibri" w:hAnsi="Calibri"/>
        </w:rPr>
        <w:t>Public Housing Agencies</w:t>
      </w:r>
    </w:p>
    <w:p w14:paraId="36ED28A2" w14:textId="595AAD5F" w:rsidR="00D2727F" w:rsidRPr="007849A1" w:rsidRDefault="00D2727F" w:rsidP="003A5712">
      <w:pPr>
        <w:pStyle w:val="ListParagraph"/>
        <w:numPr>
          <w:ilvl w:val="1"/>
          <w:numId w:val="122"/>
        </w:numPr>
        <w:spacing w:after="0" w:line="240" w:lineRule="auto"/>
        <w:ind w:left="1890" w:hanging="450"/>
        <w:rPr>
          <w:rFonts w:ascii="Calibri" w:hAnsi="Calibri"/>
        </w:rPr>
      </w:pPr>
      <w:r w:rsidRPr="007849A1">
        <w:rPr>
          <w:rFonts w:ascii="Calibri" w:hAnsi="Calibri"/>
        </w:rPr>
        <w:t xml:space="preserve">Informing </w:t>
      </w:r>
      <w:r w:rsidR="009C621C" w:rsidRPr="007849A1">
        <w:rPr>
          <w:rFonts w:ascii="Calibri" w:hAnsi="Calibri"/>
        </w:rPr>
        <w:t>policymakers</w:t>
      </w:r>
      <w:r w:rsidRPr="007849A1">
        <w:rPr>
          <w:rFonts w:ascii="Calibri" w:hAnsi="Calibri"/>
        </w:rPr>
        <w:t xml:space="preserve"> about program development</w:t>
      </w:r>
    </w:p>
    <w:p w14:paraId="433CA23F" w14:textId="2F90DBC6" w:rsidR="00D2727F" w:rsidRDefault="00D2727F" w:rsidP="003A5712">
      <w:pPr>
        <w:pStyle w:val="ListParagraph"/>
        <w:numPr>
          <w:ilvl w:val="1"/>
          <w:numId w:val="122"/>
        </w:numPr>
        <w:spacing w:after="0" w:line="240" w:lineRule="auto"/>
        <w:ind w:left="1890" w:hanging="450"/>
        <w:rPr>
          <w:rFonts w:ascii="Calibri" w:hAnsi="Calibri"/>
        </w:rPr>
      </w:pPr>
      <w:r w:rsidRPr="007849A1">
        <w:rPr>
          <w:rFonts w:ascii="Calibri" w:hAnsi="Calibri"/>
        </w:rPr>
        <w:t>Building and/or maintaining a housing care continuum for PLWH</w:t>
      </w:r>
    </w:p>
    <w:p w14:paraId="634C1597" w14:textId="576C8646" w:rsidR="0065250A" w:rsidRPr="007849A1" w:rsidRDefault="0065250A" w:rsidP="003A5712">
      <w:pPr>
        <w:pStyle w:val="ListParagraph"/>
        <w:numPr>
          <w:ilvl w:val="1"/>
          <w:numId w:val="122"/>
        </w:numPr>
        <w:spacing w:after="0" w:line="240" w:lineRule="auto"/>
        <w:ind w:left="1890" w:hanging="450"/>
        <w:rPr>
          <w:rFonts w:ascii="Calibri" w:hAnsi="Calibri"/>
        </w:rPr>
      </w:pPr>
      <w:r>
        <w:rPr>
          <w:rFonts w:ascii="Calibri" w:hAnsi="Calibri"/>
        </w:rPr>
        <w:t>Holding periodic collaborative housing and healthcare service provider meetings</w:t>
      </w:r>
    </w:p>
    <w:p w14:paraId="08292B19" w14:textId="77777777" w:rsidR="00D2727F" w:rsidRPr="007849A1" w:rsidRDefault="00D2727F" w:rsidP="003A5712">
      <w:pPr>
        <w:pStyle w:val="ListParagraph"/>
        <w:numPr>
          <w:ilvl w:val="1"/>
          <w:numId w:val="122"/>
        </w:numPr>
        <w:spacing w:after="0" w:line="240" w:lineRule="auto"/>
        <w:ind w:left="1890" w:hanging="450"/>
        <w:rPr>
          <w:rFonts w:ascii="Calibri" w:hAnsi="Calibri"/>
        </w:rPr>
      </w:pPr>
      <w:r w:rsidRPr="007849A1">
        <w:rPr>
          <w:rFonts w:ascii="Calibri" w:hAnsi="Calibri"/>
        </w:rPr>
        <w:t>Participating in Ryan White</w:t>
      </w:r>
      <w:r>
        <w:rPr>
          <w:rFonts w:ascii="Calibri" w:hAnsi="Calibri"/>
        </w:rPr>
        <w:t>, Continuum of Care, Texas HIV Syndicate, and other</w:t>
      </w:r>
      <w:r w:rsidRPr="007849A1">
        <w:rPr>
          <w:rFonts w:ascii="Calibri" w:hAnsi="Calibri"/>
        </w:rPr>
        <w:t xml:space="preserve"> planning bodies</w:t>
      </w:r>
    </w:p>
    <w:p w14:paraId="2E671A40" w14:textId="77777777" w:rsidR="00D2727F" w:rsidRPr="007849A1" w:rsidRDefault="00D2727F" w:rsidP="003A5712">
      <w:pPr>
        <w:pStyle w:val="ListParagraph"/>
        <w:numPr>
          <w:ilvl w:val="1"/>
          <w:numId w:val="122"/>
        </w:numPr>
        <w:spacing w:after="0" w:line="240" w:lineRule="auto"/>
        <w:ind w:left="1890" w:hanging="450"/>
        <w:rPr>
          <w:rFonts w:ascii="Calibri" w:hAnsi="Calibri"/>
        </w:rPr>
      </w:pPr>
      <w:r w:rsidRPr="007849A1">
        <w:rPr>
          <w:rFonts w:ascii="Calibri" w:hAnsi="Calibri"/>
        </w:rPr>
        <w:t>Other activities with advance written approval from DSHS</w:t>
      </w:r>
    </w:p>
    <w:p w14:paraId="4466DD9F" w14:textId="77777777" w:rsidR="00D2727F" w:rsidRPr="007849A1" w:rsidRDefault="00D2727F" w:rsidP="00D2727F">
      <w:pPr>
        <w:pStyle w:val="ListParagraph"/>
        <w:numPr>
          <w:ilvl w:val="0"/>
          <w:numId w:val="118"/>
        </w:numPr>
        <w:spacing w:after="0" w:line="240" w:lineRule="auto"/>
        <w:ind w:left="1440" w:hanging="360"/>
        <w:rPr>
          <w:rFonts w:ascii="Calibri" w:hAnsi="Calibri"/>
          <w:b/>
        </w:rPr>
      </w:pPr>
      <w:r w:rsidRPr="007849A1">
        <w:rPr>
          <w:rFonts w:ascii="Calibri" w:hAnsi="Calibri"/>
          <w:b/>
        </w:rPr>
        <w:t>HUD-Approved HOPWA-Related Training</w:t>
      </w:r>
    </w:p>
    <w:p w14:paraId="3950E478" w14:textId="77777777" w:rsidR="00D2727F" w:rsidRPr="007849A1" w:rsidRDefault="00D2727F" w:rsidP="003A5712">
      <w:pPr>
        <w:pStyle w:val="ListParagraph"/>
        <w:numPr>
          <w:ilvl w:val="1"/>
          <w:numId w:val="123"/>
        </w:numPr>
        <w:spacing w:after="0" w:line="240" w:lineRule="auto"/>
        <w:ind w:left="1890" w:hanging="450"/>
        <w:rPr>
          <w:rFonts w:ascii="Calibri" w:hAnsi="Calibri"/>
        </w:rPr>
      </w:pPr>
      <w:r w:rsidRPr="007849A1">
        <w:rPr>
          <w:rFonts w:ascii="Calibri" w:hAnsi="Calibri"/>
        </w:rPr>
        <w:t>Attending HUD-approved HOPWA-related trainings, including certain conferences, meetings, or training institutes as authorized by HUD’s Office of HIV/AIDS Housing</w:t>
      </w:r>
    </w:p>
    <w:p w14:paraId="3B15A8A7" w14:textId="5F8979C7" w:rsidR="00D2727F" w:rsidRDefault="00D2727F" w:rsidP="00066B7E">
      <w:pPr>
        <w:pStyle w:val="NoSpacing"/>
        <w:ind w:left="720"/>
        <w:rPr>
          <w:rFonts w:ascii="Calibri" w:hAnsi="Calibri"/>
        </w:rPr>
      </w:pPr>
    </w:p>
    <w:p w14:paraId="4011A2D5" w14:textId="6B183503" w:rsidR="00512D3A" w:rsidRPr="00805422" w:rsidRDefault="00512D3A" w:rsidP="00066B7E">
      <w:pPr>
        <w:pStyle w:val="NoSpacing"/>
        <w:numPr>
          <w:ilvl w:val="0"/>
          <w:numId w:val="126"/>
        </w:numPr>
        <w:rPr>
          <w:b/>
          <w:u w:val="single"/>
        </w:rPr>
      </w:pPr>
      <w:r>
        <w:rPr>
          <w:b/>
          <w:u w:val="single"/>
        </w:rPr>
        <w:t>Additional DSHS Requirements</w:t>
      </w:r>
    </w:p>
    <w:p w14:paraId="3811A51B" w14:textId="690BE8C8" w:rsidR="00D2727F" w:rsidRDefault="00512D3A" w:rsidP="00066B7E">
      <w:pPr>
        <w:pStyle w:val="NoSpacing"/>
        <w:ind w:left="720"/>
      </w:pPr>
      <w:r w:rsidRPr="00512D3A">
        <w:t xml:space="preserve">Project Sponsors </w:t>
      </w:r>
      <w:r w:rsidR="00165FD3">
        <w:t>planning</w:t>
      </w:r>
      <w:r w:rsidRPr="00512D3A">
        <w:t xml:space="preserve"> to undertake Resource Identification activities must collaborate with </w:t>
      </w:r>
      <w:r w:rsidR="00570DA0">
        <w:t>their AA</w:t>
      </w:r>
      <w:r w:rsidRPr="00512D3A">
        <w:t xml:space="preserve"> to develop a comprehensive project proposal with clear work products and deliverables. The project proposal must maintain a housing focus and should include a </w:t>
      </w:r>
      <w:r w:rsidR="0074139E">
        <w:t>statement</w:t>
      </w:r>
      <w:r w:rsidR="0074139E" w:rsidRPr="00512D3A">
        <w:t xml:space="preserve"> </w:t>
      </w:r>
      <w:r w:rsidR="009B2E4D">
        <w:t>explaining the necessity of the project</w:t>
      </w:r>
      <w:r w:rsidRPr="00512D3A">
        <w:t xml:space="preserve">; a work plan and timeline with specific project activities; an implementation strategy and/or methodology; a budget with anticipated project costs; and a statement on the intended impact of the project for PLWH. AAs will consider project proposals, with DSHS oversight, on a case-by-case basis. </w:t>
      </w:r>
      <w:r w:rsidR="00570DA0">
        <w:t>Their AA</w:t>
      </w:r>
      <w:r w:rsidRPr="00512D3A">
        <w:t xml:space="preserve"> must consult with DSHS and DSHS must consult with HUD before </w:t>
      </w:r>
      <w:r w:rsidR="003D6AF3">
        <w:t>DSHS approves the proposal</w:t>
      </w:r>
      <w:r w:rsidRPr="00512D3A">
        <w:t xml:space="preserve">. </w:t>
      </w:r>
      <w:r w:rsidR="00B311E1" w:rsidRPr="00B311E1">
        <w:t xml:space="preserve">If an AA evaluates and approves a </w:t>
      </w:r>
      <w:r w:rsidR="00B311E1">
        <w:t xml:space="preserve">project </w:t>
      </w:r>
      <w:r w:rsidR="00B311E1" w:rsidRPr="00B311E1">
        <w:t xml:space="preserve">proposal, they must include the proposed activities in the Project Sponsor’s contractual statement of work. </w:t>
      </w:r>
      <w:r w:rsidRPr="00512D3A">
        <w:t>Additionally, AAs must develop a mechanism for evaluating the impact of the project, whether the project met its intended objectives, and all resultant work products and deliverables.</w:t>
      </w:r>
    </w:p>
    <w:p w14:paraId="78F2693F" w14:textId="77777777" w:rsidR="002A566B" w:rsidRDefault="002A566B" w:rsidP="00066B7E">
      <w:pPr>
        <w:pStyle w:val="NoSpacing"/>
        <w:ind w:left="720"/>
      </w:pPr>
    </w:p>
    <w:p w14:paraId="232314AB" w14:textId="31D6893C" w:rsidR="00336912" w:rsidRDefault="00336912" w:rsidP="00336912">
      <w:pPr>
        <w:pStyle w:val="Heading2"/>
        <w:rPr>
          <w:szCs w:val="32"/>
        </w:rPr>
      </w:pPr>
      <w:bookmarkStart w:id="50" w:name="_Toc140755477"/>
      <w:r>
        <w:rPr>
          <w:szCs w:val="32"/>
        </w:rPr>
        <w:t>Grantee and Project Sponsor Administration</w:t>
      </w:r>
      <w:bookmarkEnd w:id="50"/>
    </w:p>
    <w:p w14:paraId="1FB82005" w14:textId="2A0FCEA8" w:rsidR="00336912" w:rsidRDefault="00336912">
      <w:pPr>
        <w:pStyle w:val="NoSpacing"/>
        <w:numPr>
          <w:ilvl w:val="0"/>
          <w:numId w:val="138"/>
        </w:numPr>
        <w:rPr>
          <w:b/>
          <w:u w:val="single"/>
        </w:rPr>
      </w:pPr>
      <w:r w:rsidRPr="00066B7E">
        <w:rPr>
          <w:b/>
          <w:u w:val="single"/>
        </w:rPr>
        <w:t>Purpose</w:t>
      </w:r>
    </w:p>
    <w:p w14:paraId="3B77CC9D" w14:textId="25948394" w:rsidR="00E82AE2" w:rsidRDefault="003F4C55" w:rsidP="00E82AE2">
      <w:pPr>
        <w:pStyle w:val="NoSpacing"/>
        <w:ind w:left="720"/>
        <w:rPr>
          <w:bCs/>
        </w:rPr>
      </w:pPr>
      <w:r w:rsidRPr="002A61C8">
        <w:rPr>
          <w:bCs/>
        </w:rPr>
        <w:t xml:space="preserve">Administrative costs include </w:t>
      </w:r>
      <w:r w:rsidR="00C672A4">
        <w:rPr>
          <w:bCs/>
        </w:rPr>
        <w:t xml:space="preserve">general </w:t>
      </w:r>
      <w:r w:rsidRPr="002A61C8">
        <w:rPr>
          <w:bCs/>
        </w:rPr>
        <w:t xml:space="preserve">costs for </w:t>
      </w:r>
      <w:r w:rsidR="00C672A4">
        <w:rPr>
          <w:bCs/>
        </w:rPr>
        <w:t>managing</w:t>
      </w:r>
      <w:r w:rsidRPr="002A61C8">
        <w:rPr>
          <w:bCs/>
        </w:rPr>
        <w:t xml:space="preserve">, </w:t>
      </w:r>
      <w:r w:rsidR="00C672A4">
        <w:rPr>
          <w:bCs/>
        </w:rPr>
        <w:t>planning, overseeing</w:t>
      </w:r>
      <w:r w:rsidRPr="002A61C8">
        <w:rPr>
          <w:bCs/>
        </w:rPr>
        <w:t xml:space="preserve">, </w:t>
      </w:r>
      <w:r w:rsidR="00C672A4">
        <w:rPr>
          <w:bCs/>
        </w:rPr>
        <w:t>coordinating</w:t>
      </w:r>
      <w:r w:rsidRPr="002A61C8">
        <w:rPr>
          <w:bCs/>
        </w:rPr>
        <w:t xml:space="preserve">, </w:t>
      </w:r>
      <w:r w:rsidR="00C672A4">
        <w:rPr>
          <w:bCs/>
        </w:rPr>
        <w:t>evaluating</w:t>
      </w:r>
      <w:r w:rsidRPr="002A61C8">
        <w:rPr>
          <w:bCs/>
        </w:rPr>
        <w:t xml:space="preserve">, and </w:t>
      </w:r>
      <w:r w:rsidR="00C672A4">
        <w:rPr>
          <w:bCs/>
        </w:rPr>
        <w:t xml:space="preserve">reporting </w:t>
      </w:r>
      <w:r w:rsidRPr="002A61C8">
        <w:rPr>
          <w:bCs/>
        </w:rPr>
        <w:t>eligible HOPWA activities.</w:t>
      </w:r>
    </w:p>
    <w:p w14:paraId="5259589C" w14:textId="77777777" w:rsidR="003F4C55" w:rsidRPr="002A61C8" w:rsidRDefault="003F4C55" w:rsidP="002A61C8">
      <w:pPr>
        <w:pStyle w:val="NoSpacing"/>
        <w:ind w:left="720"/>
        <w:rPr>
          <w:bCs/>
        </w:rPr>
      </w:pPr>
    </w:p>
    <w:p w14:paraId="2D29108A" w14:textId="7DF164BE" w:rsidR="00336912" w:rsidRDefault="00336912">
      <w:pPr>
        <w:pStyle w:val="NoSpacing"/>
        <w:numPr>
          <w:ilvl w:val="0"/>
          <w:numId w:val="138"/>
        </w:numPr>
        <w:rPr>
          <w:b/>
          <w:u w:val="single"/>
        </w:rPr>
      </w:pPr>
      <w:r>
        <w:rPr>
          <w:b/>
          <w:u w:val="single"/>
        </w:rPr>
        <w:t>Eligible Costs</w:t>
      </w:r>
    </w:p>
    <w:p w14:paraId="647EFB50" w14:textId="1CB7C0B1" w:rsidR="0018393A" w:rsidRDefault="003B6FB2" w:rsidP="00E82AE2">
      <w:pPr>
        <w:pStyle w:val="ListParagraph"/>
        <w:spacing w:after="0" w:line="240" w:lineRule="auto"/>
        <w:rPr>
          <w:bCs/>
        </w:rPr>
      </w:pPr>
      <w:r w:rsidRPr="003B6FB2">
        <w:rPr>
          <w:rFonts w:ascii="Calibri" w:hAnsi="Calibri"/>
          <w:szCs w:val="32"/>
        </w:rPr>
        <w:t xml:space="preserve">Generally, </w:t>
      </w:r>
      <w:r>
        <w:rPr>
          <w:rFonts w:ascii="Calibri" w:hAnsi="Calibri"/>
          <w:szCs w:val="32"/>
        </w:rPr>
        <w:t>eligible</w:t>
      </w:r>
      <w:r w:rsidRPr="003B6FB2">
        <w:rPr>
          <w:rFonts w:ascii="Calibri" w:hAnsi="Calibri"/>
          <w:szCs w:val="32"/>
        </w:rPr>
        <w:t xml:space="preserve"> costs include personnel, travel, equipment, supplies</w:t>
      </w:r>
      <w:r>
        <w:rPr>
          <w:rFonts w:ascii="Calibri" w:hAnsi="Calibri"/>
          <w:szCs w:val="32"/>
        </w:rPr>
        <w:t>, and contracts for good</w:t>
      </w:r>
      <w:r w:rsidR="00750695">
        <w:rPr>
          <w:rFonts w:ascii="Calibri" w:hAnsi="Calibri"/>
          <w:szCs w:val="32"/>
        </w:rPr>
        <w:t>s</w:t>
      </w:r>
      <w:r>
        <w:rPr>
          <w:rFonts w:ascii="Calibri" w:hAnsi="Calibri"/>
          <w:szCs w:val="32"/>
        </w:rPr>
        <w:t xml:space="preserve"> and services</w:t>
      </w:r>
      <w:r w:rsidRPr="003B6FB2">
        <w:rPr>
          <w:rFonts w:ascii="Calibri" w:hAnsi="Calibri"/>
          <w:szCs w:val="32"/>
        </w:rPr>
        <w:t xml:space="preserve">. Costs must be reasonable, allowable, documented, and allocable to </w:t>
      </w:r>
      <w:r>
        <w:rPr>
          <w:rFonts w:ascii="Calibri" w:hAnsi="Calibri"/>
          <w:szCs w:val="32"/>
        </w:rPr>
        <w:t>Administration</w:t>
      </w:r>
      <w:r w:rsidRPr="003B6FB2">
        <w:rPr>
          <w:rFonts w:ascii="Calibri" w:hAnsi="Calibri"/>
          <w:szCs w:val="32"/>
        </w:rPr>
        <w:t>.</w:t>
      </w:r>
      <w:r>
        <w:rPr>
          <w:rFonts w:ascii="Calibri" w:hAnsi="Calibri"/>
          <w:szCs w:val="32"/>
        </w:rPr>
        <w:t xml:space="preserve"> </w:t>
      </w:r>
      <w:r w:rsidR="00D61F7C">
        <w:rPr>
          <w:rFonts w:ascii="Calibri" w:hAnsi="Calibri"/>
          <w:szCs w:val="32"/>
        </w:rPr>
        <w:t xml:space="preserve">For example, </w:t>
      </w:r>
      <w:r w:rsidR="00D61F7C">
        <w:rPr>
          <w:rFonts w:ascii="Calibri" w:hAnsi="Calibri"/>
        </w:rPr>
        <w:t xml:space="preserve">administrative costs may include legal, accounting, and audit services; insurance; rent, utilities, and maintenance; etc. </w:t>
      </w:r>
      <w:r w:rsidR="00C26FC2">
        <w:rPr>
          <w:bCs/>
        </w:rPr>
        <w:t>S</w:t>
      </w:r>
      <w:r w:rsidR="0018393A" w:rsidRPr="0018393A">
        <w:rPr>
          <w:bCs/>
        </w:rPr>
        <w:t xml:space="preserve">tatute </w:t>
      </w:r>
      <w:r w:rsidR="00C26FC2">
        <w:rPr>
          <w:bCs/>
        </w:rPr>
        <w:t xml:space="preserve">limits </w:t>
      </w:r>
      <w:r w:rsidR="0018393A" w:rsidRPr="0018393A">
        <w:rPr>
          <w:bCs/>
        </w:rPr>
        <w:t xml:space="preserve">grantee administrative costs </w:t>
      </w:r>
      <w:r w:rsidR="00C26FC2">
        <w:rPr>
          <w:bCs/>
        </w:rPr>
        <w:t>to</w:t>
      </w:r>
      <w:r w:rsidR="0018393A" w:rsidRPr="0018393A">
        <w:rPr>
          <w:bCs/>
        </w:rPr>
        <w:t xml:space="preserve"> 3 percent of the total grant award, expended over the life of the grant. </w:t>
      </w:r>
      <w:r w:rsidR="00031510" w:rsidRPr="00031510">
        <w:rPr>
          <w:bCs/>
        </w:rPr>
        <w:lastRenderedPageBreak/>
        <w:t xml:space="preserve">DSHS administers the State of Texas </w:t>
      </w:r>
      <w:proofErr w:type="spellStart"/>
      <w:r w:rsidR="00031510" w:rsidRPr="00031510">
        <w:rPr>
          <w:bCs/>
        </w:rPr>
        <w:t>Nonentitlement</w:t>
      </w:r>
      <w:proofErr w:type="spellEnd"/>
      <w:r w:rsidR="00031510" w:rsidRPr="00031510">
        <w:rPr>
          <w:bCs/>
        </w:rPr>
        <w:t xml:space="preserve"> HOPWA formula grant</w:t>
      </w:r>
      <w:r w:rsidR="00031510">
        <w:rPr>
          <w:bCs/>
        </w:rPr>
        <w:t>.</w:t>
      </w:r>
      <w:r w:rsidR="00031510" w:rsidRPr="00031510">
        <w:rPr>
          <w:bCs/>
        </w:rPr>
        <w:t xml:space="preserve"> </w:t>
      </w:r>
      <w:r w:rsidR="0018393A" w:rsidRPr="0018393A">
        <w:rPr>
          <w:bCs/>
        </w:rPr>
        <w:t xml:space="preserve">As the grantee, DSHS may use not more than 3 percent of each annual grant amount for its own administrative costs relating to administering grant amounts and allocating such amounts to Project Sponsors. DSHS shares grantee administrative costs with AAs. </w:t>
      </w:r>
      <w:r w:rsidR="00C26FC2">
        <w:rPr>
          <w:bCs/>
        </w:rPr>
        <w:t xml:space="preserve">Statute limits </w:t>
      </w:r>
      <w:r w:rsidR="0018393A" w:rsidRPr="0018393A">
        <w:rPr>
          <w:bCs/>
        </w:rPr>
        <w:t xml:space="preserve">Project Sponsor administrative costs to 7 percent of the portion of the grant amount they receive. </w:t>
      </w:r>
      <w:r w:rsidR="0018393A">
        <w:rPr>
          <w:bCs/>
        </w:rPr>
        <w:t>Examples of administrat</w:t>
      </w:r>
      <w:r w:rsidR="001C22F9">
        <w:rPr>
          <w:bCs/>
        </w:rPr>
        <w:t>ive</w:t>
      </w:r>
      <w:r w:rsidR="0018393A">
        <w:rPr>
          <w:bCs/>
        </w:rPr>
        <w:t xml:space="preserve"> </w:t>
      </w:r>
      <w:r w:rsidR="0026256B">
        <w:rPr>
          <w:bCs/>
        </w:rPr>
        <w:t>activities</w:t>
      </w:r>
      <w:r w:rsidR="0018393A">
        <w:rPr>
          <w:bCs/>
        </w:rPr>
        <w:t xml:space="preserve"> include</w:t>
      </w:r>
      <w:r w:rsidR="00884179">
        <w:rPr>
          <w:bCs/>
        </w:rPr>
        <w:t>, but are not limited to:</w:t>
      </w:r>
    </w:p>
    <w:p w14:paraId="11672CFB" w14:textId="039E7A89" w:rsidR="0018393A" w:rsidRDefault="0018393A" w:rsidP="003A5712">
      <w:pPr>
        <w:pStyle w:val="ListParagraph"/>
        <w:numPr>
          <w:ilvl w:val="0"/>
          <w:numId w:val="139"/>
        </w:numPr>
        <w:spacing w:after="0" w:line="240" w:lineRule="auto"/>
        <w:ind w:left="1530" w:hanging="450"/>
        <w:rPr>
          <w:rFonts w:ascii="Calibri" w:hAnsi="Calibri"/>
        </w:rPr>
      </w:pPr>
      <w:r w:rsidRPr="0018393A">
        <w:rPr>
          <w:rFonts w:ascii="Calibri" w:hAnsi="Calibri"/>
        </w:rPr>
        <w:t>Facilitating staff meetings and employee evaluations</w:t>
      </w:r>
    </w:p>
    <w:p w14:paraId="71CF87EC" w14:textId="55D21571" w:rsidR="004221E2" w:rsidRDefault="004221E2" w:rsidP="003A5712">
      <w:pPr>
        <w:pStyle w:val="ListParagraph"/>
        <w:numPr>
          <w:ilvl w:val="0"/>
          <w:numId w:val="139"/>
        </w:numPr>
        <w:spacing w:after="0" w:line="240" w:lineRule="auto"/>
        <w:ind w:left="1530" w:hanging="450"/>
        <w:rPr>
          <w:rFonts w:ascii="Calibri" w:hAnsi="Calibri"/>
        </w:rPr>
      </w:pPr>
      <w:r>
        <w:rPr>
          <w:rFonts w:ascii="Calibri" w:hAnsi="Calibri"/>
        </w:rPr>
        <w:t>Compiling, preparing, and evaluating data</w:t>
      </w:r>
    </w:p>
    <w:p w14:paraId="64C00793" w14:textId="7164D4AC" w:rsidR="004221E2" w:rsidRDefault="004221E2" w:rsidP="003A5712">
      <w:pPr>
        <w:pStyle w:val="ListParagraph"/>
        <w:numPr>
          <w:ilvl w:val="0"/>
          <w:numId w:val="139"/>
        </w:numPr>
        <w:spacing w:after="0" w:line="240" w:lineRule="auto"/>
        <w:ind w:left="1530" w:hanging="450"/>
        <w:rPr>
          <w:rFonts w:ascii="Calibri" w:hAnsi="Calibri"/>
        </w:rPr>
      </w:pPr>
      <w:r>
        <w:rPr>
          <w:rFonts w:ascii="Calibri" w:hAnsi="Calibri"/>
        </w:rPr>
        <w:t>Completing programmatic and fiscal reports</w:t>
      </w:r>
    </w:p>
    <w:p w14:paraId="443FACA4" w14:textId="79F58D79" w:rsidR="004221E2" w:rsidRDefault="004221E2" w:rsidP="003A5712">
      <w:pPr>
        <w:pStyle w:val="ListParagraph"/>
        <w:numPr>
          <w:ilvl w:val="0"/>
          <w:numId w:val="139"/>
        </w:numPr>
        <w:spacing w:after="0" w:line="240" w:lineRule="auto"/>
        <w:ind w:left="1530" w:hanging="450"/>
        <w:rPr>
          <w:rFonts w:ascii="Calibri" w:hAnsi="Calibri"/>
        </w:rPr>
      </w:pPr>
      <w:r>
        <w:rPr>
          <w:rFonts w:ascii="Calibri" w:hAnsi="Calibri"/>
        </w:rPr>
        <w:t>Compiling expenditures and requesting reimbursements</w:t>
      </w:r>
    </w:p>
    <w:p w14:paraId="3416FD4D" w14:textId="5CD9FFFD" w:rsidR="004221E2" w:rsidRDefault="004221E2" w:rsidP="003A5712">
      <w:pPr>
        <w:pStyle w:val="ListParagraph"/>
        <w:numPr>
          <w:ilvl w:val="0"/>
          <w:numId w:val="139"/>
        </w:numPr>
        <w:spacing w:after="0" w:line="240" w:lineRule="auto"/>
        <w:ind w:left="1530" w:hanging="450"/>
        <w:rPr>
          <w:rFonts w:ascii="Calibri" w:hAnsi="Calibri"/>
        </w:rPr>
      </w:pPr>
      <w:r>
        <w:rPr>
          <w:rFonts w:ascii="Calibri" w:hAnsi="Calibri"/>
        </w:rPr>
        <w:t>Keeping adequate programmatic and fiscal records</w:t>
      </w:r>
    </w:p>
    <w:p w14:paraId="5BD99C78" w14:textId="1E0C4713" w:rsidR="004221E2" w:rsidRDefault="004221E2" w:rsidP="003A5712">
      <w:pPr>
        <w:pStyle w:val="ListParagraph"/>
        <w:numPr>
          <w:ilvl w:val="0"/>
          <w:numId w:val="139"/>
        </w:numPr>
        <w:spacing w:after="0" w:line="240" w:lineRule="auto"/>
        <w:ind w:left="1530" w:hanging="450"/>
        <w:rPr>
          <w:rFonts w:ascii="Calibri" w:hAnsi="Calibri"/>
        </w:rPr>
      </w:pPr>
      <w:r>
        <w:rPr>
          <w:rFonts w:ascii="Calibri" w:hAnsi="Calibri"/>
        </w:rPr>
        <w:t>Preparing, performing, and documenting programmatic and fiscal monitoring</w:t>
      </w:r>
    </w:p>
    <w:p w14:paraId="580F616B" w14:textId="1C979B7E" w:rsidR="004221E2" w:rsidRDefault="004221E2" w:rsidP="003A5712">
      <w:pPr>
        <w:pStyle w:val="ListParagraph"/>
        <w:numPr>
          <w:ilvl w:val="0"/>
          <w:numId w:val="139"/>
        </w:numPr>
        <w:spacing w:after="0" w:line="240" w:lineRule="auto"/>
        <w:ind w:left="1530" w:hanging="450"/>
        <w:rPr>
          <w:rFonts w:ascii="Calibri" w:hAnsi="Calibri"/>
        </w:rPr>
      </w:pPr>
      <w:r>
        <w:rPr>
          <w:rFonts w:ascii="Calibri" w:hAnsi="Calibri"/>
        </w:rPr>
        <w:t>Initiating</w:t>
      </w:r>
      <w:r w:rsidR="00884179">
        <w:rPr>
          <w:rFonts w:ascii="Calibri" w:hAnsi="Calibri"/>
        </w:rPr>
        <w:t xml:space="preserve">, </w:t>
      </w:r>
      <w:r>
        <w:rPr>
          <w:rFonts w:ascii="Calibri" w:hAnsi="Calibri"/>
        </w:rPr>
        <w:t>implementing</w:t>
      </w:r>
      <w:r w:rsidR="00884179">
        <w:rPr>
          <w:rFonts w:ascii="Calibri" w:hAnsi="Calibri"/>
        </w:rPr>
        <w:t>, and completing</w:t>
      </w:r>
      <w:r>
        <w:rPr>
          <w:rFonts w:ascii="Calibri" w:hAnsi="Calibri"/>
        </w:rPr>
        <w:t xml:space="preserve"> corrective actions</w:t>
      </w:r>
    </w:p>
    <w:p w14:paraId="1916EED5" w14:textId="23B8AF7C" w:rsidR="004221E2" w:rsidRDefault="004221E2" w:rsidP="003A5712">
      <w:pPr>
        <w:pStyle w:val="ListParagraph"/>
        <w:numPr>
          <w:ilvl w:val="0"/>
          <w:numId w:val="139"/>
        </w:numPr>
        <w:spacing w:after="0" w:line="240" w:lineRule="auto"/>
        <w:ind w:left="1530" w:hanging="450"/>
        <w:rPr>
          <w:rFonts w:ascii="Calibri" w:hAnsi="Calibri"/>
        </w:rPr>
      </w:pPr>
      <w:r>
        <w:rPr>
          <w:rFonts w:ascii="Calibri" w:hAnsi="Calibri"/>
        </w:rPr>
        <w:t>Recruiting and onboarding staff to undertake and/or manage HOPWA activities</w:t>
      </w:r>
    </w:p>
    <w:p w14:paraId="7F30FA9D" w14:textId="51877999" w:rsidR="00884179" w:rsidRDefault="00884179" w:rsidP="003A5712">
      <w:pPr>
        <w:pStyle w:val="ListParagraph"/>
        <w:numPr>
          <w:ilvl w:val="0"/>
          <w:numId w:val="139"/>
        </w:numPr>
        <w:spacing w:after="0" w:line="240" w:lineRule="auto"/>
        <w:ind w:left="1530" w:hanging="450"/>
        <w:rPr>
          <w:rFonts w:ascii="Calibri" w:hAnsi="Calibri"/>
        </w:rPr>
      </w:pPr>
      <w:r>
        <w:rPr>
          <w:rFonts w:ascii="Calibri" w:hAnsi="Calibri"/>
        </w:rPr>
        <w:t>Addressing</w:t>
      </w:r>
      <w:r w:rsidR="009C62C8">
        <w:rPr>
          <w:rFonts w:ascii="Calibri" w:hAnsi="Calibri"/>
        </w:rPr>
        <w:t xml:space="preserve"> the</w:t>
      </w:r>
      <w:r>
        <w:rPr>
          <w:rFonts w:ascii="Calibri" w:hAnsi="Calibri"/>
        </w:rPr>
        <w:t xml:space="preserve"> concerns and grievances</w:t>
      </w:r>
      <w:r w:rsidR="009C62C8">
        <w:rPr>
          <w:rFonts w:ascii="Calibri" w:hAnsi="Calibri"/>
        </w:rPr>
        <w:t xml:space="preserve"> of applicant and participant households</w:t>
      </w:r>
    </w:p>
    <w:p w14:paraId="65EFB93F" w14:textId="40E394D9" w:rsidR="00884179" w:rsidRPr="00884179" w:rsidRDefault="00884179" w:rsidP="003A5712">
      <w:pPr>
        <w:pStyle w:val="ListParagraph"/>
        <w:numPr>
          <w:ilvl w:val="0"/>
          <w:numId w:val="139"/>
        </w:numPr>
        <w:spacing w:after="0" w:line="240" w:lineRule="auto"/>
        <w:ind w:left="1530" w:hanging="450"/>
        <w:rPr>
          <w:rFonts w:ascii="Calibri" w:hAnsi="Calibri"/>
        </w:rPr>
      </w:pPr>
      <w:r w:rsidRPr="00884179">
        <w:rPr>
          <w:rFonts w:ascii="Calibri" w:hAnsi="Calibri"/>
        </w:rPr>
        <w:t>Procu</w:t>
      </w:r>
      <w:r>
        <w:rPr>
          <w:rFonts w:ascii="Calibri" w:hAnsi="Calibri"/>
        </w:rPr>
        <w:t>ring goods and services</w:t>
      </w:r>
    </w:p>
    <w:p w14:paraId="0704B583" w14:textId="4A612E1F" w:rsidR="00884179" w:rsidRDefault="00B871B9" w:rsidP="003A5712">
      <w:pPr>
        <w:pStyle w:val="ListParagraph"/>
        <w:numPr>
          <w:ilvl w:val="0"/>
          <w:numId w:val="139"/>
        </w:numPr>
        <w:spacing w:after="0" w:line="240" w:lineRule="auto"/>
        <w:ind w:left="1530" w:hanging="450"/>
        <w:rPr>
          <w:rFonts w:ascii="Calibri" w:hAnsi="Calibri"/>
        </w:rPr>
      </w:pPr>
      <w:r>
        <w:rPr>
          <w:rFonts w:ascii="Calibri" w:hAnsi="Calibri"/>
        </w:rPr>
        <w:t xml:space="preserve">Preparing budget justifications and </w:t>
      </w:r>
      <w:r w:rsidR="00884179">
        <w:rPr>
          <w:rFonts w:ascii="Calibri" w:hAnsi="Calibri"/>
        </w:rPr>
        <w:t>allocating</w:t>
      </w:r>
      <w:r>
        <w:rPr>
          <w:rFonts w:ascii="Calibri" w:hAnsi="Calibri"/>
        </w:rPr>
        <w:t xml:space="preserve"> and/or reallocating</w:t>
      </w:r>
      <w:r w:rsidR="00884179">
        <w:rPr>
          <w:rFonts w:ascii="Calibri" w:hAnsi="Calibri"/>
        </w:rPr>
        <w:t xml:space="preserve"> funds</w:t>
      </w:r>
    </w:p>
    <w:p w14:paraId="3320F80B" w14:textId="0D332FDC" w:rsidR="008613D6" w:rsidRDefault="00884179" w:rsidP="003A5712">
      <w:pPr>
        <w:pStyle w:val="ListParagraph"/>
        <w:numPr>
          <w:ilvl w:val="0"/>
          <w:numId w:val="139"/>
        </w:numPr>
        <w:spacing w:after="0" w:line="240" w:lineRule="auto"/>
        <w:ind w:left="1530" w:hanging="450"/>
        <w:rPr>
          <w:rFonts w:ascii="Calibri" w:hAnsi="Calibri"/>
        </w:rPr>
      </w:pPr>
      <w:r>
        <w:rPr>
          <w:rFonts w:ascii="Calibri" w:hAnsi="Calibri"/>
        </w:rPr>
        <w:t xml:space="preserve">Setting and/or adjusting </w:t>
      </w:r>
      <w:r w:rsidR="00B871B9">
        <w:rPr>
          <w:rFonts w:ascii="Calibri" w:hAnsi="Calibri"/>
        </w:rPr>
        <w:t>objectives, goals, and targets</w:t>
      </w:r>
    </w:p>
    <w:p w14:paraId="34886260" w14:textId="46A79A06" w:rsidR="00884179" w:rsidRDefault="008613D6" w:rsidP="003A5712">
      <w:pPr>
        <w:pStyle w:val="ListParagraph"/>
        <w:numPr>
          <w:ilvl w:val="0"/>
          <w:numId w:val="139"/>
        </w:numPr>
        <w:spacing w:after="0" w:line="240" w:lineRule="auto"/>
        <w:ind w:left="1530" w:hanging="450"/>
        <w:rPr>
          <w:rFonts w:ascii="Calibri" w:hAnsi="Calibri"/>
        </w:rPr>
      </w:pPr>
      <w:r>
        <w:rPr>
          <w:rFonts w:ascii="Calibri" w:hAnsi="Calibri"/>
        </w:rPr>
        <w:t>Reviewing</w:t>
      </w:r>
      <w:r w:rsidR="00884179">
        <w:rPr>
          <w:rFonts w:ascii="Calibri" w:hAnsi="Calibri"/>
        </w:rPr>
        <w:t xml:space="preserve"> service</w:t>
      </w:r>
      <w:r>
        <w:rPr>
          <w:rFonts w:ascii="Calibri" w:hAnsi="Calibri"/>
        </w:rPr>
        <w:t xml:space="preserve"> delivery systems and</w:t>
      </w:r>
      <w:r w:rsidR="00884179">
        <w:rPr>
          <w:rFonts w:ascii="Calibri" w:hAnsi="Calibri"/>
        </w:rPr>
        <w:t xml:space="preserve"> utilization</w:t>
      </w:r>
      <w:r w:rsidR="00B871B9">
        <w:rPr>
          <w:rFonts w:ascii="Calibri" w:hAnsi="Calibri"/>
        </w:rPr>
        <w:t xml:space="preserve"> to identify trends and gaps</w:t>
      </w:r>
    </w:p>
    <w:p w14:paraId="1AB1994A" w14:textId="0EF751C0" w:rsidR="00884179" w:rsidRDefault="00884179" w:rsidP="003A5712">
      <w:pPr>
        <w:pStyle w:val="ListParagraph"/>
        <w:numPr>
          <w:ilvl w:val="0"/>
          <w:numId w:val="139"/>
        </w:numPr>
        <w:spacing w:after="0" w:line="240" w:lineRule="auto"/>
        <w:ind w:left="1530" w:hanging="450"/>
        <w:rPr>
          <w:rFonts w:ascii="Calibri" w:hAnsi="Calibri"/>
        </w:rPr>
      </w:pPr>
      <w:r>
        <w:rPr>
          <w:rFonts w:ascii="Calibri" w:hAnsi="Calibri"/>
        </w:rPr>
        <w:t>Providing training and/or technical assistance</w:t>
      </w:r>
    </w:p>
    <w:p w14:paraId="60985E68" w14:textId="4B62EE87" w:rsidR="00811530" w:rsidRDefault="00811530" w:rsidP="003A5712">
      <w:pPr>
        <w:pStyle w:val="ListParagraph"/>
        <w:numPr>
          <w:ilvl w:val="0"/>
          <w:numId w:val="139"/>
        </w:numPr>
        <w:spacing w:after="0" w:line="240" w:lineRule="auto"/>
        <w:ind w:left="1530" w:hanging="450"/>
        <w:rPr>
          <w:rFonts w:ascii="Calibri" w:hAnsi="Calibri"/>
        </w:rPr>
      </w:pPr>
      <w:r>
        <w:rPr>
          <w:rFonts w:ascii="Calibri" w:hAnsi="Calibri"/>
        </w:rPr>
        <w:t>Developing</w:t>
      </w:r>
      <w:r w:rsidRPr="00811530">
        <w:rPr>
          <w:rFonts w:ascii="Calibri" w:hAnsi="Calibri"/>
        </w:rPr>
        <w:t xml:space="preserve"> and/or</w:t>
      </w:r>
      <w:r>
        <w:rPr>
          <w:rFonts w:ascii="Calibri" w:hAnsi="Calibri"/>
        </w:rPr>
        <w:t xml:space="preserve"> revising</w:t>
      </w:r>
      <w:r w:rsidRPr="00811530">
        <w:rPr>
          <w:rFonts w:ascii="Calibri" w:hAnsi="Calibri"/>
        </w:rPr>
        <w:t xml:space="preserve"> </w:t>
      </w:r>
      <w:r>
        <w:rPr>
          <w:rFonts w:ascii="Calibri" w:hAnsi="Calibri"/>
        </w:rPr>
        <w:t>policies and/or procedures</w:t>
      </w:r>
    </w:p>
    <w:p w14:paraId="2D658D35" w14:textId="735DE8DA" w:rsidR="00811530" w:rsidRPr="007849A1" w:rsidRDefault="00811530" w:rsidP="003A5712">
      <w:pPr>
        <w:pStyle w:val="ListParagraph"/>
        <w:numPr>
          <w:ilvl w:val="0"/>
          <w:numId w:val="139"/>
        </w:numPr>
        <w:spacing w:after="0" w:line="240" w:lineRule="auto"/>
        <w:ind w:left="1530" w:hanging="450"/>
        <w:rPr>
          <w:rFonts w:ascii="Calibri" w:hAnsi="Calibri"/>
        </w:rPr>
      </w:pPr>
      <w:r>
        <w:rPr>
          <w:rFonts w:ascii="Calibri" w:hAnsi="Calibri"/>
        </w:rPr>
        <w:t>Consulting</w:t>
      </w:r>
      <w:r w:rsidRPr="00811530">
        <w:rPr>
          <w:rFonts w:ascii="Calibri" w:hAnsi="Calibri"/>
        </w:rPr>
        <w:t xml:space="preserve"> with agencies to resolve issues, identify training needs</w:t>
      </w:r>
      <w:r w:rsidR="008613D6">
        <w:rPr>
          <w:rFonts w:ascii="Calibri" w:hAnsi="Calibri"/>
        </w:rPr>
        <w:t>,</w:t>
      </w:r>
      <w:r w:rsidRPr="00811530">
        <w:rPr>
          <w:rFonts w:ascii="Calibri" w:hAnsi="Calibri"/>
        </w:rPr>
        <w:t xml:space="preserve"> and </w:t>
      </w:r>
      <w:r w:rsidR="008613D6">
        <w:rPr>
          <w:rFonts w:ascii="Calibri" w:hAnsi="Calibri"/>
        </w:rPr>
        <w:t>enhance</w:t>
      </w:r>
      <w:r w:rsidRPr="00811530">
        <w:rPr>
          <w:rFonts w:ascii="Calibri" w:hAnsi="Calibri"/>
        </w:rPr>
        <w:t xml:space="preserve"> program effectiveness</w:t>
      </w:r>
    </w:p>
    <w:p w14:paraId="4E1D33A9" w14:textId="4C9D44FE" w:rsidR="00F33608" w:rsidRPr="002A61C8" w:rsidRDefault="00F33608" w:rsidP="002A61C8">
      <w:pPr>
        <w:pStyle w:val="ListParagraph"/>
        <w:spacing w:after="0" w:line="240" w:lineRule="auto"/>
        <w:ind w:left="0" w:firstLine="720"/>
        <w:rPr>
          <w:bCs/>
        </w:rPr>
      </w:pPr>
    </w:p>
    <w:p w14:paraId="0732EBF5" w14:textId="3C16CAAF" w:rsidR="00336912" w:rsidRDefault="00336912">
      <w:pPr>
        <w:pStyle w:val="NoSpacing"/>
        <w:numPr>
          <w:ilvl w:val="0"/>
          <w:numId w:val="138"/>
        </w:numPr>
        <w:rPr>
          <w:b/>
          <w:u w:val="single"/>
        </w:rPr>
      </w:pPr>
      <w:r>
        <w:rPr>
          <w:b/>
          <w:u w:val="single"/>
        </w:rPr>
        <w:t>Ineligible Costs</w:t>
      </w:r>
    </w:p>
    <w:p w14:paraId="03F88F32" w14:textId="0088599A" w:rsidR="00DC45E7" w:rsidRDefault="00631C3C" w:rsidP="00E82AE2">
      <w:pPr>
        <w:pStyle w:val="NoSpacing"/>
        <w:ind w:left="720"/>
      </w:pPr>
      <w:r>
        <w:rPr>
          <w:bCs/>
        </w:rPr>
        <w:t>Do not allocate</w:t>
      </w:r>
      <w:r w:rsidR="00E437CF" w:rsidRPr="00E437CF">
        <w:rPr>
          <w:bCs/>
        </w:rPr>
        <w:t xml:space="preserve"> personnel costs </w:t>
      </w:r>
      <w:r w:rsidR="00AA34D6">
        <w:rPr>
          <w:bCs/>
        </w:rPr>
        <w:t>under</w:t>
      </w:r>
      <w:r w:rsidR="00AA34D6" w:rsidRPr="00E437CF">
        <w:rPr>
          <w:bCs/>
        </w:rPr>
        <w:t xml:space="preserve"> </w:t>
      </w:r>
      <w:r w:rsidR="00DC45E7">
        <w:rPr>
          <w:bCs/>
        </w:rPr>
        <w:t>A</w:t>
      </w:r>
      <w:r w:rsidR="00E437CF" w:rsidRPr="00E437CF">
        <w:rPr>
          <w:bCs/>
        </w:rPr>
        <w:t xml:space="preserve">dministration </w:t>
      </w:r>
      <w:r w:rsidR="00AA34D6">
        <w:rPr>
          <w:bCs/>
        </w:rPr>
        <w:t>when they belong under</w:t>
      </w:r>
      <w:r w:rsidR="00DC45E7">
        <w:rPr>
          <w:bCs/>
        </w:rPr>
        <w:t xml:space="preserve"> a</w:t>
      </w:r>
      <w:r w:rsidR="00C34253">
        <w:rPr>
          <w:bCs/>
        </w:rPr>
        <w:t>nother</w:t>
      </w:r>
      <w:r w:rsidR="00DC45E7">
        <w:rPr>
          <w:bCs/>
        </w:rPr>
        <w:t xml:space="preserve"> </w:t>
      </w:r>
      <w:r w:rsidR="00E437CF" w:rsidRPr="00E437CF">
        <w:rPr>
          <w:bCs/>
        </w:rPr>
        <w:t xml:space="preserve">program activity. Some activities </w:t>
      </w:r>
      <w:r w:rsidR="00BE4223">
        <w:rPr>
          <w:bCs/>
        </w:rPr>
        <w:t>may</w:t>
      </w:r>
      <w:r w:rsidR="00E437CF" w:rsidRPr="00E437CF">
        <w:rPr>
          <w:bCs/>
        </w:rPr>
        <w:t xml:space="preserve"> seem administrative</w:t>
      </w:r>
      <w:r w:rsidR="00373C4C">
        <w:rPr>
          <w:bCs/>
        </w:rPr>
        <w:t xml:space="preserve"> when </w:t>
      </w:r>
      <w:r w:rsidR="00BE4223">
        <w:rPr>
          <w:bCs/>
        </w:rPr>
        <w:t>they are</w:t>
      </w:r>
      <w:r w:rsidR="00E437CF" w:rsidRPr="00E437CF">
        <w:rPr>
          <w:bCs/>
        </w:rPr>
        <w:t xml:space="preserve"> </w:t>
      </w:r>
      <w:r w:rsidR="00DD0A5A" w:rsidRPr="00E437CF">
        <w:rPr>
          <w:bCs/>
        </w:rPr>
        <w:t>programmatic</w:t>
      </w:r>
      <w:r w:rsidR="00E437CF" w:rsidRPr="00E437CF">
        <w:rPr>
          <w:bCs/>
        </w:rPr>
        <w:t xml:space="preserve">. For example, </w:t>
      </w:r>
      <w:r w:rsidR="00373C4C" w:rsidRPr="00E437CF">
        <w:t xml:space="preserve">direct </w:t>
      </w:r>
      <w:r w:rsidR="00373C4C">
        <w:t>activity delivery</w:t>
      </w:r>
      <w:r w:rsidR="00373C4C" w:rsidRPr="00E437CF">
        <w:t xml:space="preserve"> costs</w:t>
      </w:r>
      <w:r w:rsidR="00373C4C">
        <w:t>, such as</w:t>
      </w:r>
      <w:r w:rsidR="00373C4C" w:rsidRPr="00E437CF">
        <w:rPr>
          <w:bCs/>
        </w:rPr>
        <w:t xml:space="preserve"> </w:t>
      </w:r>
      <w:r w:rsidR="00E437CF" w:rsidRPr="00E437CF">
        <w:rPr>
          <w:bCs/>
        </w:rPr>
        <w:t xml:space="preserve">personnel costs for time </w:t>
      </w:r>
      <w:r w:rsidR="00E47BFE">
        <w:rPr>
          <w:bCs/>
        </w:rPr>
        <w:t xml:space="preserve">spent </w:t>
      </w:r>
      <w:r w:rsidR="003E4E3F">
        <w:rPr>
          <w:bCs/>
        </w:rPr>
        <w:t xml:space="preserve">undertaking, coordinating, and </w:t>
      </w:r>
      <w:r w:rsidR="00E437CF" w:rsidRPr="00E437CF">
        <w:rPr>
          <w:bCs/>
        </w:rPr>
        <w:t xml:space="preserve">managing rental assistance </w:t>
      </w:r>
      <w:r w:rsidR="008048D2">
        <w:rPr>
          <w:bCs/>
        </w:rPr>
        <w:t>activit</w:t>
      </w:r>
      <w:r w:rsidR="00373C4C">
        <w:rPr>
          <w:bCs/>
        </w:rPr>
        <w:t>ies</w:t>
      </w:r>
      <w:r w:rsidR="00E437CF">
        <w:rPr>
          <w:bCs/>
        </w:rPr>
        <w:t xml:space="preserve"> </w:t>
      </w:r>
      <w:r w:rsidR="00E437CF">
        <w:t xml:space="preserve">(e.g., </w:t>
      </w:r>
      <w:r w:rsidR="005A045D">
        <w:t xml:space="preserve">determining household eligibility, </w:t>
      </w:r>
      <w:r w:rsidR="003E4E3F">
        <w:t xml:space="preserve">completing an </w:t>
      </w:r>
      <w:r w:rsidR="00C34253">
        <w:t>HQS inspection</w:t>
      </w:r>
      <w:r w:rsidR="003E4E3F">
        <w:t>, performing a rental assistance calculation, issuing payments to owners, etc.</w:t>
      </w:r>
      <w:r w:rsidR="00E437CF" w:rsidRPr="00E437CF">
        <w:t xml:space="preserve">) </w:t>
      </w:r>
      <w:r w:rsidR="0059053F">
        <w:t>would</w:t>
      </w:r>
      <w:r w:rsidR="00373C4C">
        <w:t xml:space="preserve"> fall under </w:t>
      </w:r>
      <w:r w:rsidR="0059053F">
        <w:t>TBRA or TSH</w:t>
      </w:r>
      <w:r w:rsidR="00E437CF" w:rsidRPr="00E437CF">
        <w:t>.</w:t>
      </w:r>
      <w:r w:rsidR="003E4E3F" w:rsidRPr="003E4E3F">
        <w:t xml:space="preserve"> </w:t>
      </w:r>
      <w:r w:rsidR="00E437CF" w:rsidRPr="00E437CF">
        <w:t xml:space="preserve">Similarly, </w:t>
      </w:r>
      <w:r w:rsidR="0059053F">
        <w:t>personnel costs for time</w:t>
      </w:r>
      <w:r>
        <w:t xml:space="preserve"> spent</w:t>
      </w:r>
      <w:r w:rsidR="0059053F">
        <w:t xml:space="preserve"> supervising </w:t>
      </w:r>
      <w:r w:rsidR="00E437CF" w:rsidRPr="00E437CF">
        <w:t xml:space="preserve">staff </w:t>
      </w:r>
      <w:r w:rsidR="00FB47A9">
        <w:t>who deliver</w:t>
      </w:r>
      <w:r w:rsidR="0059053F">
        <w:t xml:space="preserve"> </w:t>
      </w:r>
      <w:r w:rsidR="00FB47A9">
        <w:t>services</w:t>
      </w:r>
      <w:r w:rsidR="0059053F">
        <w:t xml:space="preserve"> (e.g., </w:t>
      </w:r>
      <w:r w:rsidR="00E437CF" w:rsidRPr="00E437CF">
        <w:t>case</w:t>
      </w:r>
      <w:r w:rsidR="003A6CE2">
        <w:t>-conferencing</w:t>
      </w:r>
      <w:r w:rsidR="0059053F">
        <w:t>, etc.)</w:t>
      </w:r>
      <w:r w:rsidR="00E437CF" w:rsidRPr="00E437CF">
        <w:t xml:space="preserve"> </w:t>
      </w:r>
      <w:r w:rsidR="00FB47A9">
        <w:t>would also fall under</w:t>
      </w:r>
      <w:r w:rsidR="00E437CF" w:rsidRPr="00E437CF">
        <w:t xml:space="preserve"> </w:t>
      </w:r>
      <w:r w:rsidR="0059053F">
        <w:t>the appropriate programmatic activity</w:t>
      </w:r>
      <w:r w:rsidR="00E437CF" w:rsidRPr="00E437CF">
        <w:t>.</w:t>
      </w:r>
    </w:p>
    <w:p w14:paraId="6286D48A" w14:textId="77777777" w:rsidR="00990C93" w:rsidRDefault="00990C93" w:rsidP="00990C93">
      <w:pPr>
        <w:pStyle w:val="NoSpacing"/>
        <w:ind w:left="720"/>
        <w:rPr>
          <w:bCs/>
        </w:rPr>
      </w:pPr>
    </w:p>
    <w:p w14:paraId="6AC17F36" w14:textId="34B1208E" w:rsidR="00990C93" w:rsidRDefault="00990C93" w:rsidP="00990C93">
      <w:pPr>
        <w:pStyle w:val="NoSpacing"/>
        <w:ind w:left="720"/>
        <w:rPr>
          <w:bCs/>
        </w:rPr>
      </w:pPr>
      <w:r>
        <w:rPr>
          <w:bCs/>
        </w:rPr>
        <w:t>Staff time may split</w:t>
      </w:r>
      <w:r w:rsidRPr="003E4E3F">
        <w:rPr>
          <w:bCs/>
        </w:rPr>
        <w:t xml:space="preserve"> </w:t>
      </w:r>
      <w:r w:rsidRPr="00FC08E6">
        <w:rPr>
          <w:bCs/>
        </w:rPr>
        <w:t xml:space="preserve">between </w:t>
      </w:r>
      <w:r>
        <w:rPr>
          <w:bCs/>
        </w:rPr>
        <w:t xml:space="preserve">programmatic and administrative activities depending on the tasks they </w:t>
      </w:r>
      <w:r w:rsidR="00A614C7">
        <w:rPr>
          <w:bCs/>
        </w:rPr>
        <w:t>perform</w:t>
      </w:r>
      <w:r>
        <w:rPr>
          <w:bCs/>
        </w:rPr>
        <w:t>.</w:t>
      </w:r>
      <w:r w:rsidRPr="00FC08E6" w:rsidDel="003E4E3F">
        <w:rPr>
          <w:bCs/>
        </w:rPr>
        <w:t xml:space="preserve"> </w:t>
      </w:r>
      <w:r>
        <w:rPr>
          <w:bCs/>
        </w:rPr>
        <w:t xml:space="preserve">For example, </w:t>
      </w:r>
      <w:r w:rsidRPr="003771CC">
        <w:rPr>
          <w:bCs/>
        </w:rPr>
        <w:t xml:space="preserve">supervisory participation in case conferences with staff to discuss complex client cases </w:t>
      </w:r>
      <w:r w:rsidR="00E47BFE">
        <w:rPr>
          <w:bCs/>
        </w:rPr>
        <w:t>would fall under HCM</w:t>
      </w:r>
      <w:r>
        <w:rPr>
          <w:bCs/>
        </w:rPr>
        <w:t xml:space="preserve">. </w:t>
      </w:r>
      <w:r w:rsidRPr="003771CC">
        <w:rPr>
          <w:bCs/>
        </w:rPr>
        <w:t xml:space="preserve">However, supervisory activities such as staff meetings and employee evaluations </w:t>
      </w:r>
      <w:r w:rsidR="00E47BFE">
        <w:rPr>
          <w:bCs/>
        </w:rPr>
        <w:t>facilitate management and oversight</w:t>
      </w:r>
      <w:r w:rsidRPr="003771CC">
        <w:rPr>
          <w:bCs/>
        </w:rPr>
        <w:t xml:space="preserve"> of the program</w:t>
      </w:r>
      <w:r w:rsidR="00E47BFE">
        <w:rPr>
          <w:bCs/>
        </w:rPr>
        <w:t xml:space="preserve"> and would fall under Administration</w:t>
      </w:r>
      <w:r w:rsidRPr="003771CC">
        <w:rPr>
          <w:bCs/>
        </w:rPr>
        <w:t xml:space="preserve">. </w:t>
      </w:r>
      <w:r>
        <w:rPr>
          <w:bCs/>
        </w:rPr>
        <w:t xml:space="preserve">Similarly, </w:t>
      </w:r>
      <w:r w:rsidR="00E47BFE">
        <w:rPr>
          <w:bCs/>
        </w:rPr>
        <w:t xml:space="preserve">staff </w:t>
      </w:r>
      <w:r>
        <w:rPr>
          <w:bCs/>
        </w:rPr>
        <w:t xml:space="preserve">time spent issuing a short-term utility payment to a utility vendor would </w:t>
      </w:r>
      <w:r w:rsidR="00E47BFE">
        <w:rPr>
          <w:bCs/>
        </w:rPr>
        <w:t>fall</w:t>
      </w:r>
      <w:r>
        <w:rPr>
          <w:bCs/>
        </w:rPr>
        <w:t xml:space="preserve"> under STRMU as a direct activity delivery cost, whereas time spent issuing payments for general office expenditures would </w:t>
      </w:r>
      <w:r w:rsidR="00E47BFE">
        <w:rPr>
          <w:bCs/>
        </w:rPr>
        <w:t>fall</w:t>
      </w:r>
      <w:r>
        <w:rPr>
          <w:bCs/>
        </w:rPr>
        <w:t xml:space="preserve"> under Administration. Staff</w:t>
      </w:r>
      <w:r w:rsidRPr="003771CC">
        <w:rPr>
          <w:bCs/>
        </w:rPr>
        <w:t xml:space="preserve"> must carefully track their time and record their </w:t>
      </w:r>
      <w:r w:rsidR="00270652">
        <w:rPr>
          <w:bCs/>
        </w:rPr>
        <w:t>activities</w:t>
      </w:r>
      <w:r w:rsidRPr="003771CC">
        <w:rPr>
          <w:bCs/>
        </w:rPr>
        <w:t xml:space="preserve"> in sufficient detail to document </w:t>
      </w:r>
      <w:r w:rsidR="00270652">
        <w:rPr>
          <w:bCs/>
        </w:rPr>
        <w:t>them</w:t>
      </w:r>
      <w:r w:rsidRPr="003771CC">
        <w:rPr>
          <w:bCs/>
        </w:rPr>
        <w:t xml:space="preserve"> as allowable </w:t>
      </w:r>
      <w:r>
        <w:rPr>
          <w:bCs/>
        </w:rPr>
        <w:t>programmatic or</w:t>
      </w:r>
      <w:r w:rsidRPr="003771CC">
        <w:rPr>
          <w:bCs/>
        </w:rPr>
        <w:t xml:space="preserve"> administrative cost</w:t>
      </w:r>
      <w:r w:rsidR="00270652">
        <w:rPr>
          <w:bCs/>
        </w:rPr>
        <w:t>s</w:t>
      </w:r>
      <w:r>
        <w:rPr>
          <w:bCs/>
        </w:rPr>
        <w:t>.</w:t>
      </w:r>
      <w:r w:rsidRPr="00990C93">
        <w:rPr>
          <w:bCs/>
        </w:rPr>
        <w:t xml:space="preserve"> </w:t>
      </w:r>
      <w:r w:rsidRPr="00F33608">
        <w:rPr>
          <w:bCs/>
        </w:rPr>
        <w:t>Do not bill costs associated with the delivery of housing assistance</w:t>
      </w:r>
      <w:r w:rsidR="00631C3C">
        <w:rPr>
          <w:bCs/>
        </w:rPr>
        <w:t xml:space="preserve">, </w:t>
      </w:r>
      <w:r w:rsidRPr="00F33608">
        <w:rPr>
          <w:bCs/>
        </w:rPr>
        <w:t>supportive services</w:t>
      </w:r>
      <w:r w:rsidR="00631C3C">
        <w:rPr>
          <w:bCs/>
        </w:rPr>
        <w:t>, or housing information services</w:t>
      </w:r>
      <w:r w:rsidRPr="00F33608">
        <w:rPr>
          <w:bCs/>
        </w:rPr>
        <w:t xml:space="preserve"> entirely to </w:t>
      </w:r>
      <w:r w:rsidR="00631C3C">
        <w:rPr>
          <w:bCs/>
        </w:rPr>
        <w:t>HCM</w:t>
      </w:r>
      <w:r w:rsidRPr="00F33608">
        <w:rPr>
          <w:bCs/>
        </w:rPr>
        <w:t xml:space="preserve"> or Administration if the cost </w:t>
      </w:r>
      <w:r w:rsidR="00A614C7">
        <w:rPr>
          <w:bCs/>
        </w:rPr>
        <w:t>directly relates</w:t>
      </w:r>
      <w:r w:rsidRPr="00F33608">
        <w:rPr>
          <w:bCs/>
        </w:rPr>
        <w:t xml:space="preserve"> to another budget line item.</w:t>
      </w:r>
    </w:p>
    <w:p w14:paraId="40294883" w14:textId="77777777" w:rsidR="00DC45E7" w:rsidRDefault="00DC45E7" w:rsidP="00E82AE2">
      <w:pPr>
        <w:pStyle w:val="NoSpacing"/>
        <w:ind w:left="720"/>
      </w:pPr>
    </w:p>
    <w:p w14:paraId="02A94D38" w14:textId="26ED07EA" w:rsidR="002E09F3" w:rsidRDefault="00631C3C" w:rsidP="00E82AE2">
      <w:pPr>
        <w:pStyle w:val="NoSpacing"/>
        <w:ind w:left="720"/>
        <w:rPr>
          <w:bCs/>
        </w:rPr>
      </w:pPr>
      <w:r>
        <w:t>Do not allocate</w:t>
      </w:r>
      <w:r w:rsidR="003A6CE2">
        <w:t xml:space="preserve"> all indirect costs to Administration when they </w:t>
      </w:r>
      <w:r w:rsidR="00E47BFE">
        <w:t>belong under</w:t>
      </w:r>
      <w:r w:rsidR="003A6CE2">
        <w:t xml:space="preserve"> separate program activities</w:t>
      </w:r>
      <w:r>
        <w:t>.</w:t>
      </w:r>
      <w:r w:rsidR="005D0ADF">
        <w:t xml:space="preserve"> </w:t>
      </w:r>
      <w:r w:rsidR="005D0ADF">
        <w:rPr>
          <w:bCs/>
        </w:rPr>
        <w:t xml:space="preserve">Following their indirect allocation method, </w:t>
      </w:r>
      <w:r>
        <w:rPr>
          <w:bCs/>
        </w:rPr>
        <w:t>AAs and Project Sponsors</w:t>
      </w:r>
      <w:r w:rsidR="005D0ADF">
        <w:rPr>
          <w:bCs/>
        </w:rPr>
        <w:t xml:space="preserve"> allocate indirect costs under </w:t>
      </w:r>
      <w:r w:rsidR="00FF65DF">
        <w:rPr>
          <w:bCs/>
        </w:rPr>
        <w:t>each of</w:t>
      </w:r>
      <w:r w:rsidR="005D0ADF">
        <w:rPr>
          <w:bCs/>
        </w:rPr>
        <w:t xml:space="preserve"> their activities to </w:t>
      </w:r>
      <w:r w:rsidR="00E437CF" w:rsidRPr="00E437CF">
        <w:rPr>
          <w:bCs/>
        </w:rPr>
        <w:t>avoid unnecessarily allocating and billing non-administrative</w:t>
      </w:r>
      <w:r w:rsidR="00C96FCC">
        <w:rPr>
          <w:bCs/>
        </w:rPr>
        <w:t xml:space="preserve"> indirect</w:t>
      </w:r>
      <w:r w:rsidR="00E437CF" w:rsidRPr="00E437CF">
        <w:rPr>
          <w:bCs/>
        </w:rPr>
        <w:t xml:space="preserve"> costs to </w:t>
      </w:r>
      <w:r w:rsidR="002E09F3">
        <w:rPr>
          <w:bCs/>
        </w:rPr>
        <w:t>Administration</w:t>
      </w:r>
      <w:r w:rsidR="00E437CF" w:rsidRPr="00E437CF">
        <w:rPr>
          <w:bCs/>
        </w:rPr>
        <w:t>.</w:t>
      </w:r>
    </w:p>
    <w:p w14:paraId="455C1542" w14:textId="305F14FD" w:rsidR="003E4E3F" w:rsidRDefault="003E4E3F" w:rsidP="00FC08E6">
      <w:pPr>
        <w:pStyle w:val="NoSpacing"/>
        <w:ind w:left="720"/>
        <w:rPr>
          <w:bCs/>
        </w:rPr>
      </w:pPr>
    </w:p>
    <w:p w14:paraId="571C9607" w14:textId="23D2E4CB" w:rsidR="00336912" w:rsidRDefault="003F4C55" w:rsidP="00336912">
      <w:pPr>
        <w:pStyle w:val="NoSpacing"/>
        <w:numPr>
          <w:ilvl w:val="0"/>
          <w:numId w:val="138"/>
        </w:numPr>
        <w:rPr>
          <w:b/>
          <w:u w:val="single"/>
        </w:rPr>
      </w:pPr>
      <w:r>
        <w:rPr>
          <w:b/>
          <w:u w:val="single"/>
        </w:rPr>
        <w:t xml:space="preserve">Allocation </w:t>
      </w:r>
      <w:r w:rsidR="00A673FC">
        <w:rPr>
          <w:b/>
          <w:u w:val="single"/>
        </w:rPr>
        <w:t>of</w:t>
      </w:r>
      <w:r>
        <w:rPr>
          <w:b/>
          <w:u w:val="single"/>
        </w:rPr>
        <w:t xml:space="preserve"> AA Administrative Costs</w:t>
      </w:r>
    </w:p>
    <w:p w14:paraId="4935399E" w14:textId="7C471B14" w:rsidR="003F4C55" w:rsidRPr="003F4C55" w:rsidRDefault="003F4C55" w:rsidP="003F4C55">
      <w:pPr>
        <w:pStyle w:val="ListParagraph"/>
        <w:spacing w:after="0" w:line="240" w:lineRule="auto"/>
        <w:rPr>
          <w:bCs/>
        </w:rPr>
      </w:pPr>
      <w:r w:rsidRPr="003F4C55">
        <w:rPr>
          <w:bCs/>
        </w:rPr>
        <w:t xml:space="preserve">The sum of DSHS and AA administrative costs cannot exceed 3 percent of each annual grant amount. After DSHS calculates the 3 percent grantee administrative cap and the amount needed for DSHS direct and indirect administrative costs, DSHS will allocate the remaining funds to </w:t>
      </w:r>
      <w:r>
        <w:rPr>
          <w:bCs/>
        </w:rPr>
        <w:t>HSDA</w:t>
      </w:r>
      <w:r w:rsidRPr="003F4C55">
        <w:rPr>
          <w:bCs/>
        </w:rPr>
        <w:t>s via formula</w:t>
      </w:r>
      <w:r>
        <w:rPr>
          <w:bCs/>
        </w:rPr>
        <w:t xml:space="preserve"> and </w:t>
      </w:r>
      <w:r w:rsidR="002B7539">
        <w:rPr>
          <w:bCs/>
        </w:rPr>
        <w:t>calculate</w:t>
      </w:r>
      <w:r w:rsidR="00AB6B7D">
        <w:rPr>
          <w:bCs/>
        </w:rPr>
        <w:t xml:space="preserve"> a maximum amount that each AA may allocate for administrative costs. </w:t>
      </w:r>
      <w:r w:rsidRPr="003F4C55">
        <w:rPr>
          <w:bCs/>
        </w:rPr>
        <w:t xml:space="preserve">AAs must ensure that direct and indirect grantee administrative costs do not exceed the caps established for each AA by DSHS during procurement in Table A: “Allocations by HIV Service Delivery Area.” Of the total allocation for each AA in Table A, the AA may use not </w:t>
      </w:r>
      <w:r w:rsidRPr="003F4C55">
        <w:rPr>
          <w:bCs/>
        </w:rPr>
        <w:lastRenderedPageBreak/>
        <w:t xml:space="preserve">more than the amount specified under “AA Admin Cost Cap” for its own administrative costs. No AA administrative cost cap shall </w:t>
      </w:r>
      <w:r w:rsidR="0006059F">
        <w:rPr>
          <w:bCs/>
        </w:rPr>
        <w:t>equal</w:t>
      </w:r>
      <w:r w:rsidR="0006059F" w:rsidRPr="003F4C55">
        <w:rPr>
          <w:bCs/>
        </w:rPr>
        <w:t xml:space="preserve"> </w:t>
      </w:r>
      <w:r w:rsidRPr="003F4C55">
        <w:rPr>
          <w:bCs/>
        </w:rPr>
        <w:t xml:space="preserve">less than $10,000. Therefore, if these calculations would result in any AA receiving less than $10,000, the amount allocated to this AA will increase to $10,000 and </w:t>
      </w:r>
      <w:r w:rsidR="001C2AA7">
        <w:rPr>
          <w:bCs/>
        </w:rPr>
        <w:t xml:space="preserve">the </w:t>
      </w:r>
      <w:r w:rsidRPr="003F4C55">
        <w:rPr>
          <w:bCs/>
        </w:rPr>
        <w:t xml:space="preserve">allocations to AAs </w:t>
      </w:r>
      <w:proofErr w:type="gramStart"/>
      <w:r w:rsidRPr="003F4C55">
        <w:rPr>
          <w:bCs/>
        </w:rPr>
        <w:t>in excess of</w:t>
      </w:r>
      <w:proofErr w:type="gramEnd"/>
      <w:r w:rsidRPr="003F4C55">
        <w:rPr>
          <w:bCs/>
        </w:rPr>
        <w:t xml:space="preserve"> $10,000 will </w:t>
      </w:r>
      <w:r w:rsidR="001C2AA7">
        <w:rPr>
          <w:bCs/>
        </w:rPr>
        <w:t>p</w:t>
      </w:r>
      <w:r w:rsidRPr="003F4C55">
        <w:rPr>
          <w:bCs/>
        </w:rPr>
        <w:t xml:space="preserve">roportionately decrease by the amount of the increase. Note, </w:t>
      </w:r>
      <w:r w:rsidR="001C2AA7">
        <w:rPr>
          <w:bCs/>
        </w:rPr>
        <w:t>an</w:t>
      </w:r>
      <w:r w:rsidR="001C2AA7" w:rsidRPr="003F4C55">
        <w:rPr>
          <w:bCs/>
        </w:rPr>
        <w:t xml:space="preserve"> </w:t>
      </w:r>
      <w:r w:rsidRPr="003F4C55">
        <w:rPr>
          <w:bCs/>
        </w:rPr>
        <w:t xml:space="preserve">AA </w:t>
      </w:r>
      <w:r w:rsidR="001C2AA7">
        <w:rPr>
          <w:bCs/>
        </w:rPr>
        <w:t>will not receive separate or additional funding for Grantee Administration</w:t>
      </w:r>
      <w:r w:rsidRPr="003F4C55">
        <w:rPr>
          <w:bCs/>
        </w:rPr>
        <w:t xml:space="preserve">. If an AA allocates funds for AA administrative costs, it must inversely decrease its total allocation to its Project Sponsors. </w:t>
      </w:r>
    </w:p>
    <w:p w14:paraId="5E4FD367" w14:textId="53065E47" w:rsidR="00E202C2" w:rsidRPr="00E202C2" w:rsidRDefault="00E202C2">
      <w:pPr>
        <w:pStyle w:val="ListParagraph"/>
        <w:spacing w:after="0" w:line="240" w:lineRule="auto"/>
        <w:rPr>
          <w:b/>
          <w:color w:val="C00000"/>
        </w:rPr>
      </w:pPr>
      <w:r w:rsidRPr="00E202C2">
        <w:rPr>
          <w:b/>
          <w:color w:val="C00000"/>
        </w:rPr>
        <w:t xml:space="preserve">NOTE: </w:t>
      </w:r>
      <w:r w:rsidR="00E437CF">
        <w:rPr>
          <w:color w:val="C00000"/>
        </w:rPr>
        <w:t>Instead of using Table A</w:t>
      </w:r>
      <w:r w:rsidRPr="002A61C8">
        <w:rPr>
          <w:color w:val="C00000"/>
        </w:rPr>
        <w:t>, DSHS may notify an AA of their administrative cost cap via another means of communication (e.g., email, etc.).</w:t>
      </w:r>
    </w:p>
    <w:p w14:paraId="0343B38D" w14:textId="1CFAD87C" w:rsidR="003F4C55" w:rsidRPr="002A61C8" w:rsidRDefault="003F4C55" w:rsidP="002A61C8">
      <w:pPr>
        <w:pStyle w:val="ListParagraph"/>
        <w:spacing w:after="0" w:line="240" w:lineRule="auto"/>
        <w:rPr>
          <w:bCs/>
          <w:color w:val="C00000"/>
        </w:rPr>
      </w:pPr>
      <w:r w:rsidRPr="002A61C8">
        <w:rPr>
          <w:b/>
          <w:color w:val="C00000"/>
        </w:rPr>
        <w:t>NOTE:</w:t>
      </w:r>
      <w:r w:rsidRPr="002A61C8">
        <w:rPr>
          <w:bCs/>
          <w:color w:val="C00000"/>
        </w:rPr>
        <w:t xml:space="preserve"> AAs may also leverage State Administration funds for AA HOPWA administrative costs.</w:t>
      </w:r>
    </w:p>
    <w:p w14:paraId="0B579FB6" w14:textId="77777777" w:rsidR="00336912" w:rsidRPr="0027287B" w:rsidRDefault="00336912">
      <w:pPr>
        <w:pStyle w:val="NoSpacing"/>
        <w:rPr>
          <w:rFonts w:cs="Times New Roman"/>
          <w:bCs/>
        </w:rPr>
      </w:pPr>
    </w:p>
    <w:p w14:paraId="1D4B6194" w14:textId="3CE9A486" w:rsidR="00357ADA" w:rsidRPr="00971E01" w:rsidRDefault="00357ADA" w:rsidP="00B109D9">
      <w:pPr>
        <w:pStyle w:val="Heading1"/>
      </w:pPr>
      <w:bookmarkStart w:id="51" w:name="_Toc140755478"/>
      <w:r w:rsidRPr="00971E01">
        <w:t>S</w:t>
      </w:r>
      <w:r w:rsidR="00636B06">
        <w:t>ection 1</w:t>
      </w:r>
      <w:r w:rsidR="00332D31">
        <w:t>5</w:t>
      </w:r>
      <w:r w:rsidRPr="00971E01">
        <w:t xml:space="preserve">. Other </w:t>
      </w:r>
      <w:r w:rsidR="001015F4">
        <w:t xml:space="preserve">Supporting </w:t>
      </w:r>
      <w:r w:rsidRPr="00971E01">
        <w:t>Documentation</w:t>
      </w:r>
      <w:bookmarkEnd w:id="51"/>
    </w:p>
    <w:p w14:paraId="0775692A" w14:textId="04ACBE03" w:rsidR="004059FE" w:rsidRDefault="00357ADA" w:rsidP="00F24BC0">
      <w:pPr>
        <w:pStyle w:val="NoSpacing"/>
        <w:rPr>
          <w:rFonts w:cs="Times New Roman"/>
        </w:rPr>
      </w:pPr>
      <w:r w:rsidRPr="008026D4">
        <w:rPr>
          <w:rFonts w:cs="Times New Roman"/>
        </w:rPr>
        <w:t>Project Sponsors must document what they pay for</w:t>
      </w:r>
      <w:r w:rsidR="002D6F08">
        <w:rPr>
          <w:rFonts w:cs="Times New Roman"/>
        </w:rPr>
        <w:t>,</w:t>
      </w:r>
      <w:r w:rsidRPr="008026D4">
        <w:rPr>
          <w:rFonts w:cs="Times New Roman"/>
        </w:rPr>
        <w:t xml:space="preserve"> who they pay</w:t>
      </w:r>
      <w:r w:rsidR="002D6F08">
        <w:rPr>
          <w:rFonts w:cs="Times New Roman"/>
        </w:rPr>
        <w:t xml:space="preserve">, and maintain a record of all payments in the household’s </w:t>
      </w:r>
      <w:r w:rsidR="002228D2">
        <w:rPr>
          <w:rFonts w:cs="Times New Roman"/>
        </w:rPr>
        <w:t>record</w:t>
      </w:r>
      <w:r w:rsidRPr="008026D4">
        <w:rPr>
          <w:rFonts w:cs="Times New Roman"/>
        </w:rPr>
        <w:t xml:space="preserve">. To accomplish this, Project Sponsors obtain copies of leases, mortgages, utility bills, and ledgers for which </w:t>
      </w:r>
      <w:r w:rsidR="00BA1A9F">
        <w:rPr>
          <w:rFonts w:cs="Times New Roman"/>
        </w:rPr>
        <w:t>they provided housing assistance</w:t>
      </w:r>
      <w:r w:rsidRPr="008026D4">
        <w:rPr>
          <w:rFonts w:cs="Times New Roman"/>
        </w:rPr>
        <w:t>.</w:t>
      </w:r>
      <w:r w:rsidR="00F243ED">
        <w:rPr>
          <w:rFonts w:cs="Times New Roman"/>
        </w:rPr>
        <w:t xml:space="preserve"> </w:t>
      </w:r>
      <w:r w:rsidR="004059FE">
        <w:rPr>
          <w:rFonts w:cs="Times New Roman"/>
        </w:rPr>
        <w:t xml:space="preserve">Project Sponsors obtain new leases as old ones expire. The documentation must be current, predate service dates, and correspond with related service forms and check request vouchers. For example, </w:t>
      </w:r>
      <w:r w:rsidR="00BA1A9F">
        <w:rPr>
          <w:rFonts w:cs="Times New Roman"/>
        </w:rPr>
        <w:t xml:space="preserve">the household’s record must include </w:t>
      </w:r>
      <w:r w:rsidR="004059FE">
        <w:rPr>
          <w:rFonts w:cs="Times New Roman"/>
        </w:rPr>
        <w:t>check request vouchers and the requested amounts must correspond with the values on TBRA, STRM</w:t>
      </w:r>
      <w:r w:rsidR="0068063B">
        <w:rPr>
          <w:rFonts w:cs="Times New Roman"/>
        </w:rPr>
        <w:t>U, STSH, TSH, and/or PHP forms.</w:t>
      </w:r>
    </w:p>
    <w:p w14:paraId="6B4F6D31" w14:textId="77777777" w:rsidR="004059FE" w:rsidRDefault="004059FE" w:rsidP="004059FE">
      <w:pPr>
        <w:pStyle w:val="NoSpacing"/>
        <w:rPr>
          <w:rFonts w:cs="Times New Roman"/>
          <w:color w:val="C00000"/>
        </w:rPr>
      </w:pPr>
      <w:r w:rsidRPr="006736CA">
        <w:rPr>
          <w:rFonts w:cs="Times New Roman"/>
          <w:b/>
          <w:color w:val="C00000"/>
        </w:rPr>
        <w:t>NOTE:</w:t>
      </w:r>
      <w:r w:rsidRPr="006736CA">
        <w:rPr>
          <w:rFonts w:cs="Times New Roman"/>
          <w:color w:val="C00000"/>
        </w:rPr>
        <w:t xml:space="preserve"> Supporting documentation </w:t>
      </w:r>
      <w:r>
        <w:rPr>
          <w:rFonts w:cs="Times New Roman"/>
          <w:color w:val="C00000"/>
        </w:rPr>
        <w:t xml:space="preserve">for housing assistance payments </w:t>
      </w:r>
      <w:r w:rsidRPr="006736CA">
        <w:rPr>
          <w:rFonts w:cs="Times New Roman"/>
          <w:color w:val="C00000"/>
        </w:rPr>
        <w:t xml:space="preserve">must be current and predate </w:t>
      </w:r>
      <w:r>
        <w:rPr>
          <w:rFonts w:cs="Times New Roman"/>
          <w:color w:val="C00000"/>
        </w:rPr>
        <w:t>service</w:t>
      </w:r>
      <w:r w:rsidRPr="006736CA">
        <w:rPr>
          <w:rFonts w:cs="Times New Roman"/>
          <w:color w:val="C00000"/>
        </w:rPr>
        <w:t xml:space="preserve"> </w:t>
      </w:r>
      <w:r>
        <w:rPr>
          <w:rFonts w:cs="Times New Roman"/>
          <w:color w:val="C00000"/>
        </w:rPr>
        <w:t>dates</w:t>
      </w:r>
      <w:r w:rsidRPr="006736CA">
        <w:rPr>
          <w:rFonts w:cs="Times New Roman"/>
          <w:color w:val="C00000"/>
        </w:rPr>
        <w:t>.</w:t>
      </w:r>
    </w:p>
    <w:p w14:paraId="55E7CE17" w14:textId="77777777" w:rsidR="004059FE" w:rsidRDefault="004059FE" w:rsidP="00F24BC0">
      <w:pPr>
        <w:pStyle w:val="NoSpacing"/>
        <w:rPr>
          <w:rFonts w:cs="Times New Roman"/>
        </w:rPr>
      </w:pPr>
    </w:p>
    <w:p w14:paraId="62193F5D" w14:textId="2ECED09C" w:rsidR="006736CA" w:rsidRDefault="00E50552" w:rsidP="00F24BC0">
      <w:pPr>
        <w:pStyle w:val="NoSpacing"/>
        <w:rPr>
          <w:rFonts w:cs="Times New Roman"/>
          <w:color w:val="C00000"/>
        </w:rPr>
      </w:pPr>
      <w:r>
        <w:rPr>
          <w:rFonts w:cs="Times New Roman"/>
        </w:rPr>
        <w:t xml:space="preserve">If a household requested VAWA protections from a Project Sponsor and the Project Sponsor requested documentation of survivor status, the Project Sponsor must maintain a record of the written request for survivor status in the household’s </w:t>
      </w:r>
      <w:r w:rsidR="002228D2">
        <w:rPr>
          <w:rFonts w:cs="Times New Roman"/>
        </w:rPr>
        <w:t>record</w:t>
      </w:r>
      <w:r>
        <w:rPr>
          <w:rFonts w:cs="Times New Roman"/>
        </w:rPr>
        <w:t xml:space="preserve">. If the survivor provided documentation of survivor status (e.g., the </w:t>
      </w:r>
      <w:r w:rsidRPr="00ED208F">
        <w:rPr>
          <w:rFonts w:cs="Times New Roman"/>
          <w:b/>
          <w:color w:val="9B83BF"/>
        </w:rPr>
        <w:t>VAWA Certification Form</w:t>
      </w:r>
      <w:r>
        <w:rPr>
          <w:rFonts w:cs="Times New Roman"/>
        </w:rPr>
        <w:t xml:space="preserve">), the Project Sponsor must maintain a record of the documentation. If the survivor requested an emergency transfer, the Project Sponsor must maintain a record of the request (e.g., the </w:t>
      </w:r>
      <w:r w:rsidRPr="00ED208F">
        <w:rPr>
          <w:rFonts w:cs="Times New Roman"/>
          <w:b/>
          <w:color w:val="9B83BF"/>
        </w:rPr>
        <w:t>VAWA Emergency Transfer Form</w:t>
      </w:r>
      <w:r w:rsidRPr="00ED208F">
        <w:rPr>
          <w:rFonts w:cs="Times New Roman"/>
        </w:rPr>
        <w:t>)</w:t>
      </w:r>
      <w:r>
        <w:rPr>
          <w:rFonts w:cs="Times New Roman"/>
          <w:b/>
        </w:rPr>
        <w:t>.</w:t>
      </w:r>
    </w:p>
    <w:tbl>
      <w:tblPr>
        <w:tblStyle w:val="TableGrid"/>
        <w:tblW w:w="5000" w:type="pct"/>
        <w:jc w:val="righ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790"/>
      </w:tblGrid>
      <w:tr w:rsidR="00893879" w:rsidRPr="00893879" w14:paraId="48A27B7B" w14:textId="77777777" w:rsidTr="00066B7E">
        <w:trPr>
          <w:trHeight w:val="20"/>
          <w:jc w:val="right"/>
        </w:trPr>
        <w:tc>
          <w:tcPr>
            <w:tcW w:w="5000" w:type="pct"/>
            <w:tcBorders>
              <w:bottom w:val="single" w:sz="4" w:space="0" w:color="FFFFFF" w:themeColor="background1"/>
            </w:tcBorders>
            <w:shd w:val="clear" w:color="auto" w:fill="9CC2E5" w:themeFill="accent1" w:themeFillTint="99"/>
          </w:tcPr>
          <w:p w14:paraId="7D51DD44" w14:textId="77777777" w:rsidR="00893879" w:rsidRPr="00893879" w:rsidRDefault="00893879" w:rsidP="00214D0E">
            <w:pPr>
              <w:rPr>
                <w:rFonts w:cs="Times New Roman"/>
                <w:b/>
              </w:rPr>
            </w:pPr>
            <w:r w:rsidRPr="00893879">
              <w:rPr>
                <w:rFonts w:cs="Times New Roman"/>
                <w:b/>
              </w:rPr>
              <w:t>Supporting Documentation</w:t>
            </w:r>
          </w:p>
        </w:tc>
      </w:tr>
      <w:tr w:rsidR="001B3F6A" w:rsidRPr="00893879" w14:paraId="4837D7DA" w14:textId="77777777" w:rsidTr="00066B7E">
        <w:trPr>
          <w:trHeight w:val="20"/>
          <w:jc w:val="right"/>
        </w:trPr>
        <w:tc>
          <w:tcPr>
            <w:tcW w:w="5000" w:type="pct"/>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tcPr>
          <w:p w14:paraId="50117164" w14:textId="77777777" w:rsidR="001B3F6A" w:rsidRPr="00893879" w:rsidRDefault="001B3F6A" w:rsidP="00214D0E">
            <w:pPr>
              <w:rPr>
                <w:rFonts w:cs="Times New Roman"/>
              </w:rPr>
            </w:pPr>
            <w:r w:rsidRPr="00893879">
              <w:rPr>
                <w:rFonts w:cs="Times New Roman"/>
              </w:rPr>
              <w:t>Check Request Vouchers</w:t>
            </w:r>
          </w:p>
        </w:tc>
      </w:tr>
      <w:tr w:rsidR="001B3F6A" w:rsidRPr="00893879" w14:paraId="2C5C0916" w14:textId="77777777" w:rsidTr="00066B7E">
        <w:trPr>
          <w:trHeight w:val="20"/>
          <w:jc w:val="right"/>
        </w:trPr>
        <w:tc>
          <w:tcPr>
            <w:tcW w:w="5000" w:type="pct"/>
            <w:tcBorders>
              <w:top w:val="nil"/>
              <w:left w:val="single" w:sz="4" w:space="0" w:color="FFFFFF" w:themeColor="background1"/>
              <w:bottom w:val="nil"/>
              <w:right w:val="single" w:sz="4" w:space="0" w:color="FFFFFF" w:themeColor="background1"/>
            </w:tcBorders>
            <w:shd w:val="clear" w:color="auto" w:fill="DEEAF6" w:themeFill="accent1" w:themeFillTint="33"/>
          </w:tcPr>
          <w:p w14:paraId="372BF4D3" w14:textId="720223A5" w:rsidR="001B3F6A" w:rsidRPr="00893879" w:rsidRDefault="00C92BCC" w:rsidP="00214D0E">
            <w:pPr>
              <w:rPr>
                <w:rFonts w:cs="Times New Roman"/>
              </w:rPr>
            </w:pPr>
            <w:r w:rsidRPr="00C92BCC">
              <w:rPr>
                <w:rFonts w:cs="Times New Roman"/>
              </w:rPr>
              <w:t xml:space="preserve">Leases, mortgages, utility bills, ledgers, etc. paid for </w:t>
            </w:r>
            <w:r w:rsidRPr="000B43DF">
              <w:rPr>
                <w:rFonts w:cs="Times New Roman"/>
                <w:i/>
              </w:rPr>
              <w:t>(</w:t>
            </w:r>
            <w:r w:rsidR="00347AB0">
              <w:rPr>
                <w:rFonts w:cs="Times New Roman"/>
                <w:i/>
              </w:rPr>
              <w:t>this d</w:t>
            </w:r>
            <w:r w:rsidRPr="000B43DF">
              <w:rPr>
                <w:rFonts w:cs="Times New Roman"/>
                <w:i/>
              </w:rPr>
              <w:t>ocumentation must be current and predate service dates)</w:t>
            </w:r>
          </w:p>
        </w:tc>
      </w:tr>
      <w:tr w:rsidR="001B3F6A" w:rsidRPr="00893879" w14:paraId="51045EFF" w14:textId="77777777" w:rsidTr="00066B7E">
        <w:trPr>
          <w:trHeight w:val="20"/>
          <w:jc w:val="right"/>
        </w:trPr>
        <w:tc>
          <w:tcPr>
            <w:tcW w:w="5000" w:type="pct"/>
            <w:tcBorders>
              <w:top w:val="nil"/>
              <w:left w:val="single" w:sz="4" w:space="0" w:color="FFFFFF" w:themeColor="background1"/>
              <w:bottom w:val="nil"/>
              <w:right w:val="single" w:sz="4" w:space="0" w:color="FFFFFF" w:themeColor="background1"/>
            </w:tcBorders>
            <w:shd w:val="clear" w:color="auto" w:fill="DEEAF6" w:themeFill="accent1" w:themeFillTint="33"/>
          </w:tcPr>
          <w:p w14:paraId="37E1158C" w14:textId="509DD3EB" w:rsidR="001B3F6A" w:rsidRPr="00893879" w:rsidRDefault="00820F72" w:rsidP="00214D0E">
            <w:pPr>
              <w:rPr>
                <w:rFonts w:cs="Times New Roman"/>
              </w:rPr>
            </w:pPr>
            <w:r>
              <w:rPr>
                <w:rFonts w:cs="Times New Roman"/>
              </w:rPr>
              <w:t>Owner</w:t>
            </w:r>
            <w:r w:rsidRPr="00893879">
              <w:rPr>
                <w:rFonts w:cs="Times New Roman"/>
              </w:rPr>
              <w:t xml:space="preserve"> </w:t>
            </w:r>
            <w:r w:rsidR="001B3F6A" w:rsidRPr="00893879">
              <w:rPr>
                <w:rFonts w:cs="Times New Roman"/>
              </w:rPr>
              <w:t>IRS Form W-9(s)</w:t>
            </w:r>
          </w:p>
        </w:tc>
      </w:tr>
      <w:tr w:rsidR="00E50552" w:rsidRPr="00893879" w14:paraId="07DD9AC0" w14:textId="77777777" w:rsidTr="00066B7E">
        <w:trPr>
          <w:trHeight w:val="20"/>
          <w:jc w:val="right"/>
        </w:trPr>
        <w:tc>
          <w:tcPr>
            <w:tcW w:w="5000" w:type="pct"/>
            <w:tcBorders>
              <w:top w:val="nil"/>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tcPr>
          <w:p w14:paraId="43EA2015" w14:textId="571E77BC" w:rsidR="00E50552" w:rsidRPr="00893879" w:rsidRDefault="00E50552" w:rsidP="00214D0E">
            <w:pPr>
              <w:rPr>
                <w:rFonts w:cs="Times New Roman"/>
              </w:rPr>
            </w:pPr>
            <w:r w:rsidRPr="00E50552">
              <w:rPr>
                <w:rFonts w:cs="Times New Roman"/>
              </w:rPr>
              <w:t xml:space="preserve">VAWA Written Request for Documentation, Documentation, and/or Emergency Transfer Form </w:t>
            </w:r>
            <w:r w:rsidRPr="00ED208F">
              <w:rPr>
                <w:rFonts w:cs="Times New Roman"/>
                <w:i/>
              </w:rPr>
              <w:t>(</w:t>
            </w:r>
            <w:r w:rsidR="00347AB0">
              <w:rPr>
                <w:rFonts w:cs="Times New Roman"/>
                <w:i/>
              </w:rPr>
              <w:t>i</w:t>
            </w:r>
            <w:r w:rsidRPr="00ED208F">
              <w:rPr>
                <w:rFonts w:cs="Times New Roman"/>
                <w:i/>
              </w:rPr>
              <w:t>f applicable)</w:t>
            </w:r>
          </w:p>
        </w:tc>
      </w:tr>
    </w:tbl>
    <w:p w14:paraId="21C40CD9" w14:textId="77777777" w:rsidR="002A566B" w:rsidRDefault="002A566B" w:rsidP="002A61C8">
      <w:pPr>
        <w:pStyle w:val="NoSpacing"/>
      </w:pPr>
    </w:p>
    <w:p w14:paraId="3EEE212D" w14:textId="6D88B7BF" w:rsidR="006A2577" w:rsidRPr="00E66D65" w:rsidRDefault="00636B06" w:rsidP="00B109D9">
      <w:pPr>
        <w:pStyle w:val="Heading1"/>
      </w:pPr>
      <w:bookmarkStart w:id="52" w:name="_Toc140755479"/>
      <w:r>
        <w:t>Section 1</w:t>
      </w:r>
      <w:r w:rsidR="00332D31">
        <w:t>6</w:t>
      </w:r>
      <w:r w:rsidR="00BD79BB">
        <w:t xml:space="preserve">. </w:t>
      </w:r>
      <w:r w:rsidR="006A2577" w:rsidRPr="00E66D65">
        <w:t>Termination</w:t>
      </w:r>
      <w:bookmarkEnd w:id="52"/>
    </w:p>
    <w:p w14:paraId="7A1A5FD7" w14:textId="2FB80B95" w:rsidR="009E711F" w:rsidRDefault="009E711F" w:rsidP="00F24BC0">
      <w:pPr>
        <w:pStyle w:val="NoSpacing"/>
        <w:rPr>
          <w:rFonts w:cs="Times New Roman"/>
        </w:rPr>
      </w:pPr>
      <w:r>
        <w:rPr>
          <w:rFonts w:cs="Times New Roman"/>
        </w:rPr>
        <w:t xml:space="preserve">Project Sponsors complete </w:t>
      </w:r>
      <w:r w:rsidRPr="006A2577">
        <w:rPr>
          <w:rFonts w:cs="Times New Roman"/>
          <w:b/>
          <w:color w:val="5B9BD5" w:themeColor="accent1"/>
        </w:rPr>
        <w:t xml:space="preserve">Form P: Service Outcome Assessment and Program </w:t>
      </w:r>
      <w:r w:rsidR="00E76C1D">
        <w:rPr>
          <w:rFonts w:cs="Times New Roman"/>
          <w:b/>
          <w:color w:val="5B9BD5" w:themeColor="accent1"/>
        </w:rPr>
        <w:t>Disenrollment</w:t>
      </w:r>
      <w:r w:rsidR="00E76C1D" w:rsidRPr="006A2577">
        <w:rPr>
          <w:rFonts w:cs="Times New Roman"/>
          <w:b/>
          <w:color w:val="5B9BD5" w:themeColor="accent1"/>
        </w:rPr>
        <w:t xml:space="preserve"> </w:t>
      </w:r>
      <w:r w:rsidRPr="006A2577">
        <w:rPr>
          <w:rFonts w:cs="Times New Roman"/>
          <w:b/>
          <w:color w:val="5B9BD5" w:themeColor="accent1"/>
        </w:rPr>
        <w:t>Workshee</w:t>
      </w:r>
      <w:r>
        <w:rPr>
          <w:rFonts w:cs="Times New Roman"/>
          <w:b/>
          <w:color w:val="5B9BD5" w:themeColor="accent1"/>
        </w:rPr>
        <w:t>t</w:t>
      </w:r>
      <w:r w:rsidR="00BA1A9F" w:rsidRPr="00BA1A9F">
        <w:rPr>
          <w:rFonts w:cs="Times New Roman"/>
        </w:rPr>
        <w:t xml:space="preserve"> </w:t>
      </w:r>
      <w:r w:rsidR="00BA1A9F">
        <w:rPr>
          <w:rFonts w:cs="Times New Roman"/>
        </w:rPr>
        <w:t>when terminating an assisted household from the program</w:t>
      </w:r>
      <w:r>
        <w:rPr>
          <w:rFonts w:cs="Times New Roman"/>
        </w:rPr>
        <w:t>. Potential reasons for termination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5670"/>
        <w:gridCol w:w="1800"/>
      </w:tblGrid>
      <w:tr w:rsidR="00A4304B" w14:paraId="0AB1837D" w14:textId="7DDF3B27" w:rsidTr="000F6754">
        <w:trPr>
          <w:trHeight w:val="20"/>
        </w:trPr>
        <w:tc>
          <w:tcPr>
            <w:tcW w:w="3330" w:type="dxa"/>
          </w:tcPr>
          <w:p w14:paraId="46367B03" w14:textId="77777777" w:rsidR="00A4304B" w:rsidRDefault="00A4304B" w:rsidP="009C31A9">
            <w:pPr>
              <w:pStyle w:val="NoSpacing"/>
              <w:numPr>
                <w:ilvl w:val="0"/>
                <w:numId w:val="11"/>
              </w:numPr>
              <w:ind w:left="360"/>
              <w:rPr>
                <w:rFonts w:cs="Times New Roman"/>
              </w:rPr>
            </w:pPr>
            <w:r>
              <w:rPr>
                <w:rFonts w:cs="Times New Roman"/>
              </w:rPr>
              <w:t>Completed program</w:t>
            </w:r>
          </w:p>
          <w:p w14:paraId="3319F0FE" w14:textId="77777777" w:rsidR="00A4304B" w:rsidRDefault="00A4304B" w:rsidP="009C31A9">
            <w:pPr>
              <w:pStyle w:val="NoSpacing"/>
              <w:numPr>
                <w:ilvl w:val="0"/>
                <w:numId w:val="11"/>
              </w:numPr>
              <w:ind w:left="360"/>
              <w:rPr>
                <w:rFonts w:cs="Times New Roman"/>
              </w:rPr>
            </w:pPr>
            <w:r>
              <w:rPr>
                <w:rFonts w:cs="Times New Roman"/>
              </w:rPr>
              <w:t>Needs could not be met</w:t>
            </w:r>
          </w:p>
          <w:p w14:paraId="053EFE05" w14:textId="5C555AB1" w:rsidR="00A4304B" w:rsidRDefault="00A4304B" w:rsidP="009C31A9">
            <w:pPr>
              <w:pStyle w:val="NoSpacing"/>
              <w:numPr>
                <w:ilvl w:val="0"/>
                <w:numId w:val="11"/>
              </w:numPr>
              <w:ind w:left="360"/>
              <w:rPr>
                <w:rFonts w:cs="Times New Roman"/>
              </w:rPr>
            </w:pPr>
            <w:r>
              <w:rPr>
                <w:rFonts w:cs="Times New Roman"/>
              </w:rPr>
              <w:t>Criminal activity/Violence</w:t>
            </w:r>
          </w:p>
          <w:p w14:paraId="5A17A495" w14:textId="55BDA9AB" w:rsidR="00A4304B" w:rsidRPr="000F6754" w:rsidRDefault="00A4304B" w:rsidP="000F6754">
            <w:pPr>
              <w:pStyle w:val="NoSpacing"/>
              <w:numPr>
                <w:ilvl w:val="0"/>
                <w:numId w:val="11"/>
              </w:numPr>
              <w:ind w:left="360"/>
              <w:rPr>
                <w:rFonts w:cs="Times New Roman"/>
              </w:rPr>
            </w:pPr>
            <w:r>
              <w:rPr>
                <w:rFonts w:cs="Times New Roman"/>
              </w:rPr>
              <w:t>Non-compliance with program</w:t>
            </w:r>
          </w:p>
        </w:tc>
        <w:tc>
          <w:tcPr>
            <w:tcW w:w="5670" w:type="dxa"/>
          </w:tcPr>
          <w:p w14:paraId="7D246828" w14:textId="77777777" w:rsidR="00A4304B" w:rsidRDefault="00A4304B" w:rsidP="009C31A9">
            <w:pPr>
              <w:pStyle w:val="NoSpacing"/>
              <w:numPr>
                <w:ilvl w:val="0"/>
                <w:numId w:val="11"/>
              </w:numPr>
              <w:ind w:left="360"/>
              <w:rPr>
                <w:rFonts w:cs="Times New Roman"/>
              </w:rPr>
            </w:pPr>
            <w:r>
              <w:rPr>
                <w:rFonts w:cs="Times New Roman"/>
              </w:rPr>
              <w:t>Disagreement with rules/persons</w:t>
            </w:r>
          </w:p>
          <w:p w14:paraId="78BCCE00" w14:textId="77777777" w:rsidR="00A4304B" w:rsidRDefault="00A4304B" w:rsidP="009C31A9">
            <w:pPr>
              <w:pStyle w:val="NoSpacing"/>
              <w:numPr>
                <w:ilvl w:val="0"/>
                <w:numId w:val="11"/>
              </w:numPr>
              <w:ind w:left="360"/>
              <w:rPr>
                <w:rFonts w:cs="Times New Roman"/>
              </w:rPr>
            </w:pPr>
            <w:r>
              <w:rPr>
                <w:rFonts w:cs="Times New Roman"/>
              </w:rPr>
              <w:t>Left for housing opportunity before completing program</w:t>
            </w:r>
          </w:p>
          <w:p w14:paraId="7E37BF6C" w14:textId="77777777" w:rsidR="00A4304B" w:rsidRDefault="00A4304B" w:rsidP="009C31A9">
            <w:pPr>
              <w:pStyle w:val="NoSpacing"/>
              <w:numPr>
                <w:ilvl w:val="0"/>
                <w:numId w:val="11"/>
              </w:numPr>
              <w:ind w:left="360"/>
              <w:rPr>
                <w:rFonts w:cs="Times New Roman"/>
              </w:rPr>
            </w:pPr>
            <w:r>
              <w:rPr>
                <w:rFonts w:cs="Times New Roman"/>
              </w:rPr>
              <w:t>Reached maximum time allowed</w:t>
            </w:r>
          </w:p>
          <w:p w14:paraId="166DBB27" w14:textId="2ABFAE03" w:rsidR="00A4304B" w:rsidRPr="000F6754" w:rsidRDefault="00A4304B" w:rsidP="000F6754">
            <w:pPr>
              <w:pStyle w:val="NoSpacing"/>
              <w:numPr>
                <w:ilvl w:val="0"/>
                <w:numId w:val="11"/>
              </w:numPr>
              <w:ind w:left="360"/>
              <w:rPr>
                <w:rFonts w:cs="Times New Roman"/>
              </w:rPr>
            </w:pPr>
            <w:r>
              <w:rPr>
                <w:rFonts w:cs="Times New Roman"/>
              </w:rPr>
              <w:t>Unknown/Disappeared</w:t>
            </w:r>
          </w:p>
        </w:tc>
        <w:tc>
          <w:tcPr>
            <w:tcW w:w="1800" w:type="dxa"/>
          </w:tcPr>
          <w:p w14:paraId="4CE2D5F9" w14:textId="77777777" w:rsidR="00A4304B" w:rsidRDefault="000F6754" w:rsidP="009C31A9">
            <w:pPr>
              <w:pStyle w:val="NoSpacing"/>
              <w:numPr>
                <w:ilvl w:val="0"/>
                <w:numId w:val="11"/>
              </w:numPr>
              <w:ind w:left="360"/>
              <w:rPr>
                <w:rFonts w:cs="Times New Roman"/>
              </w:rPr>
            </w:pPr>
            <w:r>
              <w:rPr>
                <w:rFonts w:cs="Times New Roman"/>
              </w:rPr>
              <w:t>Death</w:t>
            </w:r>
          </w:p>
          <w:p w14:paraId="77ED4A97" w14:textId="4133F2F8" w:rsidR="000F6754" w:rsidRDefault="000F6754" w:rsidP="009C31A9">
            <w:pPr>
              <w:pStyle w:val="NoSpacing"/>
              <w:numPr>
                <w:ilvl w:val="0"/>
                <w:numId w:val="11"/>
              </w:numPr>
              <w:ind w:left="360"/>
              <w:rPr>
                <w:rFonts w:cs="Times New Roman"/>
              </w:rPr>
            </w:pPr>
            <w:r>
              <w:rPr>
                <w:rFonts w:cs="Times New Roman"/>
              </w:rPr>
              <w:t>Other</w:t>
            </w:r>
          </w:p>
        </w:tc>
      </w:tr>
    </w:tbl>
    <w:p w14:paraId="52E355F7" w14:textId="77777777" w:rsidR="00E65585" w:rsidRDefault="00E65585" w:rsidP="00F24BC0">
      <w:pPr>
        <w:pStyle w:val="NoSpacing"/>
        <w:rPr>
          <w:rFonts w:cs="Times New Roman"/>
        </w:rPr>
      </w:pPr>
    </w:p>
    <w:p w14:paraId="76B655CB" w14:textId="03775563" w:rsidR="00520004" w:rsidRPr="00520004" w:rsidRDefault="00520004" w:rsidP="00F24BC0">
      <w:pPr>
        <w:pStyle w:val="NoSpacing"/>
        <w:rPr>
          <w:rFonts w:cs="Times New Roman"/>
        </w:rPr>
      </w:pPr>
      <w:r>
        <w:rPr>
          <w:rFonts w:cs="Times New Roman"/>
        </w:rPr>
        <w:t xml:space="preserve">Per 24 CFR </w:t>
      </w:r>
      <w:r w:rsidRPr="00520004">
        <w:rPr>
          <w:rFonts w:cs="Times New Roman"/>
        </w:rPr>
        <w:t>§</w:t>
      </w:r>
      <w:r>
        <w:rPr>
          <w:rFonts w:cs="Times New Roman"/>
        </w:rPr>
        <w:t>574.310(2), “</w:t>
      </w:r>
      <w:r w:rsidRPr="00520004">
        <w:rPr>
          <w:rFonts w:cs="Times New Roman"/>
        </w:rPr>
        <w:t>Violation of requirements</w:t>
      </w:r>
      <w:r>
        <w:rPr>
          <w:rFonts w:cs="Times New Roman"/>
        </w:rPr>
        <w:t xml:space="preserve">,” households may </w:t>
      </w:r>
      <w:r w:rsidR="00BA1A9F">
        <w:rPr>
          <w:rFonts w:cs="Times New Roman"/>
        </w:rPr>
        <w:t>face termination</w:t>
      </w:r>
      <w:r>
        <w:rPr>
          <w:rFonts w:cs="Times New Roman"/>
        </w:rPr>
        <w:t xml:space="preserve"> from the program if they violate </w:t>
      </w:r>
      <w:r w:rsidRPr="00520004">
        <w:rPr>
          <w:rFonts w:cs="Times New Roman"/>
        </w:rPr>
        <w:t>program requirements or conditions of occupancy</w:t>
      </w:r>
      <w:r w:rsidR="00E5683E">
        <w:rPr>
          <w:rFonts w:cs="Times New Roman"/>
        </w:rPr>
        <w:t xml:space="preserve"> (e.g., non-compliance with conditions of occupancy, fraud, etc.)</w:t>
      </w:r>
      <w:r w:rsidRPr="00520004">
        <w:rPr>
          <w:rFonts w:cs="Times New Roman"/>
        </w:rPr>
        <w:t xml:space="preserve">. </w:t>
      </w:r>
      <w:r>
        <w:rPr>
          <w:rFonts w:cs="Times New Roman"/>
        </w:rPr>
        <w:t>Project Sponsors</w:t>
      </w:r>
      <w:r w:rsidRPr="00520004">
        <w:rPr>
          <w:rFonts w:cs="Times New Roman"/>
        </w:rPr>
        <w:t xml:space="preserve"> </w:t>
      </w:r>
      <w:r w:rsidR="00BA1A9F">
        <w:rPr>
          <w:rFonts w:cs="Times New Roman"/>
        </w:rPr>
        <w:t xml:space="preserve">provide </w:t>
      </w:r>
      <w:r w:rsidR="00D77584">
        <w:rPr>
          <w:rFonts w:cs="Times New Roman"/>
        </w:rPr>
        <w:t>s</w:t>
      </w:r>
      <w:r>
        <w:rPr>
          <w:rFonts w:cs="Times New Roman"/>
        </w:rPr>
        <w:t xml:space="preserve">upportive </w:t>
      </w:r>
      <w:r w:rsidR="00D77584">
        <w:rPr>
          <w:rFonts w:cs="Times New Roman"/>
        </w:rPr>
        <w:t>s</w:t>
      </w:r>
      <w:r w:rsidRPr="00520004">
        <w:rPr>
          <w:rFonts w:cs="Times New Roman"/>
        </w:rPr>
        <w:t xml:space="preserve">ervices </w:t>
      </w:r>
      <w:r w:rsidR="00BA1A9F">
        <w:rPr>
          <w:rFonts w:cs="Times New Roman"/>
        </w:rPr>
        <w:t xml:space="preserve">to prevent termination and reserve termination for </w:t>
      </w:r>
      <w:r w:rsidRPr="00520004">
        <w:rPr>
          <w:rFonts w:cs="Times New Roman"/>
        </w:rPr>
        <w:t>only</w:t>
      </w:r>
      <w:r w:rsidR="00BA1A9F">
        <w:rPr>
          <w:rFonts w:cs="Times New Roman"/>
        </w:rPr>
        <w:t xml:space="preserve"> </w:t>
      </w:r>
      <w:r w:rsidRPr="00520004">
        <w:rPr>
          <w:rFonts w:cs="Times New Roman"/>
        </w:rPr>
        <w:t>the most severe cases.</w:t>
      </w:r>
      <w:r>
        <w:rPr>
          <w:rFonts w:cs="Times New Roman"/>
        </w:rPr>
        <w:t xml:space="preserve"> </w:t>
      </w:r>
      <w:r w:rsidRPr="00E66D65">
        <w:rPr>
          <w:rFonts w:cs="Times New Roman"/>
        </w:rPr>
        <w:t xml:space="preserve">Project Sponsors must collaborate with </w:t>
      </w:r>
      <w:r w:rsidR="00570DA0">
        <w:rPr>
          <w:rFonts w:cs="Times New Roman"/>
        </w:rPr>
        <w:t>their AA</w:t>
      </w:r>
      <w:r w:rsidRPr="00E66D65">
        <w:rPr>
          <w:rFonts w:cs="Times New Roman"/>
        </w:rPr>
        <w:t xml:space="preserve"> to develop a </w:t>
      </w:r>
      <w:r>
        <w:rPr>
          <w:rFonts w:cs="Times New Roman"/>
        </w:rPr>
        <w:t>local termination</w:t>
      </w:r>
      <w:r w:rsidRPr="00E66D65">
        <w:rPr>
          <w:rFonts w:cs="Times New Roman"/>
        </w:rPr>
        <w:t xml:space="preserve"> policy</w:t>
      </w:r>
      <w:r>
        <w:rPr>
          <w:rFonts w:cs="Times New Roman"/>
        </w:rPr>
        <w:t xml:space="preserve">. Project Sponsors must document </w:t>
      </w:r>
      <w:r w:rsidR="00BA1A9F">
        <w:rPr>
          <w:rFonts w:cs="Times New Roman"/>
        </w:rPr>
        <w:t xml:space="preserve">that they offered and provided supportive services </w:t>
      </w:r>
      <w:r>
        <w:rPr>
          <w:rFonts w:cs="Times New Roman"/>
        </w:rPr>
        <w:t xml:space="preserve">in the household’s </w:t>
      </w:r>
      <w:r w:rsidR="002228D2">
        <w:rPr>
          <w:rFonts w:cs="Times New Roman"/>
        </w:rPr>
        <w:t>record</w:t>
      </w:r>
      <w:r w:rsidR="00BA1A9F">
        <w:rPr>
          <w:rFonts w:cs="Times New Roman"/>
        </w:rPr>
        <w:t>.</w:t>
      </w:r>
    </w:p>
    <w:p w14:paraId="4C064DEC" w14:textId="77777777" w:rsidR="00520004" w:rsidRPr="00520004" w:rsidRDefault="00520004" w:rsidP="0026600E">
      <w:pPr>
        <w:pStyle w:val="NoSpacing"/>
        <w:rPr>
          <w:rFonts w:cs="Times New Roman"/>
        </w:rPr>
      </w:pPr>
    </w:p>
    <w:p w14:paraId="4EE6E09D" w14:textId="23BC1259" w:rsidR="006A2577" w:rsidRDefault="00520004" w:rsidP="00F24BC0">
      <w:pPr>
        <w:pStyle w:val="NoSpacing"/>
        <w:rPr>
          <w:rFonts w:cs="Times New Roman"/>
        </w:rPr>
      </w:pPr>
      <w:r w:rsidRPr="00520004">
        <w:rPr>
          <w:rFonts w:cs="Times New Roman"/>
        </w:rPr>
        <w:t xml:space="preserve">In terminating assistance to any </w:t>
      </w:r>
      <w:r w:rsidR="00F618D8">
        <w:rPr>
          <w:rFonts w:cs="Times New Roman"/>
        </w:rPr>
        <w:t>household</w:t>
      </w:r>
      <w:r w:rsidRPr="00520004">
        <w:rPr>
          <w:rFonts w:cs="Times New Roman"/>
        </w:rPr>
        <w:t xml:space="preserve"> for </w:t>
      </w:r>
      <w:r w:rsidR="008C29AF">
        <w:rPr>
          <w:rFonts w:cs="Times New Roman"/>
        </w:rPr>
        <w:t xml:space="preserve">a </w:t>
      </w:r>
      <w:r w:rsidRPr="00520004">
        <w:rPr>
          <w:rFonts w:cs="Times New Roman"/>
        </w:rPr>
        <w:t xml:space="preserve">violation of </w:t>
      </w:r>
      <w:r w:rsidR="008C29AF">
        <w:rPr>
          <w:rFonts w:cs="Times New Roman"/>
        </w:rPr>
        <w:t xml:space="preserve">program </w:t>
      </w:r>
      <w:r w:rsidRPr="00520004">
        <w:rPr>
          <w:rFonts w:cs="Times New Roman"/>
        </w:rPr>
        <w:t xml:space="preserve">requirements, </w:t>
      </w:r>
      <w:r w:rsidR="00F618D8">
        <w:rPr>
          <w:rFonts w:cs="Times New Roman"/>
        </w:rPr>
        <w:t>Project Sponsors</w:t>
      </w:r>
      <w:r w:rsidRPr="00520004">
        <w:rPr>
          <w:rFonts w:cs="Times New Roman"/>
        </w:rPr>
        <w:t xml:space="preserve"> must provide a formal process that recognizes the rights of </w:t>
      </w:r>
      <w:r w:rsidR="00F618D8">
        <w:rPr>
          <w:rFonts w:cs="Times New Roman"/>
        </w:rPr>
        <w:t>households</w:t>
      </w:r>
      <w:r w:rsidRPr="00520004">
        <w:rPr>
          <w:rFonts w:cs="Times New Roman"/>
        </w:rPr>
        <w:t xml:space="preserve"> receiving assistance to due process of law. </w:t>
      </w:r>
      <w:r w:rsidR="005216FA">
        <w:rPr>
          <w:rFonts w:cs="Times New Roman"/>
        </w:rPr>
        <w:t>This</w:t>
      </w:r>
      <w:r w:rsidRPr="00520004">
        <w:rPr>
          <w:rFonts w:cs="Times New Roman"/>
        </w:rPr>
        <w:t xml:space="preserve"> must consist of:</w:t>
      </w:r>
    </w:p>
    <w:p w14:paraId="5821ED6A" w14:textId="3A124390" w:rsidR="006A2577" w:rsidRDefault="00E5683E" w:rsidP="00754E9B">
      <w:pPr>
        <w:pStyle w:val="NoSpacing"/>
        <w:numPr>
          <w:ilvl w:val="2"/>
          <w:numId w:val="38"/>
        </w:numPr>
        <w:ind w:left="360"/>
        <w:rPr>
          <w:rFonts w:cs="Times New Roman"/>
        </w:rPr>
      </w:pPr>
      <w:r w:rsidRPr="00520004">
        <w:rPr>
          <w:rFonts w:cs="Times New Roman"/>
        </w:rPr>
        <w:t xml:space="preserve">Serving the </w:t>
      </w:r>
      <w:r>
        <w:rPr>
          <w:rFonts w:cs="Times New Roman"/>
        </w:rPr>
        <w:t>household</w:t>
      </w:r>
      <w:r w:rsidRPr="00520004">
        <w:rPr>
          <w:rFonts w:cs="Times New Roman"/>
        </w:rPr>
        <w:t xml:space="preserve"> with a written notice containing a clear statement of the reasons for termination</w:t>
      </w:r>
      <w:r>
        <w:rPr>
          <w:rFonts w:cs="Times New Roman"/>
        </w:rPr>
        <w:t>;</w:t>
      </w:r>
    </w:p>
    <w:p w14:paraId="4191CB7B" w14:textId="14135F0E" w:rsidR="006A2577" w:rsidRDefault="00E5683E" w:rsidP="00754E9B">
      <w:pPr>
        <w:pStyle w:val="NoSpacing"/>
        <w:numPr>
          <w:ilvl w:val="2"/>
          <w:numId w:val="38"/>
        </w:numPr>
        <w:ind w:left="360"/>
        <w:rPr>
          <w:rFonts w:cs="Times New Roman"/>
        </w:rPr>
      </w:pPr>
      <w:r w:rsidRPr="00520004">
        <w:rPr>
          <w:rFonts w:cs="Times New Roman"/>
        </w:rPr>
        <w:t xml:space="preserve">Permitting the </w:t>
      </w:r>
      <w:r>
        <w:rPr>
          <w:rFonts w:cs="Times New Roman"/>
        </w:rPr>
        <w:t>household</w:t>
      </w:r>
      <w:r w:rsidRPr="00520004">
        <w:rPr>
          <w:rFonts w:cs="Times New Roman"/>
        </w:rPr>
        <w:t xml:space="preserve"> to have a review of the decision, in which the participant </w:t>
      </w:r>
      <w:r w:rsidR="00ED2C0E">
        <w:rPr>
          <w:rFonts w:cs="Times New Roman"/>
        </w:rPr>
        <w:t>has an</w:t>
      </w:r>
      <w:r w:rsidRPr="00520004">
        <w:rPr>
          <w:rFonts w:cs="Times New Roman"/>
        </w:rPr>
        <w:t xml:space="preserve"> opportunity to confront opposing witnesses, present written objections, and be represented by their own counsel, before a person other than the person (or a subordinate of that person) who made or approved the termination decision; and</w:t>
      </w:r>
    </w:p>
    <w:p w14:paraId="37D7617A" w14:textId="0F573E30" w:rsidR="00E5683E" w:rsidRDefault="00E5683E" w:rsidP="00754E9B">
      <w:pPr>
        <w:pStyle w:val="NoSpacing"/>
        <w:numPr>
          <w:ilvl w:val="2"/>
          <w:numId w:val="38"/>
        </w:numPr>
        <w:ind w:left="360"/>
        <w:rPr>
          <w:rFonts w:cs="Times New Roman"/>
        </w:rPr>
      </w:pPr>
      <w:r w:rsidRPr="00520004">
        <w:rPr>
          <w:rFonts w:cs="Times New Roman"/>
        </w:rPr>
        <w:t xml:space="preserve">Providing prompt written notification of the final decision to the </w:t>
      </w:r>
      <w:r>
        <w:rPr>
          <w:rFonts w:cs="Times New Roman"/>
        </w:rPr>
        <w:t>household.</w:t>
      </w:r>
    </w:p>
    <w:p w14:paraId="3F119146" w14:textId="03D243E2" w:rsidR="00C30138" w:rsidRDefault="00C30138" w:rsidP="00066B7E">
      <w:pPr>
        <w:pStyle w:val="NoSpacing"/>
      </w:pPr>
    </w:p>
    <w:p w14:paraId="5A8D9E92" w14:textId="095A3021" w:rsidR="00DA1EAC" w:rsidRPr="00E66D65" w:rsidRDefault="00DA1EAC" w:rsidP="00DA1EAC">
      <w:pPr>
        <w:pStyle w:val="Heading1"/>
      </w:pPr>
      <w:bookmarkStart w:id="53" w:name="_Toc140755480"/>
      <w:r>
        <w:lastRenderedPageBreak/>
        <w:t xml:space="preserve">Section 17. </w:t>
      </w:r>
      <w:r w:rsidRPr="00DA1EAC">
        <w:t>Reasonable Absences from Assisted Housing</w:t>
      </w:r>
      <w:bookmarkEnd w:id="53"/>
    </w:p>
    <w:p w14:paraId="18471553" w14:textId="0321CBDE" w:rsidR="001F0AFF" w:rsidRDefault="00A00FA4" w:rsidP="00066B7E">
      <w:pPr>
        <w:pStyle w:val="NoSpacing"/>
      </w:pPr>
      <w:r>
        <w:t xml:space="preserve">Per 24 CFR </w:t>
      </w:r>
      <w:r w:rsidRPr="00A00FA4">
        <w:t>§982.312</w:t>
      </w:r>
      <w:r>
        <w:t>, p</w:t>
      </w:r>
      <w:r w:rsidR="00DA1EAC" w:rsidRPr="00DA1EAC">
        <w:t xml:space="preserve">articipant households may be absent from their unit for brief periods. Absence means that no member of the household </w:t>
      </w:r>
      <w:r w:rsidR="00C21CF6">
        <w:t>resides</w:t>
      </w:r>
      <w:r w:rsidR="00DA1EAC" w:rsidRPr="00DA1EAC">
        <w:t xml:space="preserve"> in the unit. Examples of absences include </w:t>
      </w:r>
      <w:r w:rsidR="00DA1EAC">
        <w:t>vacationing</w:t>
      </w:r>
      <w:r w:rsidR="00DA1EAC" w:rsidRPr="00DA1EAC">
        <w:t xml:space="preserve">, hospitalization, </w:t>
      </w:r>
      <w:r w:rsidR="00DA1EAC">
        <w:t>incarcera</w:t>
      </w:r>
      <w:r w:rsidR="00E62888">
        <w:t>tion</w:t>
      </w:r>
      <w:r w:rsidR="00DA1EAC" w:rsidRPr="00DA1EAC">
        <w:t>, enrollment in substance use treatment, entry to hospice/long-term health care</w:t>
      </w:r>
      <w:r w:rsidR="00DA1EAC">
        <w:t>,</w:t>
      </w:r>
      <w:r w:rsidR="00DA1EAC" w:rsidRPr="00DA1EAC">
        <w:t xml:space="preserve"> etc. </w:t>
      </w:r>
      <w:r w:rsidR="001F0AFF" w:rsidRPr="00DA1EAC">
        <w:t>For longer absences, Project Sponsor</w:t>
      </w:r>
      <w:r w:rsidR="001F0AFF">
        <w:t>s</w:t>
      </w:r>
      <w:r w:rsidR="001F0AFF" w:rsidRPr="00DA1EAC">
        <w:t xml:space="preserve"> should establish a policy on how long household</w:t>
      </w:r>
      <w:r w:rsidR="005047A1">
        <w:t>s</w:t>
      </w:r>
      <w:r w:rsidR="001F0AFF" w:rsidRPr="00DA1EAC">
        <w:t xml:space="preserve"> may be absent from the</w:t>
      </w:r>
      <w:r w:rsidR="005047A1">
        <w:t>ir</w:t>
      </w:r>
      <w:r w:rsidR="001F0AFF" w:rsidRPr="00DA1EAC">
        <w:t xml:space="preserve"> assisted unit. </w:t>
      </w:r>
      <w:r w:rsidR="005F1C83">
        <w:t xml:space="preserve">HUD has provided a </w:t>
      </w:r>
      <w:hyperlink r:id="rId107" w:history="1">
        <w:r w:rsidR="005F1C83" w:rsidRPr="005F1C83">
          <w:rPr>
            <w:rStyle w:val="Hyperlink"/>
          </w:rPr>
          <w:t>sample “HOPWA Absence from Unit Policy”</w:t>
        </w:r>
      </w:hyperlink>
      <w:r w:rsidR="005F1C83">
        <w:t xml:space="preserve"> that Project Sponsors may adapt to </w:t>
      </w:r>
      <w:r w:rsidR="0044196A">
        <w:t>meet</w:t>
      </w:r>
      <w:r w:rsidR="005F1C83">
        <w:t xml:space="preserve"> local needs. </w:t>
      </w:r>
      <w:r w:rsidR="00DA1EAC" w:rsidRPr="00DA1EAC">
        <w:t xml:space="preserve">For example, the policy could describe how </w:t>
      </w:r>
      <w:r w:rsidR="005047A1">
        <w:t>a</w:t>
      </w:r>
      <w:r w:rsidR="00DA1EAC" w:rsidRPr="00DA1EAC">
        <w:t xml:space="preserve"> Project Sponsor determines whether or when </w:t>
      </w:r>
      <w:r w:rsidR="005047A1">
        <w:t>a</w:t>
      </w:r>
      <w:r w:rsidR="00DA1EAC" w:rsidRPr="00DA1EAC">
        <w:t xml:space="preserve"> household may be absent, and for how long. The policy could also address resumption of assistance after an absence, including re-enrollment in the program. </w:t>
      </w:r>
      <w:r w:rsidR="001F0AFF">
        <w:t>However</w:t>
      </w:r>
      <w:r w:rsidR="00DA1EAC" w:rsidRPr="00DA1EAC">
        <w:t xml:space="preserve">, </w:t>
      </w:r>
      <w:r w:rsidR="005047A1">
        <w:t>households</w:t>
      </w:r>
      <w:r w:rsidR="00DA1EAC" w:rsidRPr="00DA1EAC">
        <w:t xml:space="preserve"> </w:t>
      </w:r>
      <w:r w:rsidR="00B70170">
        <w:t>cannot</w:t>
      </w:r>
      <w:r w:rsidR="00DA1EAC" w:rsidRPr="00DA1EAC">
        <w:t xml:space="preserve"> be absent from the</w:t>
      </w:r>
      <w:r w:rsidR="005047A1">
        <w:t>ir</w:t>
      </w:r>
      <w:r w:rsidR="00DA1EAC" w:rsidRPr="00DA1EAC">
        <w:t xml:space="preserve"> unit for a period of more than 180 consecutive calendar days in any circumstance or for any reason. At </w:t>
      </w:r>
      <w:r w:rsidR="00DA1EAC">
        <w:t>their</w:t>
      </w:r>
      <w:r w:rsidR="00DA1EAC" w:rsidRPr="00DA1EAC">
        <w:t xml:space="preserve"> discretion, Project Sponsor</w:t>
      </w:r>
      <w:r w:rsidR="00DA1EAC">
        <w:t>s</w:t>
      </w:r>
      <w:r w:rsidR="00DA1EAC" w:rsidRPr="00DA1EAC">
        <w:t xml:space="preserve"> may allow </w:t>
      </w:r>
      <w:r w:rsidR="00DA1EAC">
        <w:t xml:space="preserve">an </w:t>
      </w:r>
      <w:r w:rsidR="00DA1EAC" w:rsidRPr="00DA1EAC">
        <w:t xml:space="preserve">absence for a lesser period in accordance with their policy. If </w:t>
      </w:r>
      <w:r w:rsidR="005047A1">
        <w:t>a</w:t>
      </w:r>
      <w:r w:rsidR="00DA1EAC" w:rsidRPr="00DA1EAC">
        <w:t xml:space="preserve"> participant household</w:t>
      </w:r>
      <w:r w:rsidR="00C21CF6">
        <w:t>’s absence exceeds</w:t>
      </w:r>
      <w:r w:rsidR="00DA1EAC" w:rsidRPr="00DA1EAC">
        <w:t xml:space="preserve"> the period permitted, the Project Sponsor may consider terminating the household from the program per their termination policies and procedures </w:t>
      </w:r>
      <w:r w:rsidR="006F40E1">
        <w:t>(</w:t>
      </w:r>
      <w:r w:rsidR="00DA1EAC" w:rsidRPr="00DA1EAC">
        <w:t xml:space="preserve">see </w:t>
      </w:r>
      <w:r w:rsidR="006F40E1">
        <w:t>S</w:t>
      </w:r>
      <w:r w:rsidR="00DA1EAC" w:rsidRPr="00DA1EAC">
        <w:t>ection 16. Termination).</w:t>
      </w:r>
    </w:p>
    <w:p w14:paraId="63C92629" w14:textId="77777777" w:rsidR="001F0AFF" w:rsidRDefault="001F0AFF" w:rsidP="00066B7E">
      <w:pPr>
        <w:pStyle w:val="NoSpacing"/>
      </w:pPr>
    </w:p>
    <w:p w14:paraId="650E40FD" w14:textId="2C9A05AE" w:rsidR="00DA1EAC" w:rsidRDefault="005047A1" w:rsidP="00066B7E">
      <w:pPr>
        <w:pStyle w:val="NoSpacing"/>
      </w:pPr>
      <w:r>
        <w:t>Households</w:t>
      </w:r>
      <w:r w:rsidR="001F0AFF" w:rsidRPr="00DA1EAC">
        <w:t xml:space="preserve"> must promptly notify </w:t>
      </w:r>
      <w:r w:rsidR="00D04C71">
        <w:t>Project Sponsors</w:t>
      </w:r>
      <w:r w:rsidR="001F0AFF" w:rsidRPr="00DA1EAC">
        <w:t xml:space="preserve"> of absence</w:t>
      </w:r>
      <w:r w:rsidR="00D04C71">
        <w:t>s</w:t>
      </w:r>
      <w:r w:rsidR="001F0AFF" w:rsidRPr="00DA1EAC">
        <w:t xml:space="preserve"> from </w:t>
      </w:r>
      <w:r>
        <w:t>their</w:t>
      </w:r>
      <w:r w:rsidR="001F0AFF" w:rsidRPr="00DA1EAC">
        <w:t xml:space="preserve"> unit</w:t>
      </w:r>
      <w:r w:rsidR="00D04C71">
        <w:t xml:space="preserve"> and provide </w:t>
      </w:r>
      <w:r w:rsidR="001F0AFF" w:rsidRPr="00DA1EAC">
        <w:t>any information requested on the purposes of household absences.</w:t>
      </w:r>
      <w:r w:rsidR="001F0AFF">
        <w:t xml:space="preserve"> </w:t>
      </w:r>
      <w:r>
        <w:t>Households</w:t>
      </w:r>
      <w:r w:rsidR="00DA1EAC" w:rsidRPr="00DA1EAC">
        <w:t xml:space="preserve"> must supply any information or certification requested by </w:t>
      </w:r>
      <w:r w:rsidR="00D04C71">
        <w:t>Project Sponsors</w:t>
      </w:r>
      <w:r w:rsidR="00DA1EAC" w:rsidRPr="00DA1EAC">
        <w:t xml:space="preserve"> </w:t>
      </w:r>
      <w:r w:rsidR="00890B3C">
        <w:t xml:space="preserve">1) </w:t>
      </w:r>
      <w:r w:rsidR="00DA1EAC" w:rsidRPr="00DA1EAC">
        <w:t xml:space="preserve">to verify that the household </w:t>
      </w:r>
      <w:r w:rsidR="00C21CF6">
        <w:t>r</w:t>
      </w:r>
      <w:r w:rsidR="00DA1EAC" w:rsidRPr="00DA1EAC">
        <w:t>esid</w:t>
      </w:r>
      <w:r w:rsidR="00C21CF6">
        <w:t>es</w:t>
      </w:r>
      <w:r w:rsidR="00DA1EAC" w:rsidRPr="00DA1EAC">
        <w:t xml:space="preserve"> in the unit or 2) relating to </w:t>
      </w:r>
      <w:r w:rsidR="00D04C71">
        <w:t xml:space="preserve">the </w:t>
      </w:r>
      <w:r w:rsidR="00DA1EAC" w:rsidRPr="00DA1EAC">
        <w:t>household</w:t>
      </w:r>
      <w:r w:rsidR="00D04C71">
        <w:t>’s</w:t>
      </w:r>
      <w:r w:rsidR="00DA1EAC" w:rsidRPr="00DA1EAC">
        <w:t xml:space="preserve"> absence from the unit. </w:t>
      </w:r>
      <w:r w:rsidR="00D04C71">
        <w:t>Households</w:t>
      </w:r>
      <w:r w:rsidR="00DA1EAC" w:rsidRPr="00DA1EAC">
        <w:t xml:space="preserve"> must cooperate with </w:t>
      </w:r>
      <w:r w:rsidR="00D04C71">
        <w:t>Project Sponsors</w:t>
      </w:r>
      <w:r w:rsidR="00DA1EAC" w:rsidRPr="00DA1EAC">
        <w:t xml:space="preserve"> for this purpose. </w:t>
      </w:r>
      <w:r w:rsidR="00D04C71">
        <w:t>Project Sponsors</w:t>
      </w:r>
      <w:r w:rsidR="00DA1EAC" w:rsidRPr="00DA1EAC">
        <w:t xml:space="preserve"> may adopt appropriate techniques to verify household occupancy or absence, including letters to </w:t>
      </w:r>
      <w:r w:rsidR="00D04C71">
        <w:t>households</w:t>
      </w:r>
      <w:r w:rsidR="00DA1EAC" w:rsidRPr="00DA1EAC">
        <w:t xml:space="preserve"> at the unit, phone calls, and visits or questions to </w:t>
      </w:r>
      <w:r w:rsidR="00D04C71">
        <w:t>owners</w:t>
      </w:r>
      <w:r w:rsidR="00DA1EAC" w:rsidRPr="00DA1EAC">
        <w:t>.</w:t>
      </w:r>
    </w:p>
    <w:p w14:paraId="47F12000" w14:textId="77777777" w:rsidR="002A566B" w:rsidRDefault="002A566B" w:rsidP="00066B7E">
      <w:pPr>
        <w:pStyle w:val="NoSpacing"/>
      </w:pPr>
    </w:p>
    <w:p w14:paraId="0D6EE6D6" w14:textId="47DDDB74" w:rsidR="00E66D65" w:rsidRPr="00E66D65" w:rsidRDefault="00636B06" w:rsidP="00B109D9">
      <w:pPr>
        <w:pStyle w:val="Heading1"/>
      </w:pPr>
      <w:bookmarkStart w:id="54" w:name="_Toc140755481"/>
      <w:r>
        <w:t>Section 1</w:t>
      </w:r>
      <w:r w:rsidR="00DA1EAC">
        <w:t>8</w:t>
      </w:r>
      <w:r w:rsidR="00BD79BB">
        <w:t xml:space="preserve">. </w:t>
      </w:r>
      <w:r w:rsidR="0026623D">
        <w:t>Grace Periods for Surviving</w:t>
      </w:r>
      <w:r w:rsidR="00E66D65" w:rsidRPr="00E66D65">
        <w:t xml:space="preserve"> </w:t>
      </w:r>
      <w:r w:rsidR="009377E8">
        <w:t>or</w:t>
      </w:r>
      <w:r w:rsidR="00E66D65" w:rsidRPr="00E66D65">
        <w:t xml:space="preserve"> Remaining Household Member</w:t>
      </w:r>
      <w:r w:rsidR="0026623D">
        <w:t>s</w:t>
      </w:r>
      <w:bookmarkEnd w:id="54"/>
    </w:p>
    <w:p w14:paraId="3B70B37B" w14:textId="681284C8" w:rsidR="007434DF" w:rsidRDefault="00E7704A">
      <w:pPr>
        <w:pStyle w:val="NoSpacing"/>
        <w:rPr>
          <w:rFonts w:cs="Times New Roman"/>
        </w:rPr>
      </w:pPr>
      <w:r w:rsidRPr="00E7704A">
        <w:rPr>
          <w:rFonts w:cs="Times New Roman"/>
        </w:rPr>
        <w:t xml:space="preserve">With respect to surviving or remaining household members living in the assisted unit at the time of the eligible individual’s death, incarceration, lease bifurcation, </w:t>
      </w:r>
      <w:bookmarkStart w:id="55" w:name="_Hlk75186777"/>
      <w:r w:rsidRPr="00E7704A">
        <w:rPr>
          <w:rFonts w:cs="Times New Roman"/>
        </w:rPr>
        <w:t xml:space="preserve">enrollment in </w:t>
      </w:r>
      <w:r w:rsidR="0076705A">
        <w:rPr>
          <w:rFonts w:cs="Times New Roman"/>
        </w:rPr>
        <w:t>substance use</w:t>
      </w:r>
      <w:r w:rsidR="0076705A" w:rsidRPr="00E7704A">
        <w:rPr>
          <w:rFonts w:cs="Times New Roman"/>
        </w:rPr>
        <w:t xml:space="preserve"> </w:t>
      </w:r>
      <w:r w:rsidRPr="00E7704A">
        <w:rPr>
          <w:rFonts w:cs="Times New Roman"/>
        </w:rPr>
        <w:t>treatment, or entry to hospice/long-term health care</w:t>
      </w:r>
      <w:bookmarkEnd w:id="55"/>
      <w:r w:rsidRPr="00E7704A">
        <w:rPr>
          <w:rFonts w:cs="Times New Roman"/>
        </w:rPr>
        <w:t>, Project Sponsors must provide surviving and remaining household membe</w:t>
      </w:r>
      <w:r w:rsidR="002503E3">
        <w:rPr>
          <w:rFonts w:cs="Times New Roman"/>
        </w:rPr>
        <w:t>rs a reasonable grace period to e</w:t>
      </w:r>
      <w:r w:rsidRPr="00E7704A">
        <w:rPr>
          <w:rFonts w:cs="Times New Roman"/>
        </w:rPr>
        <w:t>stablish eligibi</w:t>
      </w:r>
      <w:r w:rsidR="002503E3">
        <w:rPr>
          <w:rFonts w:cs="Times New Roman"/>
        </w:rPr>
        <w:t>lity for the DSHS HOPWA Program, e</w:t>
      </w:r>
      <w:r w:rsidR="007434DF">
        <w:rPr>
          <w:rFonts w:cs="Times New Roman"/>
        </w:rPr>
        <w:t xml:space="preserve">stablish eligibility for </w:t>
      </w:r>
      <w:r w:rsidR="002503E3">
        <w:rPr>
          <w:rFonts w:cs="Times New Roman"/>
        </w:rPr>
        <w:t>another housing program,</w:t>
      </w:r>
      <w:r w:rsidRPr="00E7704A">
        <w:rPr>
          <w:rFonts w:cs="Times New Roman"/>
        </w:rPr>
        <w:t xml:space="preserve"> or </w:t>
      </w:r>
      <w:r w:rsidR="002503E3">
        <w:rPr>
          <w:rFonts w:cs="Times New Roman"/>
        </w:rPr>
        <w:t>f</w:t>
      </w:r>
      <w:r w:rsidRPr="00E7704A">
        <w:rPr>
          <w:rFonts w:cs="Times New Roman"/>
        </w:rPr>
        <w:t>ind alternative housing.</w:t>
      </w:r>
      <w:r>
        <w:rPr>
          <w:rFonts w:cs="Times New Roman"/>
        </w:rPr>
        <w:t xml:space="preserve"> </w:t>
      </w:r>
    </w:p>
    <w:p w14:paraId="51D20499" w14:textId="77777777" w:rsidR="00921891" w:rsidRDefault="00921891">
      <w:pPr>
        <w:pStyle w:val="NoSpacing"/>
        <w:rPr>
          <w:rFonts w:cs="Times New Roman"/>
        </w:rPr>
      </w:pPr>
    </w:p>
    <w:p w14:paraId="2B3ED5F2" w14:textId="6B2DAFD4" w:rsidR="007434DF" w:rsidRDefault="007434DF">
      <w:pPr>
        <w:pStyle w:val="NoSpacing"/>
        <w:rPr>
          <w:rFonts w:cs="Times New Roman"/>
        </w:rPr>
      </w:pPr>
      <w:r>
        <w:rPr>
          <w:rFonts w:cs="Times New Roman"/>
        </w:rPr>
        <w:t xml:space="preserve">Per </w:t>
      </w:r>
      <w:r w:rsidRPr="00E7704A">
        <w:rPr>
          <w:rFonts w:cs="Times New Roman"/>
        </w:rPr>
        <w:t>24 CFR §574.310(e)</w:t>
      </w:r>
      <w:r>
        <w:rPr>
          <w:rFonts w:cs="Times New Roman"/>
        </w:rPr>
        <w:t>, Project Sponsors must:</w:t>
      </w:r>
    </w:p>
    <w:p w14:paraId="5FADE538" w14:textId="34430306" w:rsidR="007434DF" w:rsidRDefault="007434DF" w:rsidP="00ED208F">
      <w:pPr>
        <w:pStyle w:val="NoSpacing"/>
        <w:numPr>
          <w:ilvl w:val="0"/>
          <w:numId w:val="71"/>
        </w:numPr>
        <w:rPr>
          <w:rFonts w:cs="Times New Roman"/>
        </w:rPr>
      </w:pPr>
      <w:r>
        <w:rPr>
          <w:rFonts w:cs="Times New Roman"/>
        </w:rPr>
        <w:t>N</w:t>
      </w:r>
      <w:r w:rsidRPr="007434DF">
        <w:rPr>
          <w:rFonts w:cs="Times New Roman"/>
        </w:rPr>
        <w:t xml:space="preserve">otify </w:t>
      </w:r>
      <w:r w:rsidR="00036433">
        <w:rPr>
          <w:rFonts w:cs="Times New Roman"/>
        </w:rPr>
        <w:t>survivors</w:t>
      </w:r>
      <w:r w:rsidRPr="007434DF">
        <w:rPr>
          <w:rFonts w:cs="Times New Roman"/>
        </w:rPr>
        <w:t xml:space="preserve"> and remaining </w:t>
      </w:r>
      <w:r>
        <w:rPr>
          <w:rFonts w:cs="Times New Roman"/>
        </w:rPr>
        <w:t>household members</w:t>
      </w:r>
      <w:r w:rsidRPr="007434DF">
        <w:rPr>
          <w:rFonts w:cs="Times New Roman"/>
        </w:rPr>
        <w:t xml:space="preserve"> of the duration of the grace period</w:t>
      </w:r>
      <w:r>
        <w:rPr>
          <w:rFonts w:cs="Times New Roman"/>
        </w:rPr>
        <w:t>;</w:t>
      </w:r>
      <w:r w:rsidRPr="007434DF">
        <w:rPr>
          <w:rFonts w:cs="Times New Roman"/>
        </w:rPr>
        <w:t xml:space="preserve"> </w:t>
      </w:r>
    </w:p>
    <w:p w14:paraId="2862CB39" w14:textId="09D7D5AC" w:rsidR="007434DF" w:rsidRPr="00A94D04" w:rsidRDefault="007434DF" w:rsidP="00ED208F">
      <w:pPr>
        <w:pStyle w:val="ListParagraph"/>
        <w:numPr>
          <w:ilvl w:val="0"/>
          <w:numId w:val="71"/>
        </w:numPr>
        <w:spacing w:after="0" w:line="240" w:lineRule="auto"/>
        <w:rPr>
          <w:rFonts w:cs="Times New Roman"/>
        </w:rPr>
      </w:pPr>
      <w:r w:rsidRPr="007434DF">
        <w:rPr>
          <w:rFonts w:cs="Times New Roman"/>
        </w:rPr>
        <w:t xml:space="preserve">Provide housing assistance and supportive services to </w:t>
      </w:r>
      <w:r w:rsidR="00036433">
        <w:rPr>
          <w:rFonts w:cs="Times New Roman"/>
        </w:rPr>
        <w:t>survivors</w:t>
      </w:r>
      <w:r w:rsidRPr="007434DF">
        <w:rPr>
          <w:rFonts w:cs="Times New Roman"/>
        </w:rPr>
        <w:t xml:space="preserve"> and remaining household members</w:t>
      </w:r>
      <w:r w:rsidR="002503E3">
        <w:rPr>
          <w:rFonts w:cs="Times New Roman"/>
        </w:rPr>
        <w:t>;</w:t>
      </w:r>
    </w:p>
    <w:p w14:paraId="4E6C45E5" w14:textId="4FDA2A33" w:rsidR="007434DF" w:rsidRDefault="00502F63" w:rsidP="00ED208F">
      <w:pPr>
        <w:pStyle w:val="NoSpacing"/>
        <w:numPr>
          <w:ilvl w:val="0"/>
          <w:numId w:val="71"/>
        </w:numPr>
        <w:rPr>
          <w:rFonts w:cs="Times New Roman"/>
        </w:rPr>
      </w:pPr>
      <w:r>
        <w:rPr>
          <w:rFonts w:cs="Times New Roman"/>
        </w:rPr>
        <w:t>Offer</w:t>
      </w:r>
      <w:r w:rsidR="007434DF" w:rsidRPr="007434DF">
        <w:rPr>
          <w:rFonts w:cs="Times New Roman"/>
        </w:rPr>
        <w:t xml:space="preserve"> </w:t>
      </w:r>
      <w:r w:rsidR="007434DF">
        <w:rPr>
          <w:rFonts w:cs="Times New Roman"/>
        </w:rPr>
        <w:t>survivors and remaining household members</w:t>
      </w:r>
      <w:r w:rsidR="007434DF" w:rsidRPr="007434DF">
        <w:rPr>
          <w:rFonts w:cs="Times New Roman"/>
        </w:rPr>
        <w:t xml:space="preserve"> information on other available housing programs</w:t>
      </w:r>
      <w:r w:rsidR="007434DF">
        <w:rPr>
          <w:rFonts w:cs="Times New Roman"/>
        </w:rPr>
        <w:t>;</w:t>
      </w:r>
      <w:r w:rsidR="007434DF" w:rsidRPr="007434DF">
        <w:rPr>
          <w:rFonts w:cs="Times New Roman"/>
        </w:rPr>
        <w:t xml:space="preserve"> and</w:t>
      </w:r>
    </w:p>
    <w:p w14:paraId="588478EA" w14:textId="34A350B5" w:rsidR="007434DF" w:rsidRDefault="007434DF" w:rsidP="00ED208F">
      <w:pPr>
        <w:pStyle w:val="NoSpacing"/>
        <w:numPr>
          <w:ilvl w:val="0"/>
          <w:numId w:val="71"/>
        </w:numPr>
        <w:rPr>
          <w:rFonts w:cs="Times New Roman"/>
        </w:rPr>
      </w:pPr>
      <w:r w:rsidRPr="007434DF">
        <w:rPr>
          <w:rFonts w:cs="Times New Roman"/>
        </w:rPr>
        <w:t xml:space="preserve">At the Project Sponsor’s discretion, </w:t>
      </w:r>
      <w:r w:rsidR="00C73C97">
        <w:rPr>
          <w:rFonts w:cs="Times New Roman"/>
        </w:rPr>
        <w:t xml:space="preserve">provide PHP services to </w:t>
      </w:r>
      <w:r w:rsidRPr="007434DF">
        <w:rPr>
          <w:rFonts w:cs="Times New Roman"/>
        </w:rPr>
        <w:t>assist with moving expenses</w:t>
      </w:r>
      <w:r w:rsidR="00536137" w:rsidRPr="007434DF">
        <w:rPr>
          <w:rFonts w:cs="Times New Roman"/>
        </w:rPr>
        <w:t>.</w:t>
      </w:r>
      <w:r w:rsidR="006A2577" w:rsidRPr="007434DF">
        <w:rPr>
          <w:rFonts w:cs="Times New Roman"/>
        </w:rPr>
        <w:t xml:space="preserve"> </w:t>
      </w:r>
    </w:p>
    <w:p w14:paraId="062509E5" w14:textId="77777777" w:rsidR="006845AA" w:rsidRDefault="006845AA">
      <w:pPr>
        <w:pStyle w:val="NoSpacing"/>
        <w:rPr>
          <w:rFonts w:cs="Times New Roman"/>
        </w:rPr>
      </w:pPr>
    </w:p>
    <w:p w14:paraId="3198F0CB" w14:textId="382CEED1" w:rsidR="00A25B91" w:rsidRDefault="00AE06EE">
      <w:pPr>
        <w:pStyle w:val="NoSpacing"/>
        <w:rPr>
          <w:rFonts w:cs="Times New Roman"/>
        </w:rPr>
      </w:pPr>
      <w:r w:rsidRPr="007434DF">
        <w:rPr>
          <w:rFonts w:cs="Times New Roman"/>
        </w:rPr>
        <w:t xml:space="preserve">Project Sponsors must collaborate with </w:t>
      </w:r>
      <w:r w:rsidR="00570DA0">
        <w:rPr>
          <w:rFonts w:cs="Times New Roman"/>
        </w:rPr>
        <w:t>their AA</w:t>
      </w:r>
      <w:r w:rsidRPr="007434DF">
        <w:rPr>
          <w:rFonts w:cs="Times New Roman"/>
        </w:rPr>
        <w:t xml:space="preserve"> to develop a </w:t>
      </w:r>
      <w:r w:rsidR="00E66D65" w:rsidRPr="007434DF">
        <w:rPr>
          <w:rFonts w:cs="Times New Roman"/>
        </w:rPr>
        <w:t>reasonable</w:t>
      </w:r>
      <w:r w:rsidRPr="007434DF">
        <w:rPr>
          <w:rFonts w:cs="Times New Roman"/>
        </w:rPr>
        <w:t xml:space="preserve"> </w:t>
      </w:r>
      <w:r w:rsidR="00544EAE">
        <w:rPr>
          <w:rFonts w:cs="Times New Roman"/>
        </w:rPr>
        <w:t xml:space="preserve">survivor </w:t>
      </w:r>
      <w:r w:rsidRPr="007434DF">
        <w:rPr>
          <w:rFonts w:cs="Times New Roman"/>
        </w:rPr>
        <w:t>grace period policy</w:t>
      </w:r>
      <w:r w:rsidR="006A2577" w:rsidRPr="007434DF">
        <w:rPr>
          <w:rFonts w:cs="Times New Roman"/>
        </w:rPr>
        <w:t xml:space="preserve"> f</w:t>
      </w:r>
      <w:r w:rsidRPr="007434DF">
        <w:rPr>
          <w:rFonts w:cs="Times New Roman"/>
        </w:rPr>
        <w:t xml:space="preserve">or continued </w:t>
      </w:r>
      <w:r w:rsidR="00E66D65" w:rsidRPr="007434DF">
        <w:rPr>
          <w:rFonts w:cs="Times New Roman"/>
        </w:rPr>
        <w:t xml:space="preserve">program </w:t>
      </w:r>
      <w:r w:rsidRPr="007434DF">
        <w:rPr>
          <w:rFonts w:cs="Times New Roman"/>
        </w:rPr>
        <w:t xml:space="preserve">participation by surviving </w:t>
      </w:r>
      <w:r w:rsidR="009377E8" w:rsidRPr="007434DF">
        <w:rPr>
          <w:rFonts w:cs="Times New Roman"/>
        </w:rPr>
        <w:t>or</w:t>
      </w:r>
      <w:r w:rsidRPr="007434DF">
        <w:rPr>
          <w:rFonts w:cs="Times New Roman"/>
        </w:rPr>
        <w:t xml:space="preserve"> remaining household </w:t>
      </w:r>
      <w:r w:rsidR="006A2577" w:rsidRPr="007434DF">
        <w:rPr>
          <w:rFonts w:cs="Times New Roman"/>
        </w:rPr>
        <w:t>member</w:t>
      </w:r>
      <w:r w:rsidRPr="007434DF">
        <w:rPr>
          <w:rFonts w:cs="Times New Roman"/>
        </w:rPr>
        <w:t>s</w:t>
      </w:r>
      <w:r w:rsidR="006A2577" w:rsidRPr="007434DF">
        <w:rPr>
          <w:rFonts w:cs="Times New Roman"/>
        </w:rPr>
        <w:t>.</w:t>
      </w:r>
      <w:r w:rsidR="009377E8" w:rsidRPr="007434DF">
        <w:rPr>
          <w:rFonts w:cs="Times New Roman"/>
        </w:rPr>
        <w:t xml:space="preserve"> Also, Project Sponsors must perform an interim recertification using </w:t>
      </w:r>
      <w:r w:rsidR="009377E8" w:rsidRPr="007434DF">
        <w:rPr>
          <w:rFonts w:cs="Times New Roman"/>
          <w:b/>
          <w:color w:val="5B9BD5" w:themeColor="accent1"/>
        </w:rPr>
        <w:t xml:space="preserve">Form O: Interim Recertification Worksheet </w:t>
      </w:r>
      <w:r w:rsidR="009377E8" w:rsidRPr="007434DF">
        <w:rPr>
          <w:rFonts w:cs="Times New Roman"/>
        </w:rPr>
        <w:t>to document the change in household composition.</w:t>
      </w:r>
    </w:p>
    <w:p w14:paraId="15F58A24" w14:textId="4C653333" w:rsidR="00447314" w:rsidRDefault="004A1376" w:rsidP="00F24BC0">
      <w:pPr>
        <w:pStyle w:val="NoSpacing"/>
        <w:rPr>
          <w:rFonts w:cs="Times New Roman"/>
          <w:color w:val="C00000"/>
        </w:rPr>
      </w:pPr>
      <w:r w:rsidRPr="005216FA">
        <w:rPr>
          <w:rFonts w:cs="Times New Roman"/>
          <w:b/>
          <w:color w:val="C00000"/>
        </w:rPr>
        <w:t>NOTE:</w:t>
      </w:r>
      <w:r w:rsidRPr="005216FA">
        <w:rPr>
          <w:rFonts w:cs="Times New Roman"/>
          <w:color w:val="C00000"/>
        </w:rPr>
        <w:t xml:space="preserve"> For eligible individuals </w:t>
      </w:r>
      <w:r w:rsidR="00CC62DA">
        <w:rPr>
          <w:rFonts w:cs="Times New Roman"/>
          <w:color w:val="C00000"/>
        </w:rPr>
        <w:t xml:space="preserve">entering </w:t>
      </w:r>
      <w:r w:rsidRPr="005216FA">
        <w:rPr>
          <w:rFonts w:cs="Times New Roman"/>
          <w:color w:val="C00000"/>
        </w:rPr>
        <w:t>incarcerat</w:t>
      </w:r>
      <w:r w:rsidR="00CC62DA">
        <w:rPr>
          <w:rFonts w:cs="Times New Roman"/>
          <w:color w:val="C00000"/>
        </w:rPr>
        <w:t>ion</w:t>
      </w:r>
      <w:r w:rsidRPr="005216FA">
        <w:rPr>
          <w:rFonts w:cs="Times New Roman"/>
          <w:color w:val="C00000"/>
        </w:rPr>
        <w:t xml:space="preserve">, </w:t>
      </w:r>
      <w:r w:rsidR="0076705A">
        <w:rPr>
          <w:rFonts w:cs="Times New Roman"/>
          <w:color w:val="C00000"/>
        </w:rPr>
        <w:t>substance use</w:t>
      </w:r>
      <w:r w:rsidR="0076705A" w:rsidRPr="005216FA">
        <w:rPr>
          <w:rFonts w:cs="Times New Roman"/>
          <w:color w:val="C00000"/>
        </w:rPr>
        <w:t xml:space="preserve"> </w:t>
      </w:r>
      <w:r w:rsidRPr="005216FA">
        <w:rPr>
          <w:rFonts w:cs="Times New Roman"/>
          <w:color w:val="C00000"/>
        </w:rPr>
        <w:t>treatment, or hospice/long-term health care (i.e., did not die</w:t>
      </w:r>
      <w:r w:rsidR="00620339">
        <w:rPr>
          <w:rFonts w:cs="Times New Roman"/>
          <w:color w:val="C00000"/>
        </w:rPr>
        <w:t xml:space="preserve"> or </w:t>
      </w:r>
      <w:r w:rsidR="00721A49">
        <w:rPr>
          <w:rFonts w:cs="Times New Roman"/>
          <w:color w:val="C00000"/>
        </w:rPr>
        <w:t>were</w:t>
      </w:r>
      <w:r w:rsidR="00620339">
        <w:rPr>
          <w:rFonts w:cs="Times New Roman"/>
          <w:color w:val="C00000"/>
        </w:rPr>
        <w:t xml:space="preserve"> not removed from the lease via lease bifurcation</w:t>
      </w:r>
      <w:r w:rsidRPr="005216FA">
        <w:rPr>
          <w:rFonts w:cs="Times New Roman"/>
          <w:color w:val="C00000"/>
        </w:rPr>
        <w:t xml:space="preserve">), </w:t>
      </w:r>
      <w:r w:rsidR="00E62888">
        <w:rPr>
          <w:rFonts w:cs="Times New Roman"/>
          <w:color w:val="C00000"/>
        </w:rPr>
        <w:t xml:space="preserve">but expected to eventually return to the unit, see </w:t>
      </w:r>
      <w:r w:rsidR="00E62888" w:rsidRPr="00E62888">
        <w:rPr>
          <w:rFonts w:cs="Times New Roman"/>
          <w:color w:val="C00000"/>
        </w:rPr>
        <w:t>Section 17. Reasonable Absences from Assisted Housing</w:t>
      </w:r>
      <w:r w:rsidR="00E62888">
        <w:rPr>
          <w:rFonts w:cs="Times New Roman"/>
          <w:color w:val="C00000"/>
        </w:rPr>
        <w:t>.</w:t>
      </w:r>
    </w:p>
    <w:p w14:paraId="38A8D690" w14:textId="77777777" w:rsidR="00A25B91" w:rsidRPr="002A61C8" w:rsidRDefault="00A25B91" w:rsidP="00F24BC0">
      <w:pPr>
        <w:pStyle w:val="NoSpacing"/>
        <w:rPr>
          <w:rFonts w:cs="Times New Roman"/>
        </w:rPr>
      </w:pPr>
    </w:p>
    <w:p w14:paraId="7471BE5C" w14:textId="43B0F175" w:rsidR="005E368C" w:rsidRPr="00BF79A1" w:rsidRDefault="005E368C" w:rsidP="00754E9B">
      <w:pPr>
        <w:pStyle w:val="NoSpacing"/>
        <w:numPr>
          <w:ilvl w:val="1"/>
          <w:numId w:val="36"/>
        </w:numPr>
        <w:rPr>
          <w:rFonts w:cs="Times New Roman"/>
          <w:b/>
          <w:u w:val="single"/>
        </w:rPr>
      </w:pPr>
      <w:r w:rsidRPr="00BF79A1">
        <w:rPr>
          <w:rFonts w:cs="Times New Roman"/>
          <w:b/>
          <w:u w:val="single"/>
        </w:rPr>
        <w:t>TBRA</w:t>
      </w:r>
      <w:r w:rsidR="00E66D65" w:rsidRPr="00ED208F">
        <w:rPr>
          <w:rFonts w:cs="Times New Roman"/>
          <w:b/>
          <w:sz w:val="18"/>
          <w:szCs w:val="18"/>
          <w:u w:val="single"/>
        </w:rPr>
        <w:t xml:space="preserve"> </w:t>
      </w:r>
      <w:r w:rsidR="00121271" w:rsidRPr="00ED208F">
        <w:rPr>
          <w:rFonts w:cs="Times New Roman"/>
          <w:b/>
          <w:sz w:val="18"/>
          <w:szCs w:val="18"/>
          <w:u w:val="single"/>
        </w:rPr>
        <w:t>and/or</w:t>
      </w:r>
      <w:r w:rsidR="00121271" w:rsidRPr="00ED208F">
        <w:rPr>
          <w:rFonts w:cs="Times New Roman"/>
          <w:b/>
          <w:sz w:val="18"/>
          <w:u w:val="single"/>
        </w:rPr>
        <w:t xml:space="preserve"> </w:t>
      </w:r>
      <w:r w:rsidR="00121271" w:rsidRPr="00121271">
        <w:rPr>
          <w:rFonts w:cs="Times New Roman"/>
          <w:b/>
          <w:u w:val="single"/>
        </w:rPr>
        <w:t xml:space="preserve">TSH </w:t>
      </w:r>
      <w:r w:rsidR="00E66D65" w:rsidRPr="00121271">
        <w:rPr>
          <w:rFonts w:cs="Times New Roman"/>
          <w:b/>
          <w:u w:val="single"/>
        </w:rPr>
        <w:t>Services</w:t>
      </w:r>
    </w:p>
    <w:p w14:paraId="056A85B6" w14:textId="616A0E35" w:rsidR="0020236B" w:rsidRDefault="00E66D65" w:rsidP="0027287B">
      <w:pPr>
        <w:pStyle w:val="NoSpacing"/>
        <w:ind w:left="720"/>
      </w:pPr>
      <w:r>
        <w:t xml:space="preserve">The </w:t>
      </w:r>
      <w:r w:rsidR="001130A3">
        <w:t xml:space="preserve">minimum </w:t>
      </w:r>
      <w:r>
        <w:t xml:space="preserve">grace period for </w:t>
      </w:r>
      <w:r w:rsidR="00A27E7E">
        <w:t>households receiving TBRA</w:t>
      </w:r>
      <w:r w:rsidR="00121271">
        <w:t xml:space="preserve"> or TSH</w:t>
      </w:r>
      <w:r w:rsidR="00A27E7E">
        <w:t xml:space="preserve"> services must be </w:t>
      </w:r>
      <w:r>
        <w:t>one month</w:t>
      </w:r>
      <w:r w:rsidR="00A27E7E">
        <w:t xml:space="preserve"> of assistance</w:t>
      </w:r>
      <w:r>
        <w:t xml:space="preserve"> from the end of the month in which the </w:t>
      </w:r>
      <w:r w:rsidR="00A27E7E">
        <w:t xml:space="preserve">eligible individual died, was incarcerated, enrolled in </w:t>
      </w:r>
      <w:r w:rsidR="0076705A">
        <w:t xml:space="preserve">substance use </w:t>
      </w:r>
      <w:r w:rsidR="00A27E7E">
        <w:t>treatment, or entered hospice/long-term health care.</w:t>
      </w:r>
      <w:r>
        <w:t xml:space="preserve"> The maximum grace period </w:t>
      </w:r>
      <w:r w:rsidR="001130A3">
        <w:t>cannot</w:t>
      </w:r>
      <w:r>
        <w:t xml:space="preserve"> exceed 12 months</w:t>
      </w:r>
      <w:r w:rsidR="00A27E7E">
        <w:t>. DSHS recommends two to four months.</w:t>
      </w:r>
      <w:r w:rsidR="00460854">
        <w:t xml:space="preserve"> Additionally, </w:t>
      </w:r>
      <w:r w:rsidR="00460854" w:rsidRPr="00460854">
        <w:t xml:space="preserve">the policy must address VAWA lease bifurcations where the </w:t>
      </w:r>
      <w:r w:rsidR="00C63CC6">
        <w:t xml:space="preserve">accused </w:t>
      </w:r>
      <w:r w:rsidR="00460854" w:rsidRPr="00460854">
        <w:t>perpetrator is the eligible individual and the survivor is a remaining beneficiary</w:t>
      </w:r>
      <w:r w:rsidR="00460854">
        <w:t xml:space="preserve"> (see</w:t>
      </w:r>
      <w:r w:rsidR="00460854" w:rsidRPr="00460854">
        <w:t xml:space="preserve"> </w:t>
      </w:r>
      <w:r w:rsidR="00C4349B" w:rsidRPr="00C4349B">
        <w:t>Section 9. Violence Against Women Act Requirements</w:t>
      </w:r>
      <w:r w:rsidR="00620339">
        <w:t>,</w:t>
      </w:r>
      <w:r w:rsidR="00C4349B">
        <w:t xml:space="preserve"> 1. TBRA and TSH Requirements,</w:t>
      </w:r>
      <w:r w:rsidR="00620339">
        <w:t xml:space="preserve"> G. Remedies, i. Lease Bifurcation</w:t>
      </w:r>
      <w:r w:rsidR="00460854">
        <w:t>)</w:t>
      </w:r>
      <w:r w:rsidR="00460854" w:rsidRPr="00460854">
        <w:t xml:space="preserve">. </w:t>
      </w:r>
      <w:r w:rsidR="00460854">
        <w:t xml:space="preserve">Per the VAWA regulations </w:t>
      </w:r>
      <w:r w:rsidR="00D100D0">
        <w:t xml:space="preserve">in </w:t>
      </w:r>
      <w:r w:rsidR="00460854">
        <w:t xml:space="preserve">24 CFR </w:t>
      </w:r>
      <w:r w:rsidR="00460854" w:rsidRPr="00460854">
        <w:t>§</w:t>
      </w:r>
      <w:r w:rsidR="00460854">
        <w:t xml:space="preserve">574.460, </w:t>
      </w:r>
      <w:r w:rsidR="00460854" w:rsidRPr="00460854">
        <w:t xml:space="preserve">Project Sponsors must provide </w:t>
      </w:r>
      <w:r w:rsidR="00036433">
        <w:t>survivors</w:t>
      </w:r>
      <w:r w:rsidR="00460854" w:rsidRPr="00460854">
        <w:t xml:space="preserve"> and remaining beneficiaries a </w:t>
      </w:r>
      <w:r w:rsidR="001130A3">
        <w:t>minimum of</w:t>
      </w:r>
      <w:r w:rsidR="00460854" w:rsidRPr="00460854">
        <w:t xml:space="preserve"> 90 calendar days and </w:t>
      </w:r>
      <w:r w:rsidR="001130A3">
        <w:t>a maximum of</w:t>
      </w:r>
      <w:r w:rsidR="00460854" w:rsidRPr="00460854">
        <w:t xml:space="preserve"> </w:t>
      </w:r>
      <w:r w:rsidR="00460854">
        <w:t>12 months</w:t>
      </w:r>
      <w:r w:rsidR="00460854" w:rsidRPr="00460854">
        <w:t xml:space="preserve"> from the date of lease bifurcation to</w:t>
      </w:r>
      <w:r w:rsidR="001130A3">
        <w:t xml:space="preserve"> e</w:t>
      </w:r>
      <w:r w:rsidR="00460854" w:rsidRPr="00460854">
        <w:t xml:space="preserve">stablish eligibility for the DSHS HOPWA Program, </w:t>
      </w:r>
      <w:r w:rsidR="001130A3">
        <w:t xml:space="preserve">establish eligibility for </w:t>
      </w:r>
      <w:r w:rsidR="00460854" w:rsidRPr="00460854">
        <w:t>another housing program, or find alternative housing.</w:t>
      </w:r>
    </w:p>
    <w:p w14:paraId="39618E96" w14:textId="281CC331" w:rsidR="0020236B" w:rsidRPr="002A61C8" w:rsidRDefault="0020236B" w:rsidP="002A61C8">
      <w:pPr>
        <w:spacing w:after="0" w:line="240" w:lineRule="auto"/>
      </w:pPr>
    </w:p>
    <w:p w14:paraId="4AA0C7AE" w14:textId="7A4893DD" w:rsidR="001E2381" w:rsidRPr="00BF79A1" w:rsidRDefault="005E368C" w:rsidP="0027287B">
      <w:pPr>
        <w:pStyle w:val="NoSpacing"/>
        <w:numPr>
          <w:ilvl w:val="1"/>
          <w:numId w:val="36"/>
        </w:numPr>
        <w:rPr>
          <w:rFonts w:cs="Times New Roman"/>
          <w:b/>
          <w:u w:val="single"/>
        </w:rPr>
      </w:pPr>
      <w:r w:rsidRPr="00BF79A1">
        <w:rPr>
          <w:rFonts w:cs="Times New Roman"/>
          <w:b/>
          <w:u w:val="single"/>
        </w:rPr>
        <w:t>STRMU</w:t>
      </w:r>
      <w:r w:rsidR="0026623D" w:rsidRPr="00ED208F">
        <w:rPr>
          <w:rFonts w:cs="Times New Roman"/>
          <w:b/>
          <w:sz w:val="18"/>
          <w:szCs w:val="18"/>
          <w:u w:val="single"/>
        </w:rPr>
        <w:t xml:space="preserve"> </w:t>
      </w:r>
      <w:r w:rsidR="00121271" w:rsidRPr="00E057EC">
        <w:rPr>
          <w:rFonts w:cs="Times New Roman"/>
          <w:b/>
          <w:sz w:val="18"/>
          <w:szCs w:val="18"/>
          <w:u w:val="single"/>
        </w:rPr>
        <w:t>and/or</w:t>
      </w:r>
      <w:r w:rsidR="00121271" w:rsidRPr="00E057EC">
        <w:rPr>
          <w:rFonts w:cs="Times New Roman"/>
          <w:b/>
          <w:sz w:val="18"/>
          <w:u w:val="single"/>
        </w:rPr>
        <w:t xml:space="preserve"> </w:t>
      </w:r>
      <w:r w:rsidR="00121271" w:rsidRPr="00ED208F">
        <w:rPr>
          <w:rFonts w:cs="Times New Roman"/>
          <w:b/>
          <w:u w:val="single"/>
        </w:rPr>
        <w:t xml:space="preserve">STSH </w:t>
      </w:r>
      <w:r w:rsidR="0026623D" w:rsidRPr="00121271">
        <w:rPr>
          <w:rFonts w:cs="Times New Roman"/>
          <w:b/>
          <w:u w:val="single"/>
        </w:rPr>
        <w:t>S</w:t>
      </w:r>
      <w:r w:rsidR="0026623D" w:rsidRPr="00BF79A1">
        <w:rPr>
          <w:rFonts w:cs="Times New Roman"/>
          <w:b/>
          <w:u w:val="single"/>
        </w:rPr>
        <w:t>ervices</w:t>
      </w:r>
    </w:p>
    <w:p w14:paraId="1E4C6AC4" w14:textId="30190206" w:rsidR="006845AA" w:rsidRDefault="0026623D">
      <w:pPr>
        <w:pStyle w:val="NoSpacing"/>
        <w:ind w:left="720"/>
      </w:pPr>
      <w:r>
        <w:rPr>
          <w:rFonts w:cs="Times New Roman"/>
        </w:rPr>
        <w:t xml:space="preserve">The </w:t>
      </w:r>
      <w:r w:rsidR="001130A3">
        <w:rPr>
          <w:rFonts w:cs="Times New Roman"/>
        </w:rPr>
        <w:t xml:space="preserve">minimum </w:t>
      </w:r>
      <w:r>
        <w:rPr>
          <w:rFonts w:cs="Times New Roman"/>
        </w:rPr>
        <w:t>grace period for households receiving STRMU</w:t>
      </w:r>
      <w:r w:rsidR="00121271">
        <w:rPr>
          <w:rFonts w:cs="Times New Roman"/>
        </w:rPr>
        <w:t xml:space="preserve"> or STSH</w:t>
      </w:r>
      <w:r>
        <w:rPr>
          <w:rFonts w:cs="Times New Roman"/>
        </w:rPr>
        <w:t xml:space="preserve"> services must be one month of assistance from the end of the month in which the eligible individual died, was </w:t>
      </w:r>
      <w:r>
        <w:t xml:space="preserve">incarcerated, enrolled in </w:t>
      </w:r>
      <w:r w:rsidR="0076705A">
        <w:t xml:space="preserve">substance use </w:t>
      </w:r>
      <w:r>
        <w:t xml:space="preserve">treatment, or entered hospice/long-term health care. The maximum grace period </w:t>
      </w:r>
      <w:r w:rsidR="00B70170">
        <w:t>cannot</w:t>
      </w:r>
      <w:r>
        <w:t xml:space="preserve"> exceed the </w:t>
      </w:r>
      <w:r w:rsidR="000854AE">
        <w:t>21</w:t>
      </w:r>
      <w:r>
        <w:t>-</w:t>
      </w:r>
      <w:r w:rsidR="000854AE">
        <w:t>week</w:t>
      </w:r>
      <w:r>
        <w:t xml:space="preserve"> </w:t>
      </w:r>
      <w:r w:rsidR="000854AE">
        <w:t xml:space="preserve">limit </w:t>
      </w:r>
      <w:r w:rsidR="00121271">
        <w:t>for STRMU services or the 60-</w:t>
      </w:r>
      <w:r w:rsidR="00BB65F1">
        <w:t>night</w:t>
      </w:r>
      <w:r w:rsidR="00121271">
        <w:t xml:space="preserve"> </w:t>
      </w:r>
      <w:r w:rsidR="000854AE">
        <w:t xml:space="preserve">limit </w:t>
      </w:r>
      <w:r w:rsidR="00121271">
        <w:t>for STSH services</w:t>
      </w:r>
      <w:r>
        <w:t>.</w:t>
      </w:r>
    </w:p>
    <w:p w14:paraId="31ECAB1F" w14:textId="77777777" w:rsidR="00495AE2" w:rsidRPr="00495AE2" w:rsidRDefault="00495AE2" w:rsidP="00495AE2">
      <w:pPr>
        <w:pStyle w:val="NoSpacing"/>
        <w:ind w:left="720"/>
        <w:rPr>
          <w:rFonts w:cs="Times New Roman"/>
          <w:b/>
          <w:u w:val="single"/>
        </w:rPr>
      </w:pPr>
    </w:p>
    <w:p w14:paraId="01A00898" w14:textId="181327DB" w:rsidR="009377E8" w:rsidRPr="00BF79A1" w:rsidRDefault="009377E8" w:rsidP="00754E9B">
      <w:pPr>
        <w:pStyle w:val="NoSpacing"/>
        <w:numPr>
          <w:ilvl w:val="1"/>
          <w:numId w:val="36"/>
        </w:numPr>
        <w:rPr>
          <w:rFonts w:cs="Times New Roman"/>
          <w:b/>
          <w:u w:val="single"/>
        </w:rPr>
      </w:pPr>
      <w:r w:rsidRPr="00BF79A1">
        <w:rPr>
          <w:rFonts w:cs="Times New Roman"/>
          <w:b/>
          <w:u w:val="single"/>
        </w:rPr>
        <w:t>Supportive Services</w:t>
      </w:r>
    </w:p>
    <w:p w14:paraId="73764F6F" w14:textId="65FC5FB2" w:rsidR="009377E8" w:rsidRDefault="008F63B2" w:rsidP="009377E8">
      <w:pPr>
        <w:pStyle w:val="NoSpacing"/>
        <w:ind w:left="720"/>
        <w:rPr>
          <w:rFonts w:cs="Times New Roman"/>
        </w:rPr>
      </w:pPr>
      <w:r>
        <w:rPr>
          <w:rFonts w:cs="Times New Roman"/>
        </w:rPr>
        <w:t xml:space="preserve">Supportive Services, specifically </w:t>
      </w:r>
      <w:r w:rsidR="008B2D15">
        <w:rPr>
          <w:rFonts w:cs="Times New Roman"/>
        </w:rPr>
        <w:t>HCM</w:t>
      </w:r>
      <w:r>
        <w:rPr>
          <w:rFonts w:cs="Times New Roman"/>
        </w:rPr>
        <w:t xml:space="preserve">, must be offered to surviving and remaining household members. </w:t>
      </w:r>
      <w:r w:rsidR="00CA43D5">
        <w:rPr>
          <w:rFonts w:cs="Times New Roman"/>
        </w:rPr>
        <w:t xml:space="preserve">Housing case management plans for surviving and remaining household members should detail the terms of the grace period with a goal of transitioning household members </w:t>
      </w:r>
      <w:r w:rsidR="00BC02C5">
        <w:rPr>
          <w:rFonts w:cs="Times New Roman"/>
        </w:rPr>
        <w:t>off</w:t>
      </w:r>
      <w:r w:rsidR="00CA43D5">
        <w:rPr>
          <w:rFonts w:cs="Times New Roman"/>
        </w:rPr>
        <w:t xml:space="preserve"> the program. If household members express a need for continued housing assistance</w:t>
      </w:r>
      <w:r w:rsidR="002E608F">
        <w:rPr>
          <w:rFonts w:cs="Times New Roman"/>
        </w:rPr>
        <w:t xml:space="preserve"> and/or supportive services</w:t>
      </w:r>
      <w:r w:rsidR="00CA43D5">
        <w:rPr>
          <w:rFonts w:cs="Times New Roman"/>
        </w:rPr>
        <w:t>, tasks should focus on referral to other programs that offer housing assistance and</w:t>
      </w:r>
      <w:r w:rsidR="00BE0237">
        <w:rPr>
          <w:rFonts w:cs="Times New Roman"/>
        </w:rPr>
        <w:t>/or</w:t>
      </w:r>
      <w:r w:rsidR="00CA43D5">
        <w:rPr>
          <w:rFonts w:cs="Times New Roman"/>
        </w:rPr>
        <w:t xml:space="preserve"> supportive services.</w:t>
      </w:r>
    </w:p>
    <w:p w14:paraId="6538A2E6" w14:textId="77777777" w:rsidR="00447314" w:rsidRDefault="00447314" w:rsidP="0020236B">
      <w:pPr>
        <w:pStyle w:val="NoSpacing"/>
        <w:ind w:left="720"/>
        <w:rPr>
          <w:rFonts w:cs="Times New Roman"/>
        </w:rPr>
      </w:pPr>
    </w:p>
    <w:p w14:paraId="15194C95" w14:textId="10896C7B" w:rsidR="001E2381" w:rsidRPr="00BF79A1" w:rsidRDefault="005E368C" w:rsidP="00754E9B">
      <w:pPr>
        <w:pStyle w:val="NoSpacing"/>
        <w:numPr>
          <w:ilvl w:val="1"/>
          <w:numId w:val="36"/>
        </w:numPr>
        <w:rPr>
          <w:rFonts w:cs="Times New Roman"/>
          <w:b/>
          <w:u w:val="single"/>
        </w:rPr>
      </w:pPr>
      <w:r w:rsidRPr="00BF79A1">
        <w:rPr>
          <w:rFonts w:cs="Times New Roman"/>
          <w:b/>
          <w:u w:val="single"/>
        </w:rPr>
        <w:t>Roommates</w:t>
      </w:r>
      <w:r w:rsidR="0026623D" w:rsidRPr="00BF79A1">
        <w:rPr>
          <w:rFonts w:cs="Times New Roman"/>
          <w:b/>
          <w:u w:val="single"/>
        </w:rPr>
        <w:t xml:space="preserve"> and Other Households</w:t>
      </w:r>
    </w:p>
    <w:p w14:paraId="069BB8F7" w14:textId="1519ED1D" w:rsidR="001E2381" w:rsidRDefault="009632FA" w:rsidP="0020236B">
      <w:pPr>
        <w:pStyle w:val="NoSpacing"/>
        <w:ind w:left="720"/>
        <w:rPr>
          <w:rFonts w:cs="Times New Roman"/>
        </w:rPr>
      </w:pPr>
      <w:r w:rsidRPr="009632FA">
        <w:rPr>
          <w:rFonts w:cs="Times New Roman"/>
        </w:rPr>
        <w:t>In shared housing arrangements</w:t>
      </w:r>
      <w:r w:rsidR="00100DB8">
        <w:rPr>
          <w:rFonts w:cs="Times New Roman"/>
        </w:rPr>
        <w:t>,</w:t>
      </w:r>
      <w:r w:rsidRPr="009632FA">
        <w:rPr>
          <w:rFonts w:cs="Times New Roman"/>
        </w:rPr>
        <w:t xml:space="preserve"> </w:t>
      </w:r>
      <w:r w:rsidR="00100DB8" w:rsidRPr="00100DB8">
        <w:rPr>
          <w:rFonts w:cs="Times New Roman"/>
        </w:rPr>
        <w:t xml:space="preserve">where two or more unrelated households </w:t>
      </w:r>
      <w:r w:rsidR="00206548">
        <w:rPr>
          <w:rFonts w:cs="Times New Roman"/>
        </w:rPr>
        <w:t xml:space="preserve">voluntarily </w:t>
      </w:r>
      <w:r w:rsidR="00100DB8" w:rsidRPr="00100DB8">
        <w:rPr>
          <w:rFonts w:cs="Times New Roman"/>
        </w:rPr>
        <w:t>live together in a unit</w:t>
      </w:r>
      <w:r w:rsidRPr="009632FA">
        <w:rPr>
          <w:rFonts w:cs="Times New Roman"/>
        </w:rPr>
        <w:t xml:space="preserve">, </w:t>
      </w:r>
      <w:r w:rsidR="00EA4A06">
        <w:rPr>
          <w:rFonts w:cs="Times New Roman"/>
        </w:rPr>
        <w:t>g</w:t>
      </w:r>
      <w:r w:rsidR="00EA4A06" w:rsidRPr="009632FA">
        <w:rPr>
          <w:rFonts w:cs="Times New Roman"/>
        </w:rPr>
        <w:t xml:space="preserve">race periods may be extended only to surviving or remaining </w:t>
      </w:r>
      <w:r w:rsidR="00EA4A06">
        <w:rPr>
          <w:rFonts w:cs="Times New Roman"/>
        </w:rPr>
        <w:t>participant household members</w:t>
      </w:r>
      <w:r w:rsidR="00EA4A06" w:rsidRPr="009632FA">
        <w:rPr>
          <w:rFonts w:cs="Times New Roman"/>
        </w:rPr>
        <w:t xml:space="preserve"> (“Additional Beneficiaries”)</w:t>
      </w:r>
      <w:r w:rsidR="00EA4A06">
        <w:rPr>
          <w:rFonts w:cs="Times New Roman"/>
        </w:rPr>
        <w:t xml:space="preserve">. </w:t>
      </w:r>
      <w:r w:rsidRPr="009632FA">
        <w:rPr>
          <w:rFonts w:cs="Times New Roman"/>
        </w:rPr>
        <w:t xml:space="preserve">Project Sponsors </w:t>
      </w:r>
      <w:r w:rsidR="00B70170">
        <w:rPr>
          <w:rFonts w:cs="Times New Roman"/>
        </w:rPr>
        <w:t>cannot</w:t>
      </w:r>
      <w:r w:rsidRPr="009632FA">
        <w:rPr>
          <w:rFonts w:cs="Times New Roman"/>
        </w:rPr>
        <w:t xml:space="preserve"> extend grace periods to other households (roommates).</w:t>
      </w:r>
    </w:p>
    <w:p w14:paraId="01B563AE" w14:textId="77777777" w:rsidR="002A566B" w:rsidRDefault="002A566B" w:rsidP="002A61C8">
      <w:pPr>
        <w:pStyle w:val="NoSpacing"/>
      </w:pPr>
    </w:p>
    <w:p w14:paraId="1D24F15C" w14:textId="69790603" w:rsidR="00903C64" w:rsidRPr="00BF79A1" w:rsidRDefault="00614D65" w:rsidP="0020236B">
      <w:pPr>
        <w:pStyle w:val="Heading1"/>
      </w:pPr>
      <w:bookmarkStart w:id="56" w:name="_Toc140755482"/>
      <w:r>
        <w:t>Section 1</w:t>
      </w:r>
      <w:r w:rsidR="00DA1EAC">
        <w:t>9</w:t>
      </w:r>
      <w:r>
        <w:t>.</w:t>
      </w:r>
      <w:r w:rsidR="00BF79A1">
        <w:t xml:space="preserve"> </w:t>
      </w:r>
      <w:r w:rsidR="005E368C" w:rsidRPr="00BF79A1">
        <w:t>Program Reporting</w:t>
      </w:r>
      <w:r w:rsidR="00F320FF">
        <w:t xml:space="preserve"> and </w:t>
      </w:r>
      <w:r w:rsidR="00B107AF">
        <w:t>Reviewing</w:t>
      </w:r>
      <w:r w:rsidR="00B107AF" w:rsidRPr="00BF79A1">
        <w:t xml:space="preserve"> </w:t>
      </w:r>
      <w:r w:rsidR="005E368C" w:rsidRPr="00BF79A1">
        <w:t>Requirements</w:t>
      </w:r>
      <w:bookmarkEnd w:id="56"/>
    </w:p>
    <w:p w14:paraId="2D4C0507" w14:textId="3DC1E764" w:rsidR="001E2381" w:rsidRPr="006030A8" w:rsidRDefault="005E368C" w:rsidP="00754E9B">
      <w:pPr>
        <w:pStyle w:val="NoSpacing"/>
        <w:numPr>
          <w:ilvl w:val="1"/>
          <w:numId w:val="37"/>
        </w:numPr>
        <w:rPr>
          <w:rFonts w:cs="Times New Roman"/>
          <w:b/>
          <w:u w:val="single"/>
        </w:rPr>
      </w:pPr>
      <w:r w:rsidRPr="006030A8">
        <w:rPr>
          <w:rFonts w:cs="Times New Roman"/>
          <w:b/>
          <w:u w:val="single"/>
        </w:rPr>
        <w:t xml:space="preserve">Semi-Annual </w:t>
      </w:r>
      <w:r w:rsidR="006030A8" w:rsidRPr="006030A8">
        <w:rPr>
          <w:rFonts w:cs="Times New Roman"/>
          <w:b/>
          <w:u w:val="single"/>
        </w:rPr>
        <w:t xml:space="preserve">and </w:t>
      </w:r>
      <w:r w:rsidR="00E2769F">
        <w:rPr>
          <w:rFonts w:cs="Times New Roman"/>
          <w:b/>
          <w:u w:val="single"/>
        </w:rPr>
        <w:t>Annual</w:t>
      </w:r>
      <w:r w:rsidR="006030A8" w:rsidRPr="006030A8">
        <w:rPr>
          <w:rFonts w:cs="Times New Roman"/>
          <w:b/>
          <w:u w:val="single"/>
        </w:rPr>
        <w:t xml:space="preserve"> Program Progress </w:t>
      </w:r>
      <w:r w:rsidRPr="006030A8">
        <w:rPr>
          <w:rFonts w:cs="Times New Roman"/>
          <w:b/>
          <w:u w:val="single"/>
        </w:rPr>
        <w:t>Reports</w:t>
      </w:r>
      <w:r w:rsidR="00F320FF">
        <w:rPr>
          <w:rFonts w:cs="Times New Roman"/>
          <w:b/>
          <w:u w:val="single"/>
        </w:rPr>
        <w:t xml:space="preserve"> and Exhibit A</w:t>
      </w:r>
    </w:p>
    <w:p w14:paraId="4104FD80" w14:textId="26F6C8F7" w:rsidR="002F3E2F" w:rsidRDefault="006030A8" w:rsidP="006030A8">
      <w:pPr>
        <w:pStyle w:val="NoSpacing"/>
        <w:ind w:left="720"/>
        <w:rPr>
          <w:rFonts w:cs="Times New Roman"/>
        </w:rPr>
      </w:pPr>
      <w:r w:rsidRPr="006030A8">
        <w:rPr>
          <w:rFonts w:cs="Times New Roman"/>
        </w:rPr>
        <w:t>AA</w:t>
      </w:r>
      <w:r>
        <w:rPr>
          <w:rFonts w:cs="Times New Roman"/>
        </w:rPr>
        <w:t>s</w:t>
      </w:r>
      <w:r w:rsidRPr="006030A8">
        <w:rPr>
          <w:rFonts w:cs="Times New Roman"/>
        </w:rPr>
        <w:t xml:space="preserve"> a</w:t>
      </w:r>
      <w:r>
        <w:rPr>
          <w:rFonts w:cs="Times New Roman"/>
        </w:rPr>
        <w:t xml:space="preserve">nd Project Sponsors (through </w:t>
      </w:r>
      <w:r w:rsidR="002D08A1">
        <w:rPr>
          <w:rFonts w:cs="Times New Roman"/>
        </w:rPr>
        <w:t>the</w:t>
      </w:r>
      <w:r w:rsidR="00761374">
        <w:rPr>
          <w:rFonts w:cs="Times New Roman"/>
        </w:rPr>
        <w:t>ir</w:t>
      </w:r>
      <w:r w:rsidR="002D08A1">
        <w:rPr>
          <w:rFonts w:cs="Times New Roman"/>
        </w:rPr>
        <w:t xml:space="preserve"> AA</w:t>
      </w:r>
      <w:r>
        <w:rPr>
          <w:rFonts w:cs="Times New Roman"/>
        </w:rPr>
        <w:t>s</w:t>
      </w:r>
      <w:r w:rsidRPr="006030A8">
        <w:rPr>
          <w:rFonts w:cs="Times New Roman"/>
        </w:rPr>
        <w:t xml:space="preserve">) must submit </w:t>
      </w:r>
      <w:r>
        <w:rPr>
          <w:rFonts w:cs="Times New Roman"/>
        </w:rPr>
        <w:t xml:space="preserve">Semi-Annual and </w:t>
      </w:r>
      <w:r w:rsidR="00E2769F">
        <w:rPr>
          <w:rFonts w:cs="Times New Roman"/>
        </w:rPr>
        <w:t>Annual</w:t>
      </w:r>
      <w:r>
        <w:rPr>
          <w:rFonts w:cs="Times New Roman"/>
        </w:rPr>
        <w:t xml:space="preserve"> Program Progress Reports </w:t>
      </w:r>
      <w:r w:rsidR="00292565">
        <w:rPr>
          <w:rFonts w:cs="Times New Roman"/>
        </w:rPr>
        <w:t xml:space="preserve">(PPRs) </w:t>
      </w:r>
      <w:r>
        <w:rPr>
          <w:rFonts w:cs="Times New Roman"/>
        </w:rPr>
        <w:t>to DSHS</w:t>
      </w:r>
      <w:r w:rsidR="00AD0842">
        <w:rPr>
          <w:rFonts w:cs="Times New Roman"/>
        </w:rPr>
        <w:t xml:space="preserve"> in a timely manner</w:t>
      </w:r>
      <w:r>
        <w:rPr>
          <w:rFonts w:cs="Times New Roman"/>
        </w:rPr>
        <w:t xml:space="preserve">. </w:t>
      </w:r>
      <w:r w:rsidR="00E22010">
        <w:rPr>
          <w:rFonts w:cs="Times New Roman"/>
        </w:rPr>
        <w:t>Additionally</w:t>
      </w:r>
      <w:r>
        <w:rPr>
          <w:rFonts w:cs="Times New Roman"/>
        </w:rPr>
        <w:t xml:space="preserve">, AAs must submit Exhibit A to report Semi-Annual and </w:t>
      </w:r>
      <w:r w:rsidR="00E2769F">
        <w:rPr>
          <w:rFonts w:cs="Times New Roman"/>
        </w:rPr>
        <w:t>Annual</w:t>
      </w:r>
      <w:r>
        <w:rPr>
          <w:rFonts w:cs="Times New Roman"/>
        </w:rPr>
        <w:t xml:space="preserve"> expenditures for their Project Sponsors. </w:t>
      </w:r>
      <w:r w:rsidR="002F3E2F">
        <w:rPr>
          <w:rFonts w:cs="Times New Roman"/>
        </w:rPr>
        <w:t xml:space="preserve">AAs email reports for each HSDA to </w:t>
      </w:r>
      <w:hyperlink r:id="rId108" w:history="1">
        <w:r w:rsidR="00E22010" w:rsidRPr="00E22010">
          <w:rPr>
            <w:rStyle w:val="Hyperlink"/>
            <w:rFonts w:cs="Times New Roman"/>
          </w:rPr>
          <w:t>HIVSTDReport.Tech@dshs.texas.gov</w:t>
        </w:r>
      </w:hyperlink>
      <w:r w:rsidR="002F3E2F">
        <w:rPr>
          <w:rFonts w:cs="Times New Roman"/>
        </w:rPr>
        <w:t xml:space="preserve"> and CC the DSHS HOPWA Coordinator. </w:t>
      </w:r>
      <w:r>
        <w:rPr>
          <w:rFonts w:cs="Times New Roman"/>
        </w:rPr>
        <w:t>DSHS</w:t>
      </w:r>
      <w:r w:rsidR="00E84CB8">
        <w:rPr>
          <w:rFonts w:cs="Times New Roman"/>
        </w:rPr>
        <w:t xml:space="preserve"> uses these reports</w:t>
      </w:r>
      <w:r>
        <w:rPr>
          <w:rFonts w:cs="Times New Roman"/>
        </w:rPr>
        <w:t xml:space="preserve"> to produce the Consolidated Annual Performance and Evaluation Report</w:t>
      </w:r>
      <w:r w:rsidR="00547784">
        <w:rPr>
          <w:rFonts w:cs="Times New Roman"/>
        </w:rPr>
        <w:t xml:space="preserve"> (CAPER)</w:t>
      </w:r>
      <w:r w:rsidR="004E1D93">
        <w:rPr>
          <w:rFonts w:cs="Times New Roman"/>
        </w:rPr>
        <w:t xml:space="preserve">, which it </w:t>
      </w:r>
      <w:r w:rsidR="008A3632">
        <w:rPr>
          <w:rFonts w:cs="Times New Roman"/>
        </w:rPr>
        <w:t>submit</w:t>
      </w:r>
      <w:r w:rsidR="004E1D93">
        <w:rPr>
          <w:rFonts w:cs="Times New Roman"/>
        </w:rPr>
        <w:t>s</w:t>
      </w:r>
      <w:r w:rsidR="008A3632">
        <w:rPr>
          <w:rFonts w:cs="Times New Roman"/>
        </w:rPr>
        <w:t xml:space="preserve"> to HUD by November 30 each year</w:t>
      </w:r>
      <w:r>
        <w:rPr>
          <w:rFonts w:cs="Times New Roman"/>
        </w:rPr>
        <w:t xml:space="preserve">. </w:t>
      </w:r>
      <w:r w:rsidRPr="006030A8">
        <w:rPr>
          <w:rFonts w:cs="Times New Roman"/>
        </w:rPr>
        <w:t xml:space="preserve">The </w:t>
      </w:r>
      <w:r w:rsidR="00547784">
        <w:rPr>
          <w:rFonts w:cs="Times New Roman"/>
        </w:rPr>
        <w:t>CAPER-reporting period</w:t>
      </w:r>
      <w:r w:rsidRPr="006030A8">
        <w:rPr>
          <w:rFonts w:cs="Times New Roman"/>
        </w:rPr>
        <w:t xml:space="preserve"> begins on </w:t>
      </w:r>
      <w:r w:rsidR="00492318">
        <w:rPr>
          <w:rFonts w:cs="Times New Roman"/>
        </w:rPr>
        <w:t>September</w:t>
      </w:r>
      <w:r w:rsidR="00492318" w:rsidRPr="006030A8">
        <w:rPr>
          <w:rFonts w:cs="Times New Roman"/>
        </w:rPr>
        <w:t xml:space="preserve"> </w:t>
      </w:r>
      <w:r w:rsidRPr="006030A8">
        <w:rPr>
          <w:rFonts w:cs="Times New Roman"/>
        </w:rPr>
        <w:t xml:space="preserve">1 and ends </w:t>
      </w:r>
      <w:r w:rsidR="00547784">
        <w:rPr>
          <w:rFonts w:cs="Times New Roman"/>
        </w:rPr>
        <w:t xml:space="preserve">on </w:t>
      </w:r>
      <w:r w:rsidR="000F0C40">
        <w:rPr>
          <w:rFonts w:cs="Times New Roman"/>
        </w:rPr>
        <w:t xml:space="preserve">August </w:t>
      </w:r>
      <w:r w:rsidR="00547784">
        <w:rPr>
          <w:rFonts w:cs="Times New Roman"/>
        </w:rPr>
        <w:t>31 of the next calendar year.</w:t>
      </w:r>
      <w:r w:rsidR="00A06078">
        <w:rPr>
          <w:rFonts w:cs="Times New Roman"/>
        </w:rPr>
        <w:t xml:space="preserve"> </w:t>
      </w:r>
      <w:r w:rsidR="002F3E2F">
        <w:rPr>
          <w:rFonts w:cs="Times New Roman"/>
        </w:rPr>
        <w:t xml:space="preserve">The AA and Project Sponsor versions of the </w:t>
      </w:r>
      <w:r w:rsidR="00292565">
        <w:rPr>
          <w:rFonts w:cs="Times New Roman"/>
        </w:rPr>
        <w:t>PPR</w:t>
      </w:r>
      <w:r w:rsidR="002F3E2F">
        <w:rPr>
          <w:rFonts w:cs="Times New Roman"/>
        </w:rPr>
        <w:t xml:space="preserve"> and the AA Exhibit A </w:t>
      </w:r>
      <w:r w:rsidR="00F320FF">
        <w:rPr>
          <w:rFonts w:cs="Times New Roman"/>
        </w:rPr>
        <w:t>are located</w:t>
      </w:r>
      <w:r w:rsidR="00E83027">
        <w:rPr>
          <w:rFonts w:cs="Times New Roman"/>
        </w:rPr>
        <w:t xml:space="preserve"> </w:t>
      </w:r>
      <w:hyperlink r:id="rId109" w:history="1">
        <w:r w:rsidR="00E83027">
          <w:rPr>
            <w:rStyle w:val="Hyperlink"/>
            <w:rFonts w:cs="Times New Roman"/>
          </w:rPr>
          <w:t>here</w:t>
        </w:r>
      </w:hyperlink>
      <w:r w:rsidR="002F3E2F">
        <w:rPr>
          <w:rFonts w:cs="Times New Roman"/>
        </w:rPr>
        <w:t>.</w:t>
      </w:r>
    </w:p>
    <w:tbl>
      <w:tblPr>
        <w:tblStyle w:val="TableGrid"/>
        <w:tblW w:w="10224" w:type="dxa"/>
        <w:tblInd w:w="720"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638"/>
        <w:gridCol w:w="1638"/>
        <w:gridCol w:w="4230"/>
        <w:gridCol w:w="2718"/>
      </w:tblGrid>
      <w:tr w:rsidR="002E608F" w14:paraId="2DC8EB89" w14:textId="77777777" w:rsidTr="000B43DF">
        <w:trPr>
          <w:trHeight w:val="20"/>
        </w:trPr>
        <w:tc>
          <w:tcPr>
            <w:tcW w:w="750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tcPr>
          <w:p w14:paraId="204A432F" w14:textId="64887635" w:rsidR="002E608F" w:rsidRPr="00547784" w:rsidRDefault="00A06078">
            <w:pPr>
              <w:pStyle w:val="NoSpacing"/>
              <w:rPr>
                <w:rFonts w:cs="Times New Roman"/>
                <w:b/>
              </w:rPr>
            </w:pPr>
            <w:r w:rsidRPr="00A06078">
              <w:rPr>
                <w:rFonts w:cs="Times New Roman"/>
                <w:b/>
              </w:rPr>
              <w:t xml:space="preserve">Semi-Annual and </w:t>
            </w:r>
            <w:r w:rsidR="00E2769F">
              <w:rPr>
                <w:rFonts w:cs="Times New Roman"/>
                <w:b/>
              </w:rPr>
              <w:t>Annual</w:t>
            </w:r>
            <w:r w:rsidRPr="00A06078">
              <w:rPr>
                <w:rFonts w:cs="Times New Roman"/>
                <w:b/>
              </w:rPr>
              <w:t xml:space="preserve"> Program Progress Reports and Exhibit A</w:t>
            </w:r>
          </w:p>
        </w:tc>
        <w:tc>
          <w:tcPr>
            <w:tcW w:w="2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tcPr>
          <w:p w14:paraId="36D53E6F" w14:textId="6D1731F7" w:rsidR="002E608F" w:rsidRPr="00ED208F" w:rsidRDefault="002E608F" w:rsidP="00547784">
            <w:pPr>
              <w:pStyle w:val="NoSpacing"/>
              <w:rPr>
                <w:rFonts w:cs="Times New Roman"/>
                <w:b/>
              </w:rPr>
            </w:pPr>
            <w:r w:rsidRPr="00A06078">
              <w:rPr>
                <w:rFonts w:cs="Times New Roman"/>
                <w:b/>
              </w:rPr>
              <w:t>Due to DSHS</w:t>
            </w:r>
          </w:p>
        </w:tc>
      </w:tr>
      <w:tr w:rsidR="00E37AB7" w14:paraId="59CFE78D" w14:textId="77777777" w:rsidTr="000B43DF">
        <w:trPr>
          <w:trHeight w:val="20"/>
        </w:trPr>
        <w:tc>
          <w:tcPr>
            <w:tcW w:w="1638" w:type="dxa"/>
            <w:tcBorders>
              <w:top w:val="single" w:sz="4" w:space="0" w:color="FFFFFF" w:themeColor="background1"/>
              <w:left w:val="single" w:sz="4" w:space="0" w:color="FFFFFF" w:themeColor="background1"/>
              <w:bottom w:val="nil"/>
              <w:right w:val="nil"/>
            </w:tcBorders>
            <w:shd w:val="clear" w:color="auto" w:fill="DEEAF6" w:themeFill="accent1" w:themeFillTint="33"/>
          </w:tcPr>
          <w:p w14:paraId="2861339C" w14:textId="1FF76C95" w:rsidR="00E37AB7" w:rsidRDefault="00E37AB7" w:rsidP="00E37AB7">
            <w:pPr>
              <w:pStyle w:val="NoSpacing"/>
              <w:rPr>
                <w:rFonts w:cs="Times New Roman"/>
              </w:rPr>
            </w:pPr>
            <w:r>
              <w:t>Period 1 (</w:t>
            </w:r>
            <w:proofErr w:type="spellStart"/>
            <w:r>
              <w:t>P1</w:t>
            </w:r>
            <w:proofErr w:type="spellEnd"/>
            <w:r>
              <w:t>)</w:t>
            </w:r>
          </w:p>
        </w:tc>
        <w:tc>
          <w:tcPr>
            <w:tcW w:w="1638" w:type="dxa"/>
            <w:tcBorders>
              <w:top w:val="single" w:sz="4" w:space="0" w:color="FFFFFF" w:themeColor="background1"/>
              <w:left w:val="nil"/>
              <w:bottom w:val="nil"/>
              <w:right w:val="nil"/>
            </w:tcBorders>
            <w:shd w:val="clear" w:color="auto" w:fill="DEEAF6" w:themeFill="accent1" w:themeFillTint="33"/>
          </w:tcPr>
          <w:p w14:paraId="34059FCC" w14:textId="720D4ED7" w:rsidR="00E37AB7" w:rsidRDefault="00E37AB7" w:rsidP="00E37AB7">
            <w:pPr>
              <w:pStyle w:val="NoSpacing"/>
              <w:rPr>
                <w:rFonts w:cs="Times New Roman"/>
              </w:rPr>
            </w:pPr>
            <w:r>
              <w:t>Semi-Annual</w:t>
            </w:r>
          </w:p>
        </w:tc>
        <w:tc>
          <w:tcPr>
            <w:tcW w:w="4230" w:type="dxa"/>
            <w:tcBorders>
              <w:top w:val="single" w:sz="4" w:space="0" w:color="FFFFFF" w:themeColor="background1"/>
              <w:left w:val="nil"/>
              <w:bottom w:val="nil"/>
              <w:right w:val="single" w:sz="4" w:space="0" w:color="FFFFFF" w:themeColor="background1"/>
            </w:tcBorders>
            <w:shd w:val="clear" w:color="auto" w:fill="DEEAF6" w:themeFill="accent1" w:themeFillTint="33"/>
          </w:tcPr>
          <w:p w14:paraId="61977F4F" w14:textId="127BFC5C" w:rsidR="00E37AB7" w:rsidRDefault="00E37AB7">
            <w:pPr>
              <w:pStyle w:val="NoSpacing"/>
              <w:rPr>
                <w:rFonts w:cs="Times New Roman"/>
              </w:rPr>
            </w:pPr>
            <w:r>
              <w:t>Covers 0</w:t>
            </w:r>
            <w:r w:rsidR="00492318">
              <w:t>9</w:t>
            </w:r>
            <w:r>
              <w:t>/01</w:t>
            </w:r>
            <w:r w:rsidR="004659D3">
              <w:t xml:space="preserve"> </w:t>
            </w:r>
            <w:r>
              <w:t xml:space="preserve">– </w:t>
            </w:r>
            <w:r w:rsidR="00492318">
              <w:t>02</w:t>
            </w:r>
            <w:r>
              <w:t>/</w:t>
            </w:r>
            <w:r w:rsidR="00492318">
              <w:t>28</w:t>
            </w:r>
          </w:p>
        </w:tc>
        <w:tc>
          <w:tcPr>
            <w:tcW w:w="2718"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tcPr>
          <w:p w14:paraId="21627930" w14:textId="745E7CEB" w:rsidR="00E37AB7" w:rsidRDefault="00492318" w:rsidP="00E37AB7">
            <w:pPr>
              <w:pStyle w:val="NoSpacing"/>
              <w:rPr>
                <w:rFonts w:cs="Times New Roman"/>
              </w:rPr>
            </w:pPr>
            <w:r>
              <w:t>03</w:t>
            </w:r>
            <w:r w:rsidR="00E37AB7">
              <w:t>/</w:t>
            </w:r>
            <w:r>
              <w:t>31</w:t>
            </w:r>
          </w:p>
        </w:tc>
      </w:tr>
      <w:tr w:rsidR="00E37AB7" w14:paraId="07933A65" w14:textId="77777777" w:rsidTr="000B43DF">
        <w:trPr>
          <w:trHeight w:val="20"/>
        </w:trPr>
        <w:tc>
          <w:tcPr>
            <w:tcW w:w="1638" w:type="dxa"/>
            <w:tcBorders>
              <w:top w:val="nil"/>
              <w:left w:val="single" w:sz="4" w:space="0" w:color="FFFFFF" w:themeColor="background1"/>
              <w:bottom w:val="single" w:sz="4" w:space="0" w:color="FFFFFF" w:themeColor="background1"/>
              <w:right w:val="nil"/>
            </w:tcBorders>
            <w:shd w:val="clear" w:color="auto" w:fill="DEEAF6" w:themeFill="accent1" w:themeFillTint="33"/>
          </w:tcPr>
          <w:p w14:paraId="5CDBBFA4" w14:textId="4EB59890" w:rsidR="00E37AB7" w:rsidRDefault="00E37AB7" w:rsidP="00E37AB7">
            <w:pPr>
              <w:pStyle w:val="NoSpacing"/>
              <w:rPr>
                <w:rFonts w:cs="Times New Roman"/>
              </w:rPr>
            </w:pPr>
            <w:r>
              <w:t>Period 2 (</w:t>
            </w:r>
            <w:proofErr w:type="spellStart"/>
            <w:r>
              <w:t>P2</w:t>
            </w:r>
            <w:proofErr w:type="spellEnd"/>
            <w:r>
              <w:t>)</w:t>
            </w:r>
          </w:p>
        </w:tc>
        <w:tc>
          <w:tcPr>
            <w:tcW w:w="1638" w:type="dxa"/>
            <w:tcBorders>
              <w:top w:val="nil"/>
              <w:left w:val="nil"/>
              <w:bottom w:val="single" w:sz="4" w:space="0" w:color="FFFFFF" w:themeColor="background1"/>
              <w:right w:val="nil"/>
            </w:tcBorders>
            <w:shd w:val="clear" w:color="auto" w:fill="DEEAF6" w:themeFill="accent1" w:themeFillTint="33"/>
          </w:tcPr>
          <w:p w14:paraId="7553DDD4" w14:textId="623E5A94" w:rsidR="00E37AB7" w:rsidRDefault="00E2769F" w:rsidP="00E37AB7">
            <w:pPr>
              <w:pStyle w:val="NoSpacing"/>
              <w:rPr>
                <w:rFonts w:cs="Times New Roman"/>
              </w:rPr>
            </w:pPr>
            <w:r>
              <w:t>Annual</w:t>
            </w:r>
          </w:p>
        </w:tc>
        <w:tc>
          <w:tcPr>
            <w:tcW w:w="4230" w:type="dxa"/>
            <w:tcBorders>
              <w:top w:val="nil"/>
              <w:left w:val="nil"/>
              <w:bottom w:val="single" w:sz="4" w:space="0" w:color="FFFFFF" w:themeColor="background1"/>
              <w:right w:val="single" w:sz="4" w:space="0" w:color="FFFFFF" w:themeColor="background1"/>
            </w:tcBorders>
            <w:shd w:val="clear" w:color="auto" w:fill="DEEAF6" w:themeFill="accent1" w:themeFillTint="33"/>
          </w:tcPr>
          <w:p w14:paraId="2D58FEA6" w14:textId="6D0DF606" w:rsidR="00E37AB7" w:rsidRPr="00B553FE" w:rsidRDefault="00E37AB7" w:rsidP="00E37AB7">
            <w:pPr>
              <w:pStyle w:val="NoSpacing"/>
              <w:rPr>
                <w:rFonts w:cs="Times New Roman"/>
              </w:rPr>
            </w:pPr>
            <w:r>
              <w:t>Covers 0</w:t>
            </w:r>
            <w:r w:rsidR="00492318">
              <w:t>9</w:t>
            </w:r>
            <w:r>
              <w:t>/01</w:t>
            </w:r>
            <w:r w:rsidR="004659D3">
              <w:t xml:space="preserve"> </w:t>
            </w:r>
            <w:r>
              <w:t>– 08/31</w:t>
            </w:r>
            <w:r w:rsidR="004659D3">
              <w:t xml:space="preserve"> </w:t>
            </w:r>
            <w:r>
              <w:t>(Cumulative)</w:t>
            </w:r>
          </w:p>
        </w:tc>
        <w:tc>
          <w:tcPr>
            <w:tcW w:w="2718" w:type="dxa"/>
            <w:tcBorders>
              <w:top w:val="nil"/>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tcPr>
          <w:p w14:paraId="2D71F365" w14:textId="771F9DEF" w:rsidR="00E37AB7" w:rsidRDefault="00E37AB7" w:rsidP="00E37AB7">
            <w:pPr>
              <w:pStyle w:val="NoSpacing"/>
              <w:rPr>
                <w:rFonts w:cs="Times New Roman"/>
              </w:rPr>
            </w:pPr>
            <w:r>
              <w:t>10/15</w:t>
            </w:r>
          </w:p>
        </w:tc>
      </w:tr>
    </w:tbl>
    <w:p w14:paraId="7FB84D66" w14:textId="77777777" w:rsidR="001717BA" w:rsidRDefault="001717BA" w:rsidP="001717BA">
      <w:pPr>
        <w:pStyle w:val="NoSpacing"/>
        <w:ind w:left="720"/>
        <w:rPr>
          <w:rFonts w:cs="Times New Roman"/>
          <w:b/>
          <w:u w:val="single"/>
        </w:rPr>
      </w:pPr>
    </w:p>
    <w:p w14:paraId="04CF55E6" w14:textId="4076510F" w:rsidR="000C3DC6" w:rsidRDefault="000C3DC6" w:rsidP="00754E9B">
      <w:pPr>
        <w:pStyle w:val="NoSpacing"/>
        <w:numPr>
          <w:ilvl w:val="1"/>
          <w:numId w:val="37"/>
        </w:numPr>
        <w:rPr>
          <w:rFonts w:cs="Times New Roman"/>
          <w:b/>
          <w:u w:val="single"/>
        </w:rPr>
      </w:pPr>
      <w:r>
        <w:rPr>
          <w:rFonts w:cs="Times New Roman"/>
          <w:b/>
          <w:u w:val="single"/>
        </w:rPr>
        <w:t>Exhibit B</w:t>
      </w:r>
    </w:p>
    <w:p w14:paraId="7F5A0BF0" w14:textId="26CEE004" w:rsidR="006845AA" w:rsidRDefault="00A06078">
      <w:pPr>
        <w:pStyle w:val="NoSpacing"/>
        <w:ind w:left="720"/>
        <w:rPr>
          <w:rFonts w:cs="Times New Roman"/>
        </w:rPr>
      </w:pPr>
      <w:r w:rsidRPr="00A06078">
        <w:rPr>
          <w:rFonts w:cs="Times New Roman"/>
        </w:rPr>
        <w:t xml:space="preserve">AAs must submit Exhibit B </w:t>
      </w:r>
      <w:r>
        <w:rPr>
          <w:rFonts w:cs="Times New Roman"/>
        </w:rPr>
        <w:t xml:space="preserve">to DSHS </w:t>
      </w:r>
      <w:r w:rsidRPr="00A06078">
        <w:rPr>
          <w:rFonts w:cs="Times New Roman"/>
        </w:rPr>
        <w:t>with each voucher for reimbursement</w:t>
      </w:r>
      <w:r w:rsidR="00E22010">
        <w:rPr>
          <w:rFonts w:cs="Times New Roman"/>
        </w:rPr>
        <w:t xml:space="preserve"> submitted</w:t>
      </w:r>
      <w:r w:rsidRPr="00A06078">
        <w:rPr>
          <w:rFonts w:cs="Times New Roman"/>
        </w:rPr>
        <w:t>.</w:t>
      </w:r>
      <w:r>
        <w:rPr>
          <w:rFonts w:cs="Times New Roman"/>
        </w:rPr>
        <w:t xml:space="preserve"> AAs email Exhibit B to</w:t>
      </w:r>
      <w:r w:rsidR="00E22010">
        <w:rPr>
          <w:rFonts w:cs="Times New Roman"/>
        </w:rPr>
        <w:t xml:space="preserve"> </w:t>
      </w:r>
      <w:hyperlink r:id="rId110" w:history="1">
        <w:r w:rsidR="00E22010" w:rsidRPr="00E22010">
          <w:rPr>
            <w:rStyle w:val="Hyperlink"/>
            <w:rFonts w:cs="Times New Roman"/>
          </w:rPr>
          <w:t>Invoices@dshs.texas.gov</w:t>
        </w:r>
      </w:hyperlink>
      <w:r w:rsidR="00E22010">
        <w:rPr>
          <w:rFonts w:cs="Times New Roman"/>
        </w:rPr>
        <w:t>;</w:t>
      </w:r>
      <w:r>
        <w:rPr>
          <w:rFonts w:cs="Times New Roman"/>
        </w:rPr>
        <w:t xml:space="preserve"> </w:t>
      </w:r>
      <w:hyperlink r:id="rId111" w:history="1">
        <w:r w:rsidR="00E22010" w:rsidRPr="00E22010">
          <w:rPr>
            <w:rStyle w:val="Hyperlink"/>
            <w:rFonts w:cs="Times New Roman"/>
          </w:rPr>
          <w:t>CMSInvoices@dshs.texas.gov</w:t>
        </w:r>
      </w:hyperlink>
      <w:r w:rsidR="00E22010">
        <w:rPr>
          <w:rFonts w:cs="Times New Roman"/>
        </w:rPr>
        <w:t xml:space="preserve">; and </w:t>
      </w:r>
      <w:hyperlink r:id="rId112" w:history="1">
        <w:r w:rsidR="00E22010" w:rsidRPr="00E22010">
          <w:rPr>
            <w:rStyle w:val="Hyperlink"/>
            <w:rFonts w:cs="Times New Roman"/>
          </w:rPr>
          <w:t>HIVVSF@dshs.texas.gov</w:t>
        </w:r>
      </w:hyperlink>
      <w:r w:rsidR="00E22010" w:rsidRPr="00E22010">
        <w:rPr>
          <w:rFonts w:cs="Times New Roman"/>
        </w:rPr>
        <w:t xml:space="preserve"> </w:t>
      </w:r>
      <w:r w:rsidR="00E22010">
        <w:rPr>
          <w:rFonts w:cs="Times New Roman"/>
        </w:rPr>
        <w:t>and CC the DSHS HOPWA Coordinator</w:t>
      </w:r>
      <w:r>
        <w:rPr>
          <w:rFonts w:cs="Times New Roman"/>
        </w:rPr>
        <w:t xml:space="preserve">. </w:t>
      </w:r>
      <w:r w:rsidR="0054264B" w:rsidRPr="000B43DF">
        <w:rPr>
          <w:rFonts w:cs="Times New Roman"/>
        </w:rPr>
        <w:t xml:space="preserve">DSHS uses Exhibit B data to </w:t>
      </w:r>
      <w:r w:rsidR="0054264B">
        <w:rPr>
          <w:rFonts w:cs="Times New Roman"/>
        </w:rPr>
        <w:t xml:space="preserve">track and </w:t>
      </w:r>
      <w:r w:rsidR="00B107AF">
        <w:rPr>
          <w:rFonts w:cs="Times New Roman"/>
        </w:rPr>
        <w:t xml:space="preserve">review </w:t>
      </w:r>
      <w:r w:rsidR="0054264B">
        <w:rPr>
          <w:rFonts w:cs="Times New Roman"/>
        </w:rPr>
        <w:t xml:space="preserve">program expenditures by </w:t>
      </w:r>
      <w:r w:rsidR="007D10CA">
        <w:rPr>
          <w:rFonts w:cs="Times New Roman"/>
        </w:rPr>
        <w:t xml:space="preserve">AA, </w:t>
      </w:r>
      <w:r w:rsidR="0054264B">
        <w:rPr>
          <w:rFonts w:cs="Times New Roman"/>
        </w:rPr>
        <w:t>Project Sponsor</w:t>
      </w:r>
      <w:r w:rsidR="007D10CA">
        <w:rPr>
          <w:rFonts w:cs="Times New Roman"/>
        </w:rPr>
        <w:t>,</w:t>
      </w:r>
      <w:r w:rsidR="0054264B">
        <w:rPr>
          <w:rFonts w:cs="Times New Roman"/>
        </w:rPr>
        <w:t xml:space="preserve"> and activity</w:t>
      </w:r>
      <w:r w:rsidR="00DC7476">
        <w:rPr>
          <w:rFonts w:cs="Times New Roman"/>
        </w:rPr>
        <w:t xml:space="preserve"> category</w:t>
      </w:r>
      <w:r w:rsidR="0054264B">
        <w:rPr>
          <w:rFonts w:cs="Times New Roman"/>
        </w:rPr>
        <w:t>.</w:t>
      </w:r>
      <w:r w:rsidR="0058345A">
        <w:rPr>
          <w:rFonts w:cs="Times New Roman"/>
        </w:rPr>
        <w:t xml:space="preserve"> Additionally, DSHS uses Exhibit B data to report expenditures in HUD’s </w:t>
      </w:r>
      <w:r w:rsidR="0058345A" w:rsidRPr="00292565">
        <w:rPr>
          <w:rFonts w:cs="Times New Roman"/>
        </w:rPr>
        <w:t>Integrated Disbursement and Information System (IDIS) database</w:t>
      </w:r>
      <w:r w:rsidR="0058345A">
        <w:rPr>
          <w:rFonts w:cs="Times New Roman"/>
        </w:rPr>
        <w:t>.</w:t>
      </w:r>
      <w:r w:rsidR="00B2777F">
        <w:rPr>
          <w:rFonts w:cs="Times New Roman"/>
        </w:rPr>
        <w:t xml:space="preserve"> </w:t>
      </w:r>
      <w:r w:rsidR="00B74129">
        <w:rPr>
          <w:rFonts w:cs="Times New Roman"/>
        </w:rPr>
        <w:t>Bill d</w:t>
      </w:r>
      <w:r w:rsidR="00B2777F">
        <w:rPr>
          <w:rFonts w:cs="Times New Roman"/>
        </w:rPr>
        <w:t xml:space="preserve">irect </w:t>
      </w:r>
      <w:r w:rsidR="00B74129">
        <w:rPr>
          <w:rFonts w:cs="Times New Roman"/>
        </w:rPr>
        <w:t xml:space="preserve">activity </w:t>
      </w:r>
      <w:r w:rsidR="00B2777F">
        <w:rPr>
          <w:rFonts w:cs="Times New Roman"/>
        </w:rPr>
        <w:t>delivery costs (e.g., s</w:t>
      </w:r>
      <w:r w:rsidR="00B2777F" w:rsidRPr="00B2777F">
        <w:rPr>
          <w:rFonts w:cs="Times New Roman"/>
        </w:rPr>
        <w:t>taff costs</w:t>
      </w:r>
      <w:r w:rsidR="00B2777F">
        <w:rPr>
          <w:rFonts w:cs="Times New Roman"/>
        </w:rPr>
        <w:t>, etc.)</w:t>
      </w:r>
      <w:r w:rsidR="00B2777F" w:rsidRPr="00B2777F">
        <w:rPr>
          <w:rFonts w:cs="Times New Roman"/>
        </w:rPr>
        <w:t xml:space="preserve"> to the associated </w:t>
      </w:r>
      <w:r w:rsidR="00B74129">
        <w:rPr>
          <w:rFonts w:cs="Times New Roman"/>
        </w:rPr>
        <w:t>activity category</w:t>
      </w:r>
      <w:r w:rsidR="00B2777F" w:rsidRPr="00B2777F">
        <w:rPr>
          <w:rFonts w:cs="Times New Roman"/>
        </w:rPr>
        <w:t xml:space="preserve"> budget line item. </w:t>
      </w:r>
      <w:r w:rsidR="00833FAA" w:rsidRPr="00833FAA">
        <w:rPr>
          <w:rFonts w:cs="Times New Roman"/>
        </w:rPr>
        <w:t>Do not bill costs associated with the delivery of housing assistance, supportive services, housing information services</w:t>
      </w:r>
      <w:r w:rsidR="00B74129">
        <w:rPr>
          <w:rFonts w:cs="Times New Roman"/>
        </w:rPr>
        <w:t>, or resource identification</w:t>
      </w:r>
      <w:r w:rsidR="00833FAA" w:rsidRPr="00833FAA">
        <w:rPr>
          <w:rFonts w:cs="Times New Roman"/>
        </w:rPr>
        <w:t xml:space="preserve"> entirely to HCM or Administration if the cost directly relates to another budget line item.</w:t>
      </w:r>
    </w:p>
    <w:p w14:paraId="211F1506" w14:textId="458B59C0" w:rsidR="000C3DC6" w:rsidRPr="000B43DF" w:rsidRDefault="000C3DC6" w:rsidP="00ED208F">
      <w:pPr>
        <w:pStyle w:val="NoSpacing"/>
        <w:rPr>
          <w:rFonts w:cs="Times New Roman"/>
        </w:rPr>
      </w:pPr>
    </w:p>
    <w:p w14:paraId="5AD54782" w14:textId="0A142997" w:rsidR="00A06078" w:rsidRDefault="00A06078" w:rsidP="00754E9B">
      <w:pPr>
        <w:pStyle w:val="NoSpacing"/>
        <w:numPr>
          <w:ilvl w:val="1"/>
          <w:numId w:val="37"/>
        </w:numPr>
        <w:rPr>
          <w:rFonts w:cs="Times New Roman"/>
          <w:b/>
          <w:u w:val="single"/>
        </w:rPr>
      </w:pPr>
      <w:r>
        <w:rPr>
          <w:rFonts w:cs="Times New Roman"/>
          <w:b/>
          <w:u w:val="single"/>
        </w:rPr>
        <w:t>Financial Status Reports</w:t>
      </w:r>
    </w:p>
    <w:p w14:paraId="43251C9E" w14:textId="3F065682" w:rsidR="00A06078" w:rsidRDefault="00A06078" w:rsidP="00ED208F">
      <w:pPr>
        <w:pStyle w:val="NoSpacing"/>
        <w:ind w:left="720"/>
        <w:rPr>
          <w:rFonts w:cs="Times New Roman"/>
        </w:rPr>
      </w:pPr>
      <w:r>
        <w:rPr>
          <w:rFonts w:cs="Times New Roman"/>
        </w:rPr>
        <w:t xml:space="preserve">AAs must submit Financial Status Reports (FSRs) to DSHS on a </w:t>
      </w:r>
      <w:r w:rsidR="00E22010">
        <w:rPr>
          <w:rFonts w:cs="Times New Roman"/>
        </w:rPr>
        <w:t xml:space="preserve">semi-annual </w:t>
      </w:r>
      <w:r>
        <w:rPr>
          <w:rFonts w:cs="Times New Roman"/>
        </w:rPr>
        <w:t xml:space="preserve">basis. AAs email FSRs to </w:t>
      </w:r>
      <w:hyperlink r:id="rId113" w:history="1">
        <w:r w:rsidR="00BE22D0" w:rsidRPr="00F9608E">
          <w:rPr>
            <w:rStyle w:val="Hyperlink"/>
            <w:rFonts w:cs="Times New Roman"/>
          </w:rPr>
          <w:t>FSRGrants@dshs.texas.gov</w:t>
        </w:r>
      </w:hyperlink>
      <w:r w:rsidR="00E22010" w:rsidRPr="00E22010">
        <w:rPr>
          <w:rFonts w:cs="Times New Roman"/>
        </w:rPr>
        <w:t xml:space="preserve"> </w:t>
      </w:r>
      <w:r w:rsidR="00E22010">
        <w:rPr>
          <w:rFonts w:cs="Times New Roman"/>
        </w:rPr>
        <w:t>and CC the DSHS HOPWA Coordinator</w:t>
      </w:r>
      <w:r>
        <w:rPr>
          <w:rFonts w:cs="Times New Roman"/>
        </w:rPr>
        <w:t>.</w:t>
      </w:r>
    </w:p>
    <w:tbl>
      <w:tblPr>
        <w:tblStyle w:val="TableGrid"/>
        <w:tblW w:w="10224" w:type="dxa"/>
        <w:tblInd w:w="720"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638"/>
        <w:gridCol w:w="5868"/>
        <w:gridCol w:w="2718"/>
      </w:tblGrid>
      <w:tr w:rsidR="00A06078" w:rsidRPr="00F5703E" w14:paraId="4310EE00" w14:textId="77777777" w:rsidTr="00A06078">
        <w:trPr>
          <w:trHeight w:val="20"/>
        </w:trPr>
        <w:tc>
          <w:tcPr>
            <w:tcW w:w="75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tcPr>
          <w:p w14:paraId="18203078" w14:textId="7A15EBCD" w:rsidR="00A06078" w:rsidRPr="00F5703E" w:rsidRDefault="00A06078" w:rsidP="00A06078">
            <w:pPr>
              <w:pStyle w:val="NoSpacing"/>
              <w:rPr>
                <w:rFonts w:cs="Times New Roman"/>
                <w:b/>
              </w:rPr>
            </w:pPr>
            <w:r w:rsidRPr="00F5703E">
              <w:rPr>
                <w:rFonts w:cs="Times New Roman"/>
                <w:b/>
              </w:rPr>
              <w:t>Financial Status Reports</w:t>
            </w:r>
          </w:p>
        </w:tc>
        <w:tc>
          <w:tcPr>
            <w:tcW w:w="2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tcPr>
          <w:p w14:paraId="09F2CF8C" w14:textId="549A4A5A" w:rsidR="00A06078" w:rsidRPr="00F5703E" w:rsidRDefault="00B003C8" w:rsidP="00A06078">
            <w:pPr>
              <w:pStyle w:val="NoSpacing"/>
              <w:rPr>
                <w:rFonts w:cs="Times New Roman"/>
                <w:b/>
              </w:rPr>
            </w:pPr>
            <w:r w:rsidRPr="00F5703E">
              <w:rPr>
                <w:rFonts w:cs="Times New Roman"/>
                <w:b/>
              </w:rPr>
              <w:t>Due to DSHS</w:t>
            </w:r>
          </w:p>
        </w:tc>
      </w:tr>
      <w:tr w:rsidR="00E37AB7" w:rsidRPr="00F5703E" w14:paraId="2A769C91" w14:textId="77777777" w:rsidTr="00943245">
        <w:trPr>
          <w:trHeight w:val="20"/>
        </w:trPr>
        <w:tc>
          <w:tcPr>
            <w:tcW w:w="1638" w:type="dxa"/>
            <w:tcBorders>
              <w:top w:val="nil"/>
              <w:left w:val="single" w:sz="4" w:space="0" w:color="FFFFFF" w:themeColor="background1"/>
              <w:bottom w:val="nil"/>
              <w:right w:val="nil"/>
            </w:tcBorders>
            <w:shd w:val="clear" w:color="auto" w:fill="DEEAF6" w:themeFill="accent1" w:themeFillTint="33"/>
          </w:tcPr>
          <w:p w14:paraId="5088643A" w14:textId="71319550" w:rsidR="00E37AB7" w:rsidRPr="00F5703E" w:rsidRDefault="004659D3" w:rsidP="00E37AB7">
            <w:pPr>
              <w:pStyle w:val="NoSpacing"/>
              <w:rPr>
                <w:rFonts w:cs="Times New Roman"/>
              </w:rPr>
            </w:pPr>
            <w:r>
              <w:t>FSR 1</w:t>
            </w:r>
          </w:p>
        </w:tc>
        <w:tc>
          <w:tcPr>
            <w:tcW w:w="5868" w:type="dxa"/>
            <w:tcBorders>
              <w:top w:val="nil"/>
              <w:left w:val="nil"/>
              <w:bottom w:val="nil"/>
              <w:right w:val="single" w:sz="4" w:space="0" w:color="FFFFFF" w:themeColor="background1"/>
            </w:tcBorders>
            <w:shd w:val="clear" w:color="auto" w:fill="DEEAF6" w:themeFill="accent1" w:themeFillTint="33"/>
          </w:tcPr>
          <w:p w14:paraId="2F188EEB" w14:textId="4D0C8CC8" w:rsidR="00E37AB7" w:rsidRPr="00F5703E" w:rsidRDefault="00E37AB7" w:rsidP="00E37AB7">
            <w:pPr>
              <w:pStyle w:val="NoSpacing"/>
              <w:rPr>
                <w:rFonts w:cs="Times New Roman"/>
              </w:rPr>
            </w:pPr>
            <w:r w:rsidRPr="00F5703E">
              <w:t xml:space="preserve">Covers </w:t>
            </w:r>
            <w:r w:rsidR="004659D3">
              <w:t>09</w:t>
            </w:r>
            <w:r w:rsidRPr="00F5703E">
              <w:t>/01</w:t>
            </w:r>
            <w:r w:rsidR="000C5C4F" w:rsidRPr="00F5703E">
              <w:t xml:space="preserve"> </w:t>
            </w:r>
            <w:r w:rsidRPr="00F5703E">
              <w:t>– 0</w:t>
            </w:r>
            <w:r w:rsidR="00492318">
              <w:t>2</w:t>
            </w:r>
            <w:r w:rsidRPr="00F5703E">
              <w:t>/</w:t>
            </w:r>
            <w:r w:rsidR="00492318">
              <w:t>28</w:t>
            </w:r>
          </w:p>
        </w:tc>
        <w:tc>
          <w:tcPr>
            <w:tcW w:w="2718"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5C2FA26A" w14:textId="0AAB7457" w:rsidR="00E37AB7" w:rsidRPr="00F5703E" w:rsidRDefault="00E37AB7">
            <w:pPr>
              <w:pStyle w:val="NoSpacing"/>
              <w:rPr>
                <w:rFonts w:cs="Times New Roman"/>
              </w:rPr>
            </w:pPr>
            <w:r w:rsidRPr="00F5703E">
              <w:t>0</w:t>
            </w:r>
            <w:r w:rsidR="00492318">
              <w:t>3</w:t>
            </w:r>
            <w:r w:rsidRPr="00F5703E">
              <w:t>/31</w:t>
            </w:r>
          </w:p>
        </w:tc>
      </w:tr>
      <w:tr w:rsidR="00E37AB7" w:rsidRPr="00F5703E" w14:paraId="34CCD829" w14:textId="77777777" w:rsidTr="00066B7E">
        <w:trPr>
          <w:trHeight w:val="20"/>
        </w:trPr>
        <w:tc>
          <w:tcPr>
            <w:tcW w:w="1638" w:type="dxa"/>
            <w:tcBorders>
              <w:top w:val="nil"/>
              <w:left w:val="single" w:sz="4" w:space="0" w:color="FFFFFF" w:themeColor="background1"/>
              <w:bottom w:val="nil"/>
              <w:right w:val="nil"/>
            </w:tcBorders>
            <w:shd w:val="clear" w:color="auto" w:fill="DEEAF6" w:themeFill="accent1" w:themeFillTint="33"/>
          </w:tcPr>
          <w:p w14:paraId="00ED3531" w14:textId="7DE2324F" w:rsidR="00E37AB7" w:rsidRPr="00F5703E" w:rsidRDefault="004659D3" w:rsidP="0027287B">
            <w:pPr>
              <w:pStyle w:val="NoSpacing"/>
              <w:rPr>
                <w:rFonts w:cs="Times New Roman"/>
              </w:rPr>
            </w:pPr>
            <w:r>
              <w:t>FSR 2</w:t>
            </w:r>
          </w:p>
        </w:tc>
        <w:tc>
          <w:tcPr>
            <w:tcW w:w="5868" w:type="dxa"/>
            <w:tcBorders>
              <w:top w:val="nil"/>
              <w:left w:val="nil"/>
              <w:bottom w:val="nil"/>
              <w:right w:val="single" w:sz="4" w:space="0" w:color="FFFFFF" w:themeColor="background1"/>
            </w:tcBorders>
            <w:shd w:val="clear" w:color="auto" w:fill="DEEAF6" w:themeFill="accent1" w:themeFillTint="33"/>
          </w:tcPr>
          <w:p w14:paraId="52C2760C" w14:textId="5938AECC" w:rsidR="00E37AB7" w:rsidRPr="00F5703E" w:rsidRDefault="00E37AB7">
            <w:pPr>
              <w:pStyle w:val="NoSpacing"/>
              <w:rPr>
                <w:rFonts w:cs="Times New Roman"/>
              </w:rPr>
            </w:pPr>
            <w:r w:rsidRPr="00F5703E">
              <w:t xml:space="preserve">Covers </w:t>
            </w:r>
            <w:r w:rsidR="00492318">
              <w:t>0</w:t>
            </w:r>
            <w:r w:rsidR="004659D3">
              <w:t>3</w:t>
            </w:r>
            <w:r w:rsidRPr="00F5703E">
              <w:t>/01</w:t>
            </w:r>
            <w:r w:rsidR="000C5C4F" w:rsidRPr="00F5703E">
              <w:t xml:space="preserve"> </w:t>
            </w:r>
            <w:r w:rsidRPr="00F5703E">
              <w:t xml:space="preserve">– </w:t>
            </w:r>
            <w:r w:rsidR="00492318">
              <w:t>08</w:t>
            </w:r>
            <w:r w:rsidRPr="00F5703E">
              <w:t>/31</w:t>
            </w:r>
          </w:p>
        </w:tc>
        <w:tc>
          <w:tcPr>
            <w:tcW w:w="2718"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093797F2" w14:textId="24C6EDD4" w:rsidR="00E37AB7" w:rsidRPr="00F5703E" w:rsidRDefault="00492318">
            <w:pPr>
              <w:pStyle w:val="NoSpacing"/>
              <w:rPr>
                <w:rFonts w:cs="Times New Roman"/>
              </w:rPr>
            </w:pPr>
            <w:r>
              <w:t>10</w:t>
            </w:r>
            <w:r w:rsidR="00E37AB7" w:rsidRPr="00F5703E">
              <w:t>/</w:t>
            </w:r>
            <w:r>
              <w:t>15</w:t>
            </w:r>
          </w:p>
        </w:tc>
      </w:tr>
    </w:tbl>
    <w:p w14:paraId="0454C39D" w14:textId="5CD76818" w:rsidR="0020236B" w:rsidRDefault="0020236B" w:rsidP="002A61C8">
      <w:pPr>
        <w:spacing w:after="0" w:line="240" w:lineRule="auto"/>
        <w:rPr>
          <w:rFonts w:cs="Times New Roman"/>
        </w:rPr>
      </w:pPr>
    </w:p>
    <w:p w14:paraId="192F44F3" w14:textId="4574EE27" w:rsidR="000C3DC6" w:rsidRDefault="000C3DC6" w:rsidP="0027287B">
      <w:pPr>
        <w:pStyle w:val="NoSpacing"/>
        <w:numPr>
          <w:ilvl w:val="1"/>
          <w:numId w:val="37"/>
        </w:numPr>
        <w:rPr>
          <w:rFonts w:cs="Times New Roman"/>
          <w:b/>
          <w:u w:val="single"/>
        </w:rPr>
      </w:pPr>
      <w:bookmarkStart w:id="57" w:name="_Hlk108532248"/>
      <w:r>
        <w:rPr>
          <w:rFonts w:cs="Times New Roman"/>
          <w:b/>
          <w:u w:val="single"/>
        </w:rPr>
        <w:t>Reallocation Requests</w:t>
      </w:r>
    </w:p>
    <w:p w14:paraId="55D70D1D" w14:textId="693ABBDA" w:rsidR="000C3DC6" w:rsidRDefault="00930E1E">
      <w:pPr>
        <w:pStyle w:val="NoSpacing"/>
        <w:ind w:left="720"/>
        <w:rPr>
          <w:rFonts w:cs="Times New Roman"/>
        </w:rPr>
      </w:pPr>
      <w:r>
        <w:rPr>
          <w:rFonts w:cs="Times New Roman"/>
        </w:rPr>
        <w:t xml:space="preserve">AAs must submit a HOPWA Reallocation Request for every proposed </w:t>
      </w:r>
      <w:r w:rsidR="009F06E9">
        <w:rPr>
          <w:rFonts w:cs="Times New Roman"/>
        </w:rPr>
        <w:t xml:space="preserve">activity </w:t>
      </w:r>
      <w:r>
        <w:rPr>
          <w:rFonts w:cs="Times New Roman"/>
        </w:rPr>
        <w:t xml:space="preserve">reallocation within each </w:t>
      </w:r>
      <w:r w:rsidR="00B5380B">
        <w:rPr>
          <w:rFonts w:cs="Times New Roman"/>
        </w:rPr>
        <w:t xml:space="preserve">Planning Region and/or </w:t>
      </w:r>
      <w:r>
        <w:rPr>
          <w:rFonts w:cs="Times New Roman"/>
        </w:rPr>
        <w:t>HSDA and between</w:t>
      </w:r>
      <w:r w:rsidR="00B5380B">
        <w:rPr>
          <w:rFonts w:cs="Times New Roman"/>
        </w:rPr>
        <w:t xml:space="preserve"> Planning Regions and/or</w:t>
      </w:r>
      <w:r>
        <w:rPr>
          <w:rFonts w:cs="Times New Roman"/>
        </w:rPr>
        <w:t xml:space="preserve"> HSDAs.</w:t>
      </w:r>
      <w:r w:rsidR="00140430">
        <w:rPr>
          <w:rFonts w:cs="Times New Roman"/>
        </w:rPr>
        <w:t xml:space="preserve"> </w:t>
      </w:r>
      <w:r w:rsidR="00140430" w:rsidRPr="00140430">
        <w:rPr>
          <w:rFonts w:cs="Times New Roman"/>
        </w:rPr>
        <w:t xml:space="preserve">AAs email Reallocation Requests to the DSHS </w:t>
      </w:r>
      <w:r w:rsidR="00140430" w:rsidRPr="00140430">
        <w:rPr>
          <w:rFonts w:cs="Times New Roman"/>
        </w:rPr>
        <w:lastRenderedPageBreak/>
        <w:t>HOPWA Coordinator.</w:t>
      </w:r>
      <w:r>
        <w:rPr>
          <w:rFonts w:cs="Times New Roman"/>
        </w:rPr>
        <w:t xml:space="preserve"> </w:t>
      </w:r>
      <w:r w:rsidR="000C3DC6">
        <w:rPr>
          <w:rFonts w:cs="Times New Roman"/>
        </w:rPr>
        <w:t>AAs must r</w:t>
      </w:r>
      <w:r w:rsidR="000C3DC6" w:rsidRPr="000C3DC6">
        <w:rPr>
          <w:rFonts w:cs="Times New Roman"/>
        </w:rPr>
        <w:t>eceive written approval from DSHS for all reallocation requests. All reallocation requests must be submitted no later than 30</w:t>
      </w:r>
      <w:r w:rsidR="000C3DC6">
        <w:rPr>
          <w:rFonts w:cs="Times New Roman"/>
        </w:rPr>
        <w:t xml:space="preserve"> calendar</w:t>
      </w:r>
      <w:r w:rsidR="000C3DC6" w:rsidRPr="000C3DC6">
        <w:rPr>
          <w:rFonts w:cs="Times New Roman"/>
        </w:rPr>
        <w:t xml:space="preserve"> days prior to the last day of the contract term; or with prior program </w:t>
      </w:r>
      <w:r w:rsidR="000C3DC6">
        <w:rPr>
          <w:rFonts w:cs="Times New Roman"/>
        </w:rPr>
        <w:t xml:space="preserve">approval, no later than </w:t>
      </w:r>
      <w:r w:rsidR="000C3DC6" w:rsidRPr="000C3DC6">
        <w:rPr>
          <w:rFonts w:cs="Times New Roman"/>
        </w:rPr>
        <w:t xml:space="preserve">30 days after the expiration of </w:t>
      </w:r>
      <w:r w:rsidR="000C3DC6">
        <w:rPr>
          <w:rFonts w:cs="Times New Roman"/>
        </w:rPr>
        <w:t>a</w:t>
      </w:r>
      <w:r w:rsidR="000C3DC6" w:rsidRPr="000C3DC6">
        <w:rPr>
          <w:rFonts w:cs="Times New Roman"/>
        </w:rPr>
        <w:t xml:space="preserve"> contract.</w:t>
      </w:r>
    </w:p>
    <w:p w14:paraId="19189E5A" w14:textId="3FA64842" w:rsidR="00930E1E" w:rsidRDefault="00930E1E" w:rsidP="000B43DF">
      <w:pPr>
        <w:pStyle w:val="NoSpacing"/>
        <w:ind w:left="720"/>
        <w:rPr>
          <w:rFonts w:cs="Times New Roman"/>
          <w:color w:val="C00000"/>
        </w:rPr>
      </w:pPr>
      <w:r w:rsidRPr="000B43DF">
        <w:rPr>
          <w:rFonts w:cs="Times New Roman"/>
          <w:b/>
          <w:color w:val="C00000"/>
        </w:rPr>
        <w:t>NOTE:</w:t>
      </w:r>
      <w:r w:rsidR="00DA33AA">
        <w:rPr>
          <w:rFonts w:cs="Times New Roman"/>
          <w:color w:val="C00000"/>
        </w:rPr>
        <w:t xml:space="preserve"> Before DSHS may process a reallocation request,</w:t>
      </w:r>
      <w:r w:rsidRPr="000B43DF">
        <w:rPr>
          <w:rFonts w:cs="Times New Roman"/>
          <w:color w:val="C00000"/>
        </w:rPr>
        <w:t xml:space="preserve"> </w:t>
      </w:r>
      <w:r w:rsidR="00DA33AA">
        <w:rPr>
          <w:rFonts w:cs="Times New Roman"/>
          <w:color w:val="C00000"/>
        </w:rPr>
        <w:t>t</w:t>
      </w:r>
      <w:r w:rsidRPr="000B43DF">
        <w:rPr>
          <w:rFonts w:cs="Times New Roman"/>
          <w:color w:val="C00000"/>
        </w:rPr>
        <w:t>he current allocations and goals</w:t>
      </w:r>
      <w:r w:rsidR="009F06E9">
        <w:rPr>
          <w:rFonts w:cs="Times New Roman"/>
          <w:color w:val="C00000"/>
        </w:rPr>
        <w:t xml:space="preserve"> in the </w:t>
      </w:r>
      <w:r w:rsidR="00DA33AA">
        <w:rPr>
          <w:rFonts w:cs="Times New Roman"/>
          <w:color w:val="C00000"/>
        </w:rPr>
        <w:t xml:space="preserve">AA’s reallocation </w:t>
      </w:r>
      <w:r w:rsidR="009F06E9">
        <w:rPr>
          <w:rFonts w:cs="Times New Roman"/>
          <w:color w:val="C00000"/>
        </w:rPr>
        <w:t>request</w:t>
      </w:r>
      <w:r w:rsidRPr="000B43DF">
        <w:rPr>
          <w:rFonts w:cs="Times New Roman"/>
          <w:color w:val="C00000"/>
        </w:rPr>
        <w:t xml:space="preserve"> must match </w:t>
      </w:r>
      <w:r w:rsidR="009F06E9">
        <w:rPr>
          <w:rFonts w:cs="Times New Roman"/>
          <w:color w:val="C00000"/>
        </w:rPr>
        <w:t xml:space="preserve">the </w:t>
      </w:r>
      <w:r w:rsidRPr="000B43DF">
        <w:rPr>
          <w:rFonts w:cs="Times New Roman"/>
          <w:color w:val="C00000"/>
        </w:rPr>
        <w:t>curr</w:t>
      </w:r>
      <w:r>
        <w:rPr>
          <w:rFonts w:cs="Times New Roman"/>
          <w:color w:val="C00000"/>
        </w:rPr>
        <w:t>ent allocations and goals</w:t>
      </w:r>
      <w:r w:rsidR="00DA33AA">
        <w:rPr>
          <w:rFonts w:cs="Times New Roman"/>
          <w:color w:val="C00000"/>
        </w:rPr>
        <w:t xml:space="preserve"> recorded by DSHS</w:t>
      </w:r>
      <w:r>
        <w:rPr>
          <w:rFonts w:cs="Times New Roman"/>
          <w:color w:val="C00000"/>
        </w:rPr>
        <w:t>.</w:t>
      </w:r>
    </w:p>
    <w:p w14:paraId="0C70187F" w14:textId="77777777" w:rsidR="00495AE2" w:rsidRPr="00495AE2" w:rsidRDefault="00495AE2" w:rsidP="00495AE2">
      <w:pPr>
        <w:pStyle w:val="NoSpacing"/>
        <w:ind w:left="720"/>
        <w:rPr>
          <w:rFonts w:cs="Times New Roman"/>
          <w:b/>
          <w:u w:val="single"/>
        </w:rPr>
      </w:pPr>
      <w:bookmarkStart w:id="58" w:name="_Hlk108532154"/>
      <w:bookmarkEnd w:id="57"/>
    </w:p>
    <w:p w14:paraId="5C9AB3EA" w14:textId="5F6DA56C" w:rsidR="00B5380B" w:rsidRDefault="007C3178" w:rsidP="00B5380B">
      <w:pPr>
        <w:pStyle w:val="NoSpacing"/>
        <w:numPr>
          <w:ilvl w:val="1"/>
          <w:numId w:val="37"/>
        </w:numPr>
        <w:rPr>
          <w:rFonts w:cs="Times New Roman"/>
          <w:b/>
          <w:u w:val="single"/>
        </w:rPr>
      </w:pPr>
      <w:r>
        <w:rPr>
          <w:rFonts w:cs="Times New Roman"/>
          <w:b/>
          <w:u w:val="single"/>
        </w:rPr>
        <w:t>Categorical</w:t>
      </w:r>
      <w:r w:rsidR="007D5C37">
        <w:rPr>
          <w:rFonts w:cs="Times New Roman"/>
          <w:b/>
          <w:u w:val="single"/>
        </w:rPr>
        <w:t xml:space="preserve"> Budget Revisions</w:t>
      </w:r>
    </w:p>
    <w:p w14:paraId="0129C638" w14:textId="52E0C23D" w:rsidR="00B53A6A" w:rsidRDefault="00B53A6A" w:rsidP="00B5380B">
      <w:pPr>
        <w:pStyle w:val="NoSpacing"/>
        <w:ind w:left="720"/>
        <w:rPr>
          <w:rFonts w:cs="Times New Roman"/>
        </w:rPr>
      </w:pPr>
      <w:r w:rsidRPr="00B53A6A">
        <w:rPr>
          <w:rFonts w:cs="Times New Roman"/>
        </w:rPr>
        <w:t xml:space="preserve">With prior written notification to, and approval from, </w:t>
      </w:r>
      <w:r>
        <w:rPr>
          <w:rFonts w:cs="Times New Roman"/>
        </w:rPr>
        <w:t>an AA’s assigned Contract Management Section (CMS) Contract Manager</w:t>
      </w:r>
      <w:r w:rsidRPr="00B53A6A">
        <w:rPr>
          <w:rFonts w:cs="Times New Roman"/>
        </w:rPr>
        <w:t xml:space="preserve">, </w:t>
      </w:r>
      <w:r>
        <w:rPr>
          <w:rFonts w:cs="Times New Roman"/>
        </w:rPr>
        <w:t>an AA</w:t>
      </w:r>
      <w:r w:rsidRPr="00B53A6A">
        <w:rPr>
          <w:rFonts w:cs="Times New Roman"/>
        </w:rPr>
        <w:t xml:space="preserve"> may transfer money between budget categories, other than the</w:t>
      </w:r>
      <w:r>
        <w:rPr>
          <w:rFonts w:cs="Times New Roman"/>
        </w:rPr>
        <w:t xml:space="preserve"> </w:t>
      </w:r>
      <w:r w:rsidRPr="00B53A6A">
        <w:rPr>
          <w:rFonts w:cs="Times New Roman"/>
        </w:rPr>
        <w:t xml:space="preserve">equipment and indirect cost categories, not to exceed </w:t>
      </w:r>
      <w:r>
        <w:rPr>
          <w:rFonts w:cs="Times New Roman"/>
        </w:rPr>
        <w:t>10 percent</w:t>
      </w:r>
      <w:r w:rsidRPr="00B53A6A">
        <w:rPr>
          <w:rFonts w:cs="Times New Roman"/>
        </w:rPr>
        <w:t xml:space="preserve"> of the total contract value</w:t>
      </w:r>
      <w:r>
        <w:rPr>
          <w:rFonts w:cs="Times New Roman"/>
        </w:rPr>
        <w:t xml:space="preserve"> </w:t>
      </w:r>
      <w:r w:rsidRPr="00B53A6A">
        <w:rPr>
          <w:rFonts w:cs="Times New Roman"/>
        </w:rPr>
        <w:t xml:space="preserve">during a contract budget period. If the budget transfer(s) exceeds </w:t>
      </w:r>
      <w:r>
        <w:rPr>
          <w:rFonts w:cs="Times New Roman"/>
        </w:rPr>
        <w:t>10 percent</w:t>
      </w:r>
      <w:r w:rsidRPr="00B53A6A">
        <w:rPr>
          <w:rFonts w:cs="Times New Roman"/>
        </w:rPr>
        <w:t xml:space="preserve"> of the total</w:t>
      </w:r>
      <w:r>
        <w:rPr>
          <w:rFonts w:cs="Times New Roman"/>
        </w:rPr>
        <w:t xml:space="preserve"> </w:t>
      </w:r>
      <w:r w:rsidRPr="00B53A6A">
        <w:rPr>
          <w:rFonts w:cs="Times New Roman"/>
        </w:rPr>
        <w:t xml:space="preserve">contract value, alone or cumulatively, </w:t>
      </w:r>
      <w:r w:rsidR="00B9643F">
        <w:rPr>
          <w:rFonts w:cs="Times New Roman"/>
        </w:rPr>
        <w:t>the change requires a</w:t>
      </w:r>
      <w:r w:rsidR="00B9643F" w:rsidRPr="00B53A6A">
        <w:rPr>
          <w:rFonts w:cs="Times New Roman"/>
        </w:rPr>
        <w:t xml:space="preserve"> </w:t>
      </w:r>
      <w:r w:rsidRPr="00B53A6A">
        <w:rPr>
          <w:rFonts w:cs="Times New Roman"/>
        </w:rPr>
        <w:t>formal contract amendment.</w:t>
      </w:r>
      <w:r>
        <w:rPr>
          <w:rFonts w:cs="Times New Roman"/>
        </w:rPr>
        <w:t xml:space="preserve"> </w:t>
      </w:r>
      <w:r w:rsidR="009B3316">
        <w:rPr>
          <w:rFonts w:cs="Times New Roman"/>
        </w:rPr>
        <w:t xml:space="preserve">DSHS must amend an AA’s contract </w:t>
      </w:r>
      <w:r w:rsidR="002146C5">
        <w:rPr>
          <w:rFonts w:cs="Times New Roman"/>
        </w:rPr>
        <w:t>when</w:t>
      </w:r>
      <w:r w:rsidR="009B3316">
        <w:rPr>
          <w:rFonts w:cs="Times New Roman"/>
        </w:rPr>
        <w:t xml:space="preserve"> a proposed </w:t>
      </w:r>
      <w:r w:rsidR="009F06E9">
        <w:rPr>
          <w:rFonts w:cs="Times New Roman"/>
        </w:rPr>
        <w:t>categorical budget revision</w:t>
      </w:r>
      <w:r w:rsidR="002146C5">
        <w:rPr>
          <w:rFonts w:cs="Times New Roman"/>
        </w:rPr>
        <w:t xml:space="preserve"> </w:t>
      </w:r>
      <w:r w:rsidR="009B3316">
        <w:rPr>
          <w:rFonts w:cs="Times New Roman"/>
        </w:rPr>
        <w:t xml:space="preserve">would result in 1) a cumulative change of 10 percent or more in any budget category during the contract term or 2) a change of any amount in the </w:t>
      </w:r>
      <w:r>
        <w:rPr>
          <w:rFonts w:cs="Times New Roman"/>
        </w:rPr>
        <w:t>e</w:t>
      </w:r>
      <w:r w:rsidR="009B3316">
        <w:rPr>
          <w:rFonts w:cs="Times New Roman"/>
        </w:rPr>
        <w:t xml:space="preserve">quipment and/or </w:t>
      </w:r>
      <w:r>
        <w:rPr>
          <w:rFonts w:cs="Times New Roman"/>
        </w:rPr>
        <w:t>i</w:t>
      </w:r>
      <w:r w:rsidR="009B3316">
        <w:rPr>
          <w:rFonts w:cs="Times New Roman"/>
        </w:rPr>
        <w:t xml:space="preserve">ndirect </w:t>
      </w:r>
      <w:r>
        <w:rPr>
          <w:rFonts w:cs="Times New Roman"/>
        </w:rPr>
        <w:t>c</w:t>
      </w:r>
      <w:r w:rsidR="009B3316">
        <w:rPr>
          <w:rFonts w:cs="Times New Roman"/>
        </w:rPr>
        <w:t>osts budget categories during the contract term</w:t>
      </w:r>
      <w:r w:rsidR="00B5380B" w:rsidRPr="000C3DC6">
        <w:rPr>
          <w:rFonts w:cs="Times New Roman"/>
        </w:rPr>
        <w:t>.</w:t>
      </w:r>
    </w:p>
    <w:p w14:paraId="0B405D3D" w14:textId="77777777" w:rsidR="00B53A6A" w:rsidRDefault="00B53A6A" w:rsidP="00B5380B">
      <w:pPr>
        <w:pStyle w:val="NoSpacing"/>
        <w:ind w:left="720"/>
        <w:rPr>
          <w:rFonts w:cs="Times New Roman"/>
        </w:rPr>
      </w:pPr>
    </w:p>
    <w:p w14:paraId="35F4FB97" w14:textId="31D17BB9" w:rsidR="00B5380B" w:rsidRDefault="007C3178" w:rsidP="00B5380B">
      <w:pPr>
        <w:pStyle w:val="NoSpacing"/>
        <w:ind w:left="720"/>
        <w:rPr>
          <w:rFonts w:cs="Times New Roman"/>
        </w:rPr>
      </w:pPr>
      <w:r>
        <w:rPr>
          <w:rFonts w:cs="Times New Roman"/>
        </w:rPr>
        <w:t>AA</w:t>
      </w:r>
      <w:r w:rsidR="009B3316">
        <w:rPr>
          <w:rFonts w:cs="Times New Roman"/>
        </w:rPr>
        <w:t>s</w:t>
      </w:r>
      <w:r>
        <w:rPr>
          <w:rFonts w:cs="Times New Roman"/>
        </w:rPr>
        <w:t xml:space="preserve"> must contact their assigned Contract Manager and the DSHS HOPWA Coordinator to </w:t>
      </w:r>
      <w:r w:rsidR="009B3316">
        <w:rPr>
          <w:rFonts w:cs="Times New Roman"/>
        </w:rPr>
        <w:t>r</w:t>
      </w:r>
      <w:r w:rsidR="007D5C37">
        <w:rPr>
          <w:rFonts w:cs="Times New Roman"/>
        </w:rPr>
        <w:t xml:space="preserve">equest </w:t>
      </w:r>
      <w:r w:rsidR="009B3316">
        <w:rPr>
          <w:rFonts w:cs="Times New Roman"/>
        </w:rPr>
        <w:t>a categorical budget change</w:t>
      </w:r>
      <w:r>
        <w:rPr>
          <w:rFonts w:cs="Times New Roman"/>
        </w:rPr>
        <w:t>.</w:t>
      </w:r>
      <w:r w:rsidR="007D5C37">
        <w:rPr>
          <w:rFonts w:cs="Times New Roman"/>
        </w:rPr>
        <w:t xml:space="preserve"> </w:t>
      </w:r>
      <w:r w:rsidR="009B3316">
        <w:rPr>
          <w:rFonts w:cs="Times New Roman"/>
        </w:rPr>
        <w:t>The Contract Manager will provide a Request for Budget Change Form to the AA</w:t>
      </w:r>
      <w:r w:rsidR="002146C5">
        <w:rPr>
          <w:rFonts w:cs="Times New Roman"/>
        </w:rPr>
        <w:t>. This form</w:t>
      </w:r>
      <w:r w:rsidR="009B3316">
        <w:rPr>
          <w:rFonts w:cs="Times New Roman"/>
        </w:rPr>
        <w:t xml:space="preserve"> document</w:t>
      </w:r>
      <w:r w:rsidR="002146C5">
        <w:rPr>
          <w:rFonts w:cs="Times New Roman"/>
        </w:rPr>
        <w:t>s</w:t>
      </w:r>
      <w:r w:rsidR="009B3316">
        <w:rPr>
          <w:rFonts w:cs="Times New Roman"/>
        </w:rPr>
        <w:t xml:space="preserve"> the </w:t>
      </w:r>
      <w:r w:rsidR="00B53A6A">
        <w:rPr>
          <w:rFonts w:cs="Times New Roman"/>
        </w:rPr>
        <w:t xml:space="preserve">proposed </w:t>
      </w:r>
      <w:r w:rsidR="009B3316">
        <w:rPr>
          <w:rFonts w:cs="Times New Roman"/>
        </w:rPr>
        <w:t>change</w:t>
      </w:r>
      <w:r w:rsidR="002146C5">
        <w:rPr>
          <w:rFonts w:cs="Times New Roman"/>
        </w:rPr>
        <w:t>s in the</w:t>
      </w:r>
      <w:r w:rsidR="009B3316">
        <w:rPr>
          <w:rFonts w:cs="Times New Roman"/>
        </w:rPr>
        <w:t xml:space="preserve"> AA</w:t>
      </w:r>
      <w:r w:rsidR="002146C5">
        <w:rPr>
          <w:rFonts w:cs="Times New Roman"/>
        </w:rPr>
        <w:t>’</w:t>
      </w:r>
      <w:r w:rsidR="009B3316">
        <w:rPr>
          <w:rFonts w:cs="Times New Roman"/>
        </w:rPr>
        <w:t xml:space="preserve">s categorical budget and </w:t>
      </w:r>
      <w:r w:rsidR="002146C5">
        <w:rPr>
          <w:rFonts w:cs="Times New Roman"/>
        </w:rPr>
        <w:t xml:space="preserve">whether </w:t>
      </w:r>
      <w:r w:rsidR="00B9643F">
        <w:rPr>
          <w:rFonts w:cs="Times New Roman"/>
        </w:rPr>
        <w:t>the change requires a</w:t>
      </w:r>
      <w:r w:rsidR="002146C5">
        <w:rPr>
          <w:rFonts w:cs="Times New Roman"/>
        </w:rPr>
        <w:t xml:space="preserve"> contract amendment. </w:t>
      </w:r>
      <w:r w:rsidR="00B53A6A">
        <w:rPr>
          <w:rFonts w:cs="Times New Roman"/>
        </w:rPr>
        <w:t>Additionally, the AA</w:t>
      </w:r>
      <w:r w:rsidR="00B53A6A" w:rsidRPr="00B53A6A">
        <w:rPr>
          <w:rFonts w:cs="Times New Roman"/>
        </w:rPr>
        <w:t xml:space="preserve"> </w:t>
      </w:r>
      <w:r w:rsidR="00B53A6A">
        <w:rPr>
          <w:rFonts w:cs="Times New Roman"/>
        </w:rPr>
        <w:t>must</w:t>
      </w:r>
      <w:r w:rsidR="00B53A6A" w:rsidRPr="00B53A6A">
        <w:rPr>
          <w:rFonts w:cs="Times New Roman"/>
        </w:rPr>
        <w:t xml:space="preserve"> provide </w:t>
      </w:r>
      <w:r w:rsidR="00B53A6A">
        <w:rPr>
          <w:rFonts w:cs="Times New Roman"/>
        </w:rPr>
        <w:t>a</w:t>
      </w:r>
      <w:r w:rsidR="00B53A6A" w:rsidRPr="00B53A6A">
        <w:rPr>
          <w:rFonts w:cs="Times New Roman"/>
        </w:rPr>
        <w:t xml:space="preserve"> revised</w:t>
      </w:r>
      <w:r w:rsidR="00B53A6A">
        <w:rPr>
          <w:rFonts w:cs="Times New Roman"/>
        </w:rPr>
        <w:t xml:space="preserve"> </w:t>
      </w:r>
      <w:r w:rsidR="00B53A6A" w:rsidRPr="00B53A6A">
        <w:rPr>
          <w:rFonts w:cs="Times New Roman"/>
        </w:rPr>
        <w:t xml:space="preserve">Categorical Budget Form to the </w:t>
      </w:r>
      <w:r w:rsidR="00B53A6A">
        <w:rPr>
          <w:rFonts w:cs="Times New Roman"/>
        </w:rPr>
        <w:t>Contract Manager and DSHS HOPWA Coordinator</w:t>
      </w:r>
      <w:r w:rsidR="00B53A6A" w:rsidRPr="00B53A6A">
        <w:rPr>
          <w:rFonts w:cs="Times New Roman"/>
        </w:rPr>
        <w:t>, highlighting the areas</w:t>
      </w:r>
      <w:r w:rsidR="00B53A6A">
        <w:rPr>
          <w:rFonts w:cs="Times New Roman"/>
        </w:rPr>
        <w:t xml:space="preserve"> </w:t>
      </w:r>
      <w:r w:rsidR="00B53A6A" w:rsidRPr="00B53A6A">
        <w:rPr>
          <w:rFonts w:cs="Times New Roman"/>
        </w:rPr>
        <w:t xml:space="preserve">affected by the budget transfer. After review, the Contract Manager </w:t>
      </w:r>
      <w:r w:rsidR="00B9643F">
        <w:rPr>
          <w:rFonts w:cs="Times New Roman"/>
        </w:rPr>
        <w:t xml:space="preserve">will </w:t>
      </w:r>
      <w:r w:rsidR="00B53A6A" w:rsidRPr="00B53A6A">
        <w:rPr>
          <w:rFonts w:cs="Times New Roman"/>
        </w:rPr>
        <w:t xml:space="preserve">provide notification of acceptance to </w:t>
      </w:r>
      <w:r w:rsidR="00824CCA">
        <w:rPr>
          <w:rFonts w:cs="Times New Roman"/>
        </w:rPr>
        <w:t xml:space="preserve">the AA </w:t>
      </w:r>
      <w:r w:rsidR="00B53A6A" w:rsidRPr="00B53A6A">
        <w:rPr>
          <w:rFonts w:cs="Times New Roman"/>
        </w:rPr>
        <w:t xml:space="preserve">via email, upon receipt of which, </w:t>
      </w:r>
      <w:r w:rsidR="00B9643F">
        <w:rPr>
          <w:rFonts w:cs="Times New Roman"/>
        </w:rPr>
        <w:t xml:space="preserve">CMS will incorporate the </w:t>
      </w:r>
      <w:r w:rsidR="00B53A6A" w:rsidRPr="00B53A6A">
        <w:rPr>
          <w:rFonts w:cs="Times New Roman"/>
        </w:rPr>
        <w:t>revised budget</w:t>
      </w:r>
      <w:r w:rsidR="00B9643F">
        <w:rPr>
          <w:rFonts w:cs="Times New Roman"/>
        </w:rPr>
        <w:t xml:space="preserve"> </w:t>
      </w:r>
      <w:r w:rsidR="00B53A6A" w:rsidRPr="00B53A6A">
        <w:rPr>
          <w:rFonts w:cs="Times New Roman"/>
        </w:rPr>
        <w:t xml:space="preserve">into </w:t>
      </w:r>
      <w:r w:rsidR="00824CCA">
        <w:rPr>
          <w:rFonts w:cs="Times New Roman"/>
        </w:rPr>
        <w:t>their</w:t>
      </w:r>
      <w:r w:rsidR="00B53A6A" w:rsidRPr="00B53A6A">
        <w:rPr>
          <w:rFonts w:cs="Times New Roman"/>
        </w:rPr>
        <w:t xml:space="preserve"> </w:t>
      </w:r>
      <w:r w:rsidR="00824CCA">
        <w:rPr>
          <w:rFonts w:cs="Times New Roman"/>
        </w:rPr>
        <w:t>c</w:t>
      </w:r>
      <w:r w:rsidR="00B53A6A" w:rsidRPr="00B53A6A">
        <w:rPr>
          <w:rFonts w:cs="Times New Roman"/>
        </w:rPr>
        <w:t>ontract.</w:t>
      </w:r>
      <w:r w:rsidR="00B53A6A">
        <w:rPr>
          <w:rFonts w:cs="Times New Roman"/>
        </w:rPr>
        <w:t xml:space="preserve"> </w:t>
      </w:r>
      <w:r w:rsidR="00B9643F">
        <w:rPr>
          <w:rFonts w:cs="Times New Roman"/>
        </w:rPr>
        <w:t>AAs must submit a</w:t>
      </w:r>
      <w:r w:rsidRPr="007C3178">
        <w:rPr>
          <w:rFonts w:cs="Times New Roman"/>
        </w:rPr>
        <w:t xml:space="preserve">ll </w:t>
      </w:r>
      <w:r w:rsidR="002146C5">
        <w:rPr>
          <w:rFonts w:cs="Times New Roman"/>
        </w:rPr>
        <w:t xml:space="preserve">categorical budget change </w:t>
      </w:r>
      <w:r w:rsidRPr="007C3178">
        <w:rPr>
          <w:rFonts w:cs="Times New Roman"/>
        </w:rPr>
        <w:t>requests no later than 30 calendar days prior to the last day of the contract term; or with prior program approval, no later than 30 days after the expiration of a contract.</w:t>
      </w:r>
    </w:p>
    <w:bookmarkEnd w:id="58"/>
    <w:p w14:paraId="2540322C" w14:textId="77777777" w:rsidR="000F6754" w:rsidRPr="004F1682" w:rsidRDefault="000F6754" w:rsidP="00066B7E">
      <w:pPr>
        <w:pStyle w:val="NoSpacing"/>
        <w:rPr>
          <w:rFonts w:cs="Times New Roman"/>
          <w:bCs/>
        </w:rPr>
      </w:pPr>
    </w:p>
    <w:p w14:paraId="6A903D90" w14:textId="6B729161" w:rsidR="001E2381" w:rsidRDefault="005E368C" w:rsidP="00754E9B">
      <w:pPr>
        <w:pStyle w:val="NoSpacing"/>
        <w:numPr>
          <w:ilvl w:val="1"/>
          <w:numId w:val="37"/>
        </w:numPr>
        <w:rPr>
          <w:rFonts w:cs="Times New Roman"/>
          <w:b/>
          <w:u w:val="single"/>
        </w:rPr>
      </w:pPr>
      <w:r w:rsidRPr="00292565">
        <w:rPr>
          <w:rFonts w:cs="Times New Roman"/>
          <w:b/>
          <w:u w:val="single"/>
        </w:rPr>
        <w:t>Project Sponsor Data Sheets</w:t>
      </w:r>
    </w:p>
    <w:p w14:paraId="0A96949B" w14:textId="3F722FFA" w:rsidR="00F320FF" w:rsidRDefault="0054264B" w:rsidP="00F320FF">
      <w:pPr>
        <w:pStyle w:val="NoSpacing"/>
        <w:ind w:left="720"/>
        <w:rPr>
          <w:rFonts w:cs="Times New Roman"/>
        </w:rPr>
      </w:pPr>
      <w:r>
        <w:rPr>
          <w:rFonts w:cs="Times New Roman"/>
        </w:rPr>
        <w:t xml:space="preserve">DSHS uses </w:t>
      </w:r>
      <w:r w:rsidR="00F320FF">
        <w:rPr>
          <w:rFonts w:cs="Times New Roman"/>
        </w:rPr>
        <w:t xml:space="preserve">Project Sponsor Data </w:t>
      </w:r>
      <w:r w:rsidR="00F320FF" w:rsidRPr="002A17A1">
        <w:rPr>
          <w:rFonts w:cs="Times New Roman"/>
        </w:rPr>
        <w:t>Sheets (Appendix E)</w:t>
      </w:r>
      <w:r w:rsidR="00F320FF" w:rsidRPr="00292565">
        <w:rPr>
          <w:rFonts w:cs="Times New Roman"/>
        </w:rPr>
        <w:t xml:space="preserve"> to </w:t>
      </w:r>
      <w:r w:rsidR="00BB5F5F">
        <w:rPr>
          <w:rFonts w:cs="Times New Roman"/>
        </w:rPr>
        <w:t xml:space="preserve">collect required </w:t>
      </w:r>
      <w:r w:rsidR="007D10CA">
        <w:rPr>
          <w:rFonts w:cs="Times New Roman"/>
        </w:rPr>
        <w:t>Project Sponsor</w:t>
      </w:r>
      <w:r w:rsidR="00BB5F5F">
        <w:rPr>
          <w:rFonts w:cs="Times New Roman"/>
        </w:rPr>
        <w:t xml:space="preserve"> information</w:t>
      </w:r>
      <w:r w:rsidR="007D10CA">
        <w:rPr>
          <w:rFonts w:cs="Times New Roman"/>
        </w:rPr>
        <w:t xml:space="preserve"> </w:t>
      </w:r>
      <w:r w:rsidR="00BB5F5F">
        <w:rPr>
          <w:rFonts w:cs="Times New Roman"/>
        </w:rPr>
        <w:t xml:space="preserve">for </w:t>
      </w:r>
      <w:r w:rsidR="0058345A">
        <w:rPr>
          <w:rFonts w:cs="Times New Roman"/>
        </w:rPr>
        <w:t>IDIS</w:t>
      </w:r>
      <w:r w:rsidR="00F320FF" w:rsidRPr="00292565">
        <w:rPr>
          <w:rFonts w:cs="Times New Roman"/>
        </w:rPr>
        <w:t>.</w:t>
      </w:r>
      <w:r w:rsidR="00F320FF">
        <w:rPr>
          <w:rFonts w:cs="Times New Roman"/>
        </w:rPr>
        <w:t xml:space="preserve"> </w:t>
      </w:r>
      <w:r w:rsidR="00F320FF" w:rsidRPr="00292565">
        <w:rPr>
          <w:rFonts w:cs="Times New Roman"/>
        </w:rPr>
        <w:t xml:space="preserve">Project Sponsor Data Sheets are due no later than </w:t>
      </w:r>
      <w:r w:rsidR="00900DDE">
        <w:rPr>
          <w:rFonts w:cs="Times New Roman"/>
        </w:rPr>
        <w:t>the first day of each program year</w:t>
      </w:r>
      <w:r w:rsidR="00F320FF" w:rsidRPr="00292565">
        <w:rPr>
          <w:rFonts w:cs="Times New Roman"/>
        </w:rPr>
        <w:t xml:space="preserve"> and must be </w:t>
      </w:r>
      <w:r w:rsidR="00BB5F5F">
        <w:rPr>
          <w:rFonts w:cs="Times New Roman"/>
        </w:rPr>
        <w:t>updated annually at minimum</w:t>
      </w:r>
      <w:r w:rsidR="00F320FF" w:rsidRPr="00292565">
        <w:rPr>
          <w:rFonts w:cs="Times New Roman"/>
        </w:rPr>
        <w:t>.</w:t>
      </w:r>
      <w:r w:rsidR="00F320FF">
        <w:rPr>
          <w:rFonts w:cs="Times New Roman"/>
        </w:rPr>
        <w:t xml:space="preserve"> </w:t>
      </w:r>
      <w:r w:rsidR="00F320FF" w:rsidRPr="00715050">
        <w:rPr>
          <w:rFonts w:cs="Times New Roman"/>
        </w:rPr>
        <w:t xml:space="preserve">AAs must email </w:t>
      </w:r>
      <w:r w:rsidR="00F320FF">
        <w:rPr>
          <w:rFonts w:cs="Times New Roman"/>
        </w:rPr>
        <w:t>Data Sheets</w:t>
      </w:r>
      <w:r w:rsidR="00F320FF" w:rsidRPr="00715050">
        <w:rPr>
          <w:rFonts w:cs="Times New Roman"/>
        </w:rPr>
        <w:t xml:space="preserve"> for each HSDA to </w:t>
      </w:r>
      <w:hyperlink r:id="rId114" w:history="1">
        <w:r w:rsidR="009B3D21" w:rsidRPr="009B3D21">
          <w:rPr>
            <w:rStyle w:val="Hyperlink"/>
            <w:rFonts w:cs="Times New Roman"/>
          </w:rPr>
          <w:t>HIVSTDReport.tech@dshs.texas.gov</w:t>
        </w:r>
      </w:hyperlink>
      <w:r w:rsidR="00F320FF" w:rsidRPr="00715050">
        <w:rPr>
          <w:rFonts w:cs="Times New Roman"/>
        </w:rPr>
        <w:t xml:space="preserve"> and CC the DSHS HOPWA Coordinator.</w:t>
      </w:r>
    </w:p>
    <w:p w14:paraId="08CB530B" w14:textId="482434B2" w:rsidR="006845AA" w:rsidRDefault="006845AA" w:rsidP="00ED208F">
      <w:pPr>
        <w:pStyle w:val="NoSpacing"/>
        <w:rPr>
          <w:rFonts w:cs="Times New Roman"/>
        </w:rPr>
      </w:pPr>
    </w:p>
    <w:p w14:paraId="65EEFD7C" w14:textId="28527AD5" w:rsidR="003B5501" w:rsidRPr="00805422" w:rsidRDefault="003B5501" w:rsidP="002A61C8">
      <w:pPr>
        <w:pStyle w:val="NoSpacing"/>
        <w:numPr>
          <w:ilvl w:val="0"/>
          <w:numId w:val="160"/>
        </w:numPr>
        <w:rPr>
          <w:b/>
          <w:u w:val="single"/>
        </w:rPr>
      </w:pPr>
      <w:r>
        <w:rPr>
          <w:b/>
          <w:u w:val="single"/>
        </w:rPr>
        <w:t>Program Monitoring</w:t>
      </w:r>
    </w:p>
    <w:p w14:paraId="76214057" w14:textId="6FE14FFD" w:rsidR="00437BE1" w:rsidRDefault="00437BE1" w:rsidP="003B5501">
      <w:pPr>
        <w:pStyle w:val="ListParagraph"/>
        <w:numPr>
          <w:ilvl w:val="0"/>
          <w:numId w:val="135"/>
        </w:numPr>
        <w:spacing w:after="0" w:line="240" w:lineRule="auto"/>
        <w:ind w:left="1440" w:hanging="360"/>
        <w:rPr>
          <w:rFonts w:ascii="Calibri" w:hAnsi="Calibri"/>
          <w:b/>
        </w:rPr>
      </w:pPr>
      <w:r>
        <w:rPr>
          <w:rFonts w:ascii="Calibri" w:hAnsi="Calibri"/>
          <w:b/>
        </w:rPr>
        <w:t>Policies and Procedures</w:t>
      </w:r>
    </w:p>
    <w:p w14:paraId="31C6813E" w14:textId="23DAAE3B" w:rsidR="00437BE1" w:rsidRDefault="007C6DA4" w:rsidP="007C6DA4">
      <w:pPr>
        <w:pStyle w:val="ListParagraph"/>
        <w:spacing w:after="0" w:line="240" w:lineRule="auto"/>
        <w:ind w:left="1440"/>
        <w:rPr>
          <w:rFonts w:ascii="Calibri" w:hAnsi="Calibri"/>
          <w:bCs/>
        </w:rPr>
      </w:pPr>
      <w:r w:rsidRPr="007C6DA4">
        <w:rPr>
          <w:rFonts w:ascii="Calibri" w:hAnsi="Calibri"/>
          <w:bCs/>
        </w:rPr>
        <w:t>Contract monitoring systematic</w:t>
      </w:r>
      <w:r w:rsidR="00CE7E13">
        <w:rPr>
          <w:rFonts w:ascii="Calibri" w:hAnsi="Calibri"/>
          <w:bCs/>
        </w:rPr>
        <w:t>ally</w:t>
      </w:r>
      <w:r w:rsidRPr="007C6DA4">
        <w:rPr>
          <w:rFonts w:ascii="Calibri" w:hAnsi="Calibri"/>
          <w:bCs/>
        </w:rPr>
        <w:t xml:space="preserve"> review</w:t>
      </w:r>
      <w:r w:rsidR="00CE7E13">
        <w:rPr>
          <w:rFonts w:ascii="Calibri" w:hAnsi="Calibri"/>
          <w:bCs/>
        </w:rPr>
        <w:t>s</w:t>
      </w:r>
      <w:r w:rsidRPr="007C6DA4">
        <w:rPr>
          <w:rFonts w:ascii="Calibri" w:hAnsi="Calibri"/>
          <w:bCs/>
        </w:rPr>
        <w:t xml:space="preserve"> a contractor’s records, business</w:t>
      </w:r>
      <w:r>
        <w:rPr>
          <w:rFonts w:ascii="Calibri" w:hAnsi="Calibri"/>
          <w:bCs/>
        </w:rPr>
        <w:t xml:space="preserve"> </w:t>
      </w:r>
      <w:r w:rsidRPr="007C6DA4">
        <w:rPr>
          <w:rFonts w:ascii="Calibri" w:hAnsi="Calibri"/>
          <w:bCs/>
        </w:rPr>
        <w:t>processes, deliverables, and activities to ensure compliance with the terms and</w:t>
      </w:r>
      <w:r>
        <w:rPr>
          <w:rFonts w:ascii="Calibri" w:hAnsi="Calibri"/>
          <w:bCs/>
        </w:rPr>
        <w:t xml:space="preserve"> </w:t>
      </w:r>
      <w:r w:rsidRPr="007C6DA4">
        <w:rPr>
          <w:rFonts w:ascii="Calibri" w:hAnsi="Calibri"/>
          <w:bCs/>
        </w:rPr>
        <w:t>conditions of the contract.</w:t>
      </w:r>
      <w:r>
        <w:rPr>
          <w:rFonts w:ascii="Calibri" w:hAnsi="Calibri"/>
          <w:bCs/>
        </w:rPr>
        <w:t xml:space="preserve"> In addition to following the contract monitoring policy and procedure</w:t>
      </w:r>
      <w:r w:rsidR="006A7154">
        <w:rPr>
          <w:rFonts w:ascii="Calibri" w:hAnsi="Calibri"/>
          <w:bCs/>
        </w:rPr>
        <w:t>s</w:t>
      </w:r>
      <w:r>
        <w:rPr>
          <w:rFonts w:ascii="Calibri" w:hAnsi="Calibri"/>
          <w:bCs/>
        </w:rPr>
        <w:t xml:space="preserve"> set forth in </w:t>
      </w:r>
      <w:r w:rsidR="006A7154">
        <w:rPr>
          <w:rFonts w:ascii="Calibri" w:hAnsi="Calibri"/>
          <w:bCs/>
        </w:rPr>
        <w:t xml:space="preserve">the </w:t>
      </w:r>
      <w:hyperlink r:id="rId115" w:history="1">
        <w:r w:rsidR="006A7154" w:rsidRPr="006A7154">
          <w:rPr>
            <w:rStyle w:val="Hyperlink"/>
            <w:rFonts w:ascii="Calibri" w:hAnsi="Calibri"/>
            <w:bCs/>
          </w:rPr>
          <w:t>Texas Health and Human Services Contract Management Handbook</w:t>
        </w:r>
      </w:hyperlink>
      <w:r w:rsidR="006A7154">
        <w:rPr>
          <w:rFonts w:ascii="Calibri" w:hAnsi="Calibri"/>
          <w:bCs/>
        </w:rPr>
        <w:t xml:space="preserve">, </w:t>
      </w:r>
      <w:r w:rsidR="001C6BD8">
        <w:rPr>
          <w:rFonts w:ascii="Calibri" w:hAnsi="Calibri"/>
          <w:bCs/>
        </w:rPr>
        <w:t xml:space="preserve">DSHS </w:t>
      </w:r>
      <w:r w:rsidR="008C7BE9">
        <w:rPr>
          <w:rFonts w:ascii="Calibri" w:hAnsi="Calibri"/>
          <w:bCs/>
        </w:rPr>
        <w:t>also follows</w:t>
      </w:r>
      <w:r w:rsidR="00367401">
        <w:rPr>
          <w:rFonts w:ascii="Calibri" w:hAnsi="Calibri"/>
          <w:bCs/>
        </w:rPr>
        <w:t xml:space="preserve"> the</w:t>
      </w:r>
      <w:r w:rsidR="008C7BE9">
        <w:rPr>
          <w:rFonts w:ascii="Calibri" w:hAnsi="Calibri"/>
          <w:bCs/>
        </w:rPr>
        <w:t xml:space="preserve"> </w:t>
      </w:r>
      <w:r w:rsidR="008C7BE9" w:rsidRPr="008C7BE9">
        <w:rPr>
          <w:rFonts w:ascii="Calibri" w:hAnsi="Calibri"/>
          <w:bCs/>
        </w:rPr>
        <w:t xml:space="preserve">DSHS HIV/STD Contract Monitoring Policies and Procedures located </w:t>
      </w:r>
      <w:hyperlink r:id="rId116" w:history="1">
        <w:r w:rsidR="008C7BE9" w:rsidRPr="00367401">
          <w:rPr>
            <w:rStyle w:val="Hyperlink"/>
            <w:rFonts w:ascii="Calibri" w:hAnsi="Calibri"/>
            <w:bCs/>
          </w:rPr>
          <w:t>here</w:t>
        </w:r>
      </w:hyperlink>
      <w:r w:rsidR="00367401">
        <w:rPr>
          <w:rFonts w:ascii="Calibri" w:hAnsi="Calibri"/>
          <w:bCs/>
        </w:rPr>
        <w:t xml:space="preserve">. These policies and procedures provide instructions for completing </w:t>
      </w:r>
      <w:hyperlink r:id="rId117" w:history="1">
        <w:r w:rsidR="00367401" w:rsidRPr="00367401">
          <w:rPr>
            <w:rStyle w:val="Hyperlink"/>
            <w:rFonts w:ascii="Calibri" w:hAnsi="Calibri"/>
            <w:bCs/>
          </w:rPr>
          <w:t>risk assessments</w:t>
        </w:r>
      </w:hyperlink>
      <w:r w:rsidR="00367401">
        <w:rPr>
          <w:rFonts w:ascii="Calibri" w:hAnsi="Calibri"/>
          <w:bCs/>
        </w:rPr>
        <w:t xml:space="preserve">, as well as </w:t>
      </w:r>
      <w:r w:rsidR="001C6BD8">
        <w:rPr>
          <w:rFonts w:ascii="Calibri" w:hAnsi="Calibri"/>
          <w:bCs/>
        </w:rPr>
        <w:t xml:space="preserve">for </w:t>
      </w:r>
      <w:r w:rsidR="00367401">
        <w:rPr>
          <w:rFonts w:ascii="Calibri" w:hAnsi="Calibri"/>
          <w:bCs/>
        </w:rPr>
        <w:t xml:space="preserve">scheduling, conducting, and documenting </w:t>
      </w:r>
      <w:r w:rsidR="003D7F56">
        <w:rPr>
          <w:rFonts w:ascii="Calibri" w:hAnsi="Calibri"/>
          <w:bCs/>
        </w:rPr>
        <w:t xml:space="preserve">both remote and </w:t>
      </w:r>
      <w:r w:rsidR="005B3BB9">
        <w:rPr>
          <w:rFonts w:ascii="Calibri" w:hAnsi="Calibri"/>
          <w:bCs/>
        </w:rPr>
        <w:t>on-site</w:t>
      </w:r>
      <w:r w:rsidR="003D7F56">
        <w:rPr>
          <w:rFonts w:ascii="Calibri" w:hAnsi="Calibri"/>
          <w:bCs/>
        </w:rPr>
        <w:t xml:space="preserve"> </w:t>
      </w:r>
      <w:r w:rsidR="00367401">
        <w:rPr>
          <w:rFonts w:ascii="Calibri" w:hAnsi="Calibri"/>
          <w:bCs/>
        </w:rPr>
        <w:t>monitoring events.</w:t>
      </w:r>
    </w:p>
    <w:p w14:paraId="18185231" w14:textId="77777777" w:rsidR="00437BE1" w:rsidRPr="004F1682" w:rsidRDefault="00437BE1" w:rsidP="004F1682">
      <w:pPr>
        <w:pStyle w:val="ListParagraph"/>
        <w:spacing w:after="0" w:line="240" w:lineRule="auto"/>
        <w:ind w:left="1440"/>
        <w:rPr>
          <w:rFonts w:ascii="Calibri" w:hAnsi="Calibri"/>
          <w:bCs/>
        </w:rPr>
      </w:pPr>
    </w:p>
    <w:p w14:paraId="260A4BD1" w14:textId="12330764" w:rsidR="00437BE1" w:rsidRDefault="00437BE1" w:rsidP="003B5501">
      <w:pPr>
        <w:pStyle w:val="ListParagraph"/>
        <w:numPr>
          <w:ilvl w:val="0"/>
          <w:numId w:val="135"/>
        </w:numPr>
        <w:spacing w:after="0" w:line="240" w:lineRule="auto"/>
        <w:ind w:left="1440" w:hanging="360"/>
        <w:rPr>
          <w:rFonts w:ascii="Calibri" w:hAnsi="Calibri"/>
          <w:b/>
        </w:rPr>
      </w:pPr>
      <w:r>
        <w:rPr>
          <w:rFonts w:ascii="Calibri" w:hAnsi="Calibri"/>
          <w:b/>
        </w:rPr>
        <w:t>Programmatic Monitoring Tool</w:t>
      </w:r>
    </w:p>
    <w:p w14:paraId="3505C7EF" w14:textId="2B9E6447" w:rsidR="00437BE1" w:rsidRDefault="00437BE1" w:rsidP="00437BE1">
      <w:pPr>
        <w:pStyle w:val="ListParagraph"/>
        <w:spacing w:after="0" w:line="240" w:lineRule="auto"/>
        <w:ind w:left="1440"/>
        <w:rPr>
          <w:rFonts w:ascii="Calibri" w:hAnsi="Calibri"/>
          <w:bCs/>
        </w:rPr>
      </w:pPr>
      <w:r>
        <w:rPr>
          <w:rFonts w:ascii="Calibri" w:hAnsi="Calibri"/>
        </w:rPr>
        <w:t>The DSHS HOPWA Program uses a standardized programmatic monitoring tool</w:t>
      </w:r>
      <w:r w:rsidR="004B6513">
        <w:rPr>
          <w:rFonts w:ascii="Calibri" w:hAnsi="Calibri"/>
        </w:rPr>
        <w:t xml:space="preserve">, </w:t>
      </w:r>
      <w:r>
        <w:rPr>
          <w:rFonts w:ascii="Calibri" w:hAnsi="Calibri"/>
        </w:rPr>
        <w:t xml:space="preserve">located </w:t>
      </w:r>
      <w:hyperlink r:id="rId118" w:history="1">
        <w:r w:rsidRPr="00516081">
          <w:rPr>
            <w:rStyle w:val="Hyperlink"/>
            <w:rFonts w:ascii="Calibri" w:hAnsi="Calibri"/>
          </w:rPr>
          <w:t>here</w:t>
        </w:r>
      </w:hyperlink>
      <w:r>
        <w:rPr>
          <w:rFonts w:ascii="Calibri" w:hAnsi="Calibri"/>
        </w:rPr>
        <w:t>. DSHS and AA reviewers use this tool</w:t>
      </w:r>
      <w:r w:rsidRPr="004E75BB">
        <w:rPr>
          <w:rFonts w:ascii="Calibri" w:hAnsi="Calibri"/>
        </w:rPr>
        <w:t xml:space="preserve"> to </w:t>
      </w:r>
      <w:r>
        <w:rPr>
          <w:rFonts w:ascii="Calibri" w:hAnsi="Calibri"/>
        </w:rPr>
        <w:t>monitor</w:t>
      </w:r>
      <w:r w:rsidRPr="004E75BB">
        <w:rPr>
          <w:rFonts w:ascii="Calibri" w:hAnsi="Calibri"/>
        </w:rPr>
        <w:t xml:space="preserve"> </w:t>
      </w:r>
      <w:r>
        <w:rPr>
          <w:rFonts w:ascii="Calibri" w:hAnsi="Calibri"/>
        </w:rPr>
        <w:t>AA</w:t>
      </w:r>
      <w:r w:rsidRPr="004E75BB">
        <w:rPr>
          <w:rFonts w:ascii="Calibri" w:hAnsi="Calibri"/>
        </w:rPr>
        <w:t xml:space="preserve"> and Project Sponsor policies and/or procedures and other programmatic management and/or oversight items.</w:t>
      </w:r>
      <w:r>
        <w:rPr>
          <w:rFonts w:ascii="Calibri" w:hAnsi="Calibri"/>
        </w:rPr>
        <w:t xml:space="preserve"> Reviewers also use this tool to monitor </w:t>
      </w:r>
      <w:r w:rsidR="00BB0E7A">
        <w:rPr>
          <w:rFonts w:ascii="Calibri" w:hAnsi="Calibri"/>
        </w:rPr>
        <w:t>household</w:t>
      </w:r>
      <w:r>
        <w:rPr>
          <w:rFonts w:ascii="Calibri" w:hAnsi="Calibri"/>
        </w:rPr>
        <w:t xml:space="preserve"> records for completeness and accuracy.</w:t>
      </w:r>
    </w:p>
    <w:p w14:paraId="0F8D9A16" w14:textId="77777777" w:rsidR="00437BE1" w:rsidRPr="004F1682" w:rsidRDefault="00437BE1" w:rsidP="004F1682">
      <w:pPr>
        <w:pStyle w:val="ListParagraph"/>
        <w:spacing w:after="0" w:line="240" w:lineRule="auto"/>
        <w:ind w:left="1440"/>
        <w:rPr>
          <w:rFonts w:ascii="Calibri" w:hAnsi="Calibri"/>
          <w:bCs/>
        </w:rPr>
      </w:pPr>
    </w:p>
    <w:p w14:paraId="0A01AA71" w14:textId="6A38F48A" w:rsidR="00437BE1" w:rsidRDefault="00437BE1" w:rsidP="003B5501">
      <w:pPr>
        <w:pStyle w:val="ListParagraph"/>
        <w:numPr>
          <w:ilvl w:val="0"/>
          <w:numId w:val="135"/>
        </w:numPr>
        <w:spacing w:after="0" w:line="240" w:lineRule="auto"/>
        <w:ind w:left="1440" w:hanging="360"/>
        <w:rPr>
          <w:rFonts w:ascii="Calibri" w:hAnsi="Calibri"/>
          <w:b/>
        </w:rPr>
      </w:pPr>
      <w:r>
        <w:rPr>
          <w:rFonts w:ascii="Calibri" w:hAnsi="Calibri"/>
          <w:b/>
        </w:rPr>
        <w:t>Sample Size Guidelines for Monitoring Client Records</w:t>
      </w:r>
    </w:p>
    <w:p w14:paraId="4606A5FE" w14:textId="0AA22B36" w:rsidR="001C6BD8" w:rsidRDefault="00BB0E7A" w:rsidP="003A5712">
      <w:pPr>
        <w:pStyle w:val="ListParagraph"/>
        <w:numPr>
          <w:ilvl w:val="0"/>
          <w:numId w:val="137"/>
        </w:numPr>
        <w:spacing w:after="0" w:line="240" w:lineRule="auto"/>
        <w:ind w:left="1890" w:hanging="450"/>
        <w:rPr>
          <w:rFonts w:ascii="Calibri" w:hAnsi="Calibri"/>
        </w:rPr>
      </w:pPr>
      <w:r w:rsidRPr="004F1682">
        <w:rPr>
          <w:rFonts w:ascii="Calibri" w:hAnsi="Calibri"/>
          <w:i/>
          <w:iCs/>
        </w:rPr>
        <w:t>Review Period.</w:t>
      </w:r>
      <w:r w:rsidRPr="00BB0E7A">
        <w:rPr>
          <w:rFonts w:ascii="Calibri" w:hAnsi="Calibri"/>
        </w:rPr>
        <w:t xml:space="preserve"> The reviewer will pull a sample from the program year that precedes the current program year (09/01 to 08/31). For example, if the current program year is HOPWA 202</w:t>
      </w:r>
      <w:r w:rsidR="0013550B">
        <w:rPr>
          <w:rFonts w:ascii="Calibri" w:hAnsi="Calibri"/>
        </w:rPr>
        <w:t>4</w:t>
      </w:r>
      <w:r w:rsidRPr="00BB0E7A">
        <w:rPr>
          <w:rFonts w:ascii="Calibri" w:hAnsi="Calibri"/>
        </w:rPr>
        <w:t xml:space="preserve"> (09/01/2</w:t>
      </w:r>
      <w:r w:rsidR="0013550B">
        <w:rPr>
          <w:rFonts w:ascii="Calibri" w:hAnsi="Calibri"/>
        </w:rPr>
        <w:t>4</w:t>
      </w:r>
      <w:r w:rsidRPr="00BB0E7A">
        <w:rPr>
          <w:rFonts w:ascii="Calibri" w:hAnsi="Calibri"/>
        </w:rPr>
        <w:t xml:space="preserve"> to 08/31/2</w:t>
      </w:r>
      <w:r w:rsidR="0013550B">
        <w:rPr>
          <w:rFonts w:ascii="Calibri" w:hAnsi="Calibri"/>
        </w:rPr>
        <w:t>5</w:t>
      </w:r>
      <w:r w:rsidRPr="00BB0E7A">
        <w:rPr>
          <w:rFonts w:ascii="Calibri" w:hAnsi="Calibri"/>
        </w:rPr>
        <w:t>), the reviewer would pull a sample from HOPWA 202</w:t>
      </w:r>
      <w:r w:rsidR="0013550B">
        <w:rPr>
          <w:rFonts w:ascii="Calibri" w:hAnsi="Calibri"/>
        </w:rPr>
        <w:t>3</w:t>
      </w:r>
      <w:r w:rsidRPr="00BB0E7A">
        <w:rPr>
          <w:rFonts w:ascii="Calibri" w:hAnsi="Calibri"/>
        </w:rPr>
        <w:t xml:space="preserve"> (09/01/2</w:t>
      </w:r>
      <w:r w:rsidR="0013550B">
        <w:rPr>
          <w:rFonts w:ascii="Calibri" w:hAnsi="Calibri"/>
        </w:rPr>
        <w:t>3</w:t>
      </w:r>
      <w:r w:rsidRPr="00BB0E7A">
        <w:rPr>
          <w:rFonts w:ascii="Calibri" w:hAnsi="Calibri"/>
        </w:rPr>
        <w:t xml:space="preserve"> to 08/31/2</w:t>
      </w:r>
      <w:r w:rsidR="0013550B">
        <w:rPr>
          <w:rFonts w:ascii="Calibri" w:hAnsi="Calibri"/>
        </w:rPr>
        <w:t>4</w:t>
      </w:r>
      <w:r w:rsidRPr="00BB0E7A">
        <w:rPr>
          <w:rFonts w:ascii="Calibri" w:hAnsi="Calibri"/>
        </w:rPr>
        <w:t>).</w:t>
      </w:r>
    </w:p>
    <w:p w14:paraId="0B6F71B1" w14:textId="61836C4C" w:rsidR="00BB0E7A" w:rsidRDefault="00BB0E7A" w:rsidP="003A5712">
      <w:pPr>
        <w:pStyle w:val="ListParagraph"/>
        <w:numPr>
          <w:ilvl w:val="0"/>
          <w:numId w:val="137"/>
        </w:numPr>
        <w:spacing w:after="0" w:line="240" w:lineRule="auto"/>
        <w:ind w:left="1890" w:hanging="450"/>
        <w:rPr>
          <w:rFonts w:ascii="Calibri" w:hAnsi="Calibri"/>
        </w:rPr>
      </w:pPr>
      <w:r w:rsidRPr="004F1682">
        <w:rPr>
          <w:rFonts w:ascii="Calibri" w:hAnsi="Calibri"/>
          <w:i/>
          <w:iCs/>
        </w:rPr>
        <w:t>Review Items.</w:t>
      </w:r>
      <w:r w:rsidRPr="00BB0E7A">
        <w:rPr>
          <w:rFonts w:ascii="Calibri" w:hAnsi="Calibri"/>
        </w:rPr>
        <w:t xml:space="preserve"> The reviewer will examine all components in each </w:t>
      </w:r>
      <w:r>
        <w:rPr>
          <w:rFonts w:ascii="Calibri" w:hAnsi="Calibri"/>
        </w:rPr>
        <w:t>household record</w:t>
      </w:r>
      <w:r w:rsidRPr="00BB0E7A">
        <w:rPr>
          <w:rFonts w:ascii="Calibri" w:hAnsi="Calibri"/>
        </w:rPr>
        <w:t xml:space="preserve"> as opposed to components specific to a given service category. For example, if a household received TBRA, </w:t>
      </w:r>
      <w:r w:rsidRPr="00BB0E7A">
        <w:rPr>
          <w:rFonts w:ascii="Calibri" w:hAnsi="Calibri"/>
        </w:rPr>
        <w:lastRenderedPageBreak/>
        <w:t xml:space="preserve">STRMU, and Supportive Services, the reviewer would examine all </w:t>
      </w:r>
      <w:r w:rsidR="00F60BE9">
        <w:rPr>
          <w:rFonts w:ascii="Calibri" w:hAnsi="Calibri"/>
        </w:rPr>
        <w:t xml:space="preserve">the </w:t>
      </w:r>
      <w:r w:rsidRPr="00BB0E7A">
        <w:rPr>
          <w:rFonts w:ascii="Calibri" w:hAnsi="Calibri"/>
        </w:rPr>
        <w:t xml:space="preserve">components for each of these service categories in addition to </w:t>
      </w:r>
      <w:r w:rsidR="00F60BE9">
        <w:rPr>
          <w:rFonts w:ascii="Calibri" w:hAnsi="Calibri"/>
        </w:rPr>
        <w:t xml:space="preserve">the </w:t>
      </w:r>
      <w:r w:rsidRPr="00BB0E7A">
        <w:rPr>
          <w:rFonts w:ascii="Calibri" w:hAnsi="Calibri"/>
        </w:rPr>
        <w:t>basic program eligibility criteria.</w:t>
      </w:r>
    </w:p>
    <w:p w14:paraId="1E00795E" w14:textId="3E00ED01" w:rsidR="00BB0E7A" w:rsidRDefault="00BB0E7A" w:rsidP="003A5712">
      <w:pPr>
        <w:pStyle w:val="ListParagraph"/>
        <w:numPr>
          <w:ilvl w:val="0"/>
          <w:numId w:val="137"/>
        </w:numPr>
        <w:spacing w:after="0" w:line="240" w:lineRule="auto"/>
        <w:ind w:left="1890" w:hanging="450"/>
        <w:rPr>
          <w:rFonts w:ascii="Calibri" w:hAnsi="Calibri"/>
        </w:rPr>
      </w:pPr>
      <w:r w:rsidRPr="004F1682">
        <w:rPr>
          <w:rFonts w:ascii="Calibri" w:hAnsi="Calibri"/>
          <w:i/>
          <w:iCs/>
        </w:rPr>
        <w:t>Randomization.</w:t>
      </w:r>
      <w:r w:rsidRPr="00BB0E7A">
        <w:rPr>
          <w:rFonts w:ascii="Calibri" w:hAnsi="Calibri"/>
        </w:rPr>
        <w:t xml:space="preserve"> The reviewer should incorporate a method for randomizing the sample into their monitoring policies and procedures.</w:t>
      </w:r>
    </w:p>
    <w:p w14:paraId="47C00BF0" w14:textId="4AAC59F3" w:rsidR="00BB0E7A" w:rsidRDefault="00BB0E7A" w:rsidP="003A5712">
      <w:pPr>
        <w:pStyle w:val="ListParagraph"/>
        <w:numPr>
          <w:ilvl w:val="0"/>
          <w:numId w:val="137"/>
        </w:numPr>
        <w:spacing w:after="0" w:line="240" w:lineRule="auto"/>
        <w:ind w:left="1890" w:hanging="450"/>
        <w:rPr>
          <w:rFonts w:ascii="Calibri" w:hAnsi="Calibri"/>
        </w:rPr>
      </w:pPr>
      <w:r w:rsidRPr="004F1682">
        <w:rPr>
          <w:rFonts w:ascii="Calibri" w:hAnsi="Calibri"/>
          <w:i/>
          <w:iCs/>
        </w:rPr>
        <w:t>Denominator.</w:t>
      </w:r>
      <w:r w:rsidRPr="00BB0E7A">
        <w:rPr>
          <w:rFonts w:ascii="Calibri" w:hAnsi="Calibri"/>
        </w:rPr>
        <w:t xml:space="preserve"> The population will consist of </w:t>
      </w:r>
      <w:r w:rsidR="00170652">
        <w:rPr>
          <w:rFonts w:ascii="Calibri" w:hAnsi="Calibri"/>
        </w:rPr>
        <w:t xml:space="preserve">all </w:t>
      </w:r>
      <w:r w:rsidRPr="00BB0E7A">
        <w:rPr>
          <w:rFonts w:ascii="Calibri" w:hAnsi="Calibri"/>
        </w:rPr>
        <w:t xml:space="preserve">unduplicated households </w:t>
      </w:r>
      <w:r>
        <w:rPr>
          <w:rFonts w:ascii="Calibri" w:hAnsi="Calibri"/>
        </w:rPr>
        <w:t xml:space="preserve">that received HOPWA services </w:t>
      </w:r>
      <w:r w:rsidRPr="00BB0E7A">
        <w:rPr>
          <w:rFonts w:ascii="Calibri" w:hAnsi="Calibri"/>
        </w:rPr>
        <w:t>during the review period.</w:t>
      </w:r>
      <w:r w:rsidR="00170652">
        <w:rPr>
          <w:rFonts w:ascii="Calibri" w:hAnsi="Calibri"/>
        </w:rPr>
        <w:t xml:space="preserve"> T</w:t>
      </w:r>
      <w:r w:rsidRPr="00BB0E7A">
        <w:rPr>
          <w:rFonts w:ascii="Calibri" w:hAnsi="Calibri"/>
        </w:rPr>
        <w:t xml:space="preserve">he reviewer will use </w:t>
      </w:r>
      <w:r w:rsidR="00170652">
        <w:rPr>
          <w:rFonts w:ascii="Calibri" w:hAnsi="Calibri"/>
        </w:rPr>
        <w:t>the client-level data system</w:t>
      </w:r>
      <w:r w:rsidRPr="00BB0E7A">
        <w:rPr>
          <w:rFonts w:ascii="Calibri" w:hAnsi="Calibri"/>
        </w:rPr>
        <w:t xml:space="preserve"> to</w:t>
      </w:r>
      <w:r w:rsidR="00170652" w:rsidRPr="00170652">
        <w:rPr>
          <w:rFonts w:ascii="Calibri" w:hAnsi="Calibri"/>
        </w:rPr>
        <w:t xml:space="preserve"> identify </w:t>
      </w:r>
      <w:r w:rsidR="00170652">
        <w:rPr>
          <w:rFonts w:ascii="Calibri" w:hAnsi="Calibri"/>
        </w:rPr>
        <w:t xml:space="preserve">and list all </w:t>
      </w:r>
      <w:r w:rsidR="00170652" w:rsidRPr="00170652">
        <w:rPr>
          <w:rFonts w:ascii="Calibri" w:hAnsi="Calibri"/>
        </w:rPr>
        <w:t>unduplicated households</w:t>
      </w:r>
      <w:r w:rsidR="00170652">
        <w:rPr>
          <w:rFonts w:ascii="Calibri" w:hAnsi="Calibri"/>
        </w:rPr>
        <w:t xml:space="preserve">. To generate a household count, the reviewer will </w:t>
      </w:r>
      <w:r w:rsidRPr="00BB0E7A">
        <w:rPr>
          <w:rFonts w:ascii="Calibri" w:hAnsi="Calibri"/>
        </w:rPr>
        <w:t xml:space="preserve">select household members designated as an eligible individual </w:t>
      </w:r>
      <w:r w:rsidR="00170652">
        <w:rPr>
          <w:rFonts w:ascii="Calibri" w:hAnsi="Calibri"/>
        </w:rPr>
        <w:t xml:space="preserve">and </w:t>
      </w:r>
      <w:r w:rsidRPr="00BB0E7A">
        <w:rPr>
          <w:rFonts w:ascii="Calibri" w:hAnsi="Calibri"/>
        </w:rPr>
        <w:t>who received a HOPWA service during the review period. The reviewer will exclude household members designated as additional beneficiaries from the denominator.</w:t>
      </w:r>
    </w:p>
    <w:p w14:paraId="2B88F4E5" w14:textId="38FC1614" w:rsidR="0020236B" w:rsidRPr="00DC7476" w:rsidRDefault="00BB0E7A" w:rsidP="003A5712">
      <w:pPr>
        <w:pStyle w:val="ListParagraph"/>
        <w:numPr>
          <w:ilvl w:val="0"/>
          <w:numId w:val="137"/>
        </w:numPr>
        <w:spacing w:after="0" w:line="240" w:lineRule="auto"/>
        <w:ind w:left="1890" w:hanging="450"/>
      </w:pPr>
      <w:r w:rsidRPr="002A566B">
        <w:rPr>
          <w:rFonts w:ascii="Calibri" w:hAnsi="Calibri"/>
          <w:i/>
          <w:iCs/>
        </w:rPr>
        <w:t>Numerator.</w:t>
      </w:r>
      <w:r w:rsidRPr="002A566B">
        <w:rPr>
          <w:rFonts w:ascii="Calibri" w:hAnsi="Calibri"/>
        </w:rPr>
        <w:t xml:space="preserve"> The Project Sponsor’s unduplicated household count</w:t>
      </w:r>
      <w:r w:rsidR="00170652" w:rsidRPr="002A566B">
        <w:rPr>
          <w:rFonts w:ascii="Calibri" w:hAnsi="Calibri"/>
        </w:rPr>
        <w:t xml:space="preserve"> for a given review period</w:t>
      </w:r>
      <w:r w:rsidRPr="002A566B">
        <w:rPr>
          <w:rFonts w:ascii="Calibri" w:hAnsi="Calibri"/>
        </w:rPr>
        <w:t xml:space="preserve"> will determine the sample size. The following table outlines the guidelines for determining the minimum sample size.</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4"/>
        <w:gridCol w:w="585"/>
        <w:gridCol w:w="585"/>
        <w:gridCol w:w="1444"/>
        <w:gridCol w:w="4496"/>
      </w:tblGrid>
      <w:tr w:rsidR="00AB5D33" w14:paraId="0A972684" w14:textId="77777777" w:rsidTr="004F1682">
        <w:trPr>
          <w:jc w:val="right"/>
        </w:trPr>
        <w:tc>
          <w:tcPr>
            <w:tcW w:w="4468"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tcPr>
          <w:p w14:paraId="5F52874C" w14:textId="36CF2858" w:rsidR="00AB5D33" w:rsidRPr="004F1682" w:rsidRDefault="00AB5D33" w:rsidP="004F1682">
            <w:pPr>
              <w:pStyle w:val="ListParagraph"/>
              <w:ind w:left="0"/>
              <w:jc w:val="center"/>
              <w:rPr>
                <w:rFonts w:ascii="Calibri" w:hAnsi="Calibri"/>
                <w:b/>
                <w:bCs/>
              </w:rPr>
            </w:pPr>
            <w:r w:rsidRPr="004F1682">
              <w:rPr>
                <w:rFonts w:ascii="Calibri" w:hAnsi="Calibri"/>
                <w:b/>
                <w:bCs/>
              </w:rPr>
              <w:t>Unduplicated</w:t>
            </w:r>
            <w:r>
              <w:rPr>
                <w:rFonts w:ascii="Calibri" w:hAnsi="Calibri"/>
                <w:b/>
                <w:bCs/>
              </w:rPr>
              <w:t xml:space="preserve"> </w:t>
            </w:r>
            <w:r w:rsidRPr="004F1682">
              <w:rPr>
                <w:rFonts w:ascii="Calibri" w:hAnsi="Calibri"/>
                <w:b/>
                <w:bCs/>
              </w:rPr>
              <w:t xml:space="preserve">HOPWA </w:t>
            </w:r>
            <w:r>
              <w:rPr>
                <w:rFonts w:ascii="Calibri" w:hAnsi="Calibri"/>
                <w:b/>
                <w:bCs/>
              </w:rPr>
              <w:t>H</w:t>
            </w:r>
            <w:r w:rsidRPr="004F1682">
              <w:rPr>
                <w:rFonts w:ascii="Calibri" w:hAnsi="Calibri"/>
                <w:b/>
                <w:bCs/>
              </w:rPr>
              <w:t>ouseholds</w:t>
            </w:r>
          </w:p>
        </w:tc>
        <w:tc>
          <w:tcPr>
            <w:tcW w:w="44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tcPr>
          <w:p w14:paraId="0B7109F1" w14:textId="4A4F8575" w:rsidR="00AB5D33" w:rsidRPr="004F1682" w:rsidRDefault="00AB5D33" w:rsidP="004F1682">
            <w:pPr>
              <w:pStyle w:val="ListParagraph"/>
              <w:ind w:left="0"/>
              <w:jc w:val="center"/>
              <w:rPr>
                <w:rFonts w:ascii="Calibri" w:hAnsi="Calibri"/>
                <w:b/>
                <w:bCs/>
              </w:rPr>
            </w:pPr>
            <w:r w:rsidRPr="004F1682">
              <w:rPr>
                <w:rFonts w:ascii="Calibri" w:hAnsi="Calibri"/>
                <w:b/>
                <w:bCs/>
              </w:rPr>
              <w:t>Random Sample</w:t>
            </w:r>
            <w:r>
              <w:rPr>
                <w:rFonts w:ascii="Calibri" w:hAnsi="Calibri"/>
                <w:b/>
                <w:bCs/>
              </w:rPr>
              <w:t xml:space="preserve"> </w:t>
            </w:r>
            <w:r w:rsidRPr="004F1682">
              <w:rPr>
                <w:rFonts w:ascii="Calibri" w:hAnsi="Calibri"/>
                <w:b/>
                <w:bCs/>
              </w:rPr>
              <w:t>Guidelines</w:t>
            </w:r>
          </w:p>
        </w:tc>
      </w:tr>
      <w:tr w:rsidR="00AB5D33" w14:paraId="7C19C00F" w14:textId="77777777" w:rsidTr="004F1682">
        <w:trPr>
          <w:jc w:val="right"/>
        </w:trPr>
        <w:tc>
          <w:tcPr>
            <w:tcW w:w="1854" w:type="dxa"/>
            <w:tcBorders>
              <w:top w:val="single" w:sz="4" w:space="0" w:color="FFFFFF" w:themeColor="background1"/>
              <w:left w:val="single" w:sz="4" w:space="0" w:color="FFFFFF" w:themeColor="background1"/>
            </w:tcBorders>
            <w:shd w:val="clear" w:color="auto" w:fill="FFF2CC" w:themeFill="accent4" w:themeFillTint="33"/>
            <w:vAlign w:val="bottom"/>
          </w:tcPr>
          <w:p w14:paraId="63AD3FC3" w14:textId="361413A9" w:rsidR="00AB5D33" w:rsidRDefault="00AB5D33" w:rsidP="004F1682">
            <w:pPr>
              <w:pStyle w:val="ListParagraph"/>
              <w:ind w:left="0"/>
              <w:jc w:val="right"/>
              <w:rPr>
                <w:rFonts w:ascii="Calibri" w:hAnsi="Calibri"/>
              </w:rPr>
            </w:pPr>
            <w:r>
              <w:rPr>
                <w:rFonts w:ascii="Calibri" w:hAnsi="Calibri"/>
              </w:rPr>
              <w:t>1</w:t>
            </w:r>
          </w:p>
        </w:tc>
        <w:tc>
          <w:tcPr>
            <w:tcW w:w="585" w:type="dxa"/>
            <w:tcBorders>
              <w:top w:val="single" w:sz="4" w:space="0" w:color="FFFFFF" w:themeColor="background1"/>
            </w:tcBorders>
            <w:shd w:val="clear" w:color="auto" w:fill="FFF2CC" w:themeFill="accent4" w:themeFillTint="33"/>
            <w:vAlign w:val="bottom"/>
          </w:tcPr>
          <w:p w14:paraId="08740352" w14:textId="3B431189" w:rsidR="00AB5D33" w:rsidRDefault="00AB5D33" w:rsidP="004F1682">
            <w:pPr>
              <w:pStyle w:val="ListParagraph"/>
              <w:ind w:left="0"/>
              <w:jc w:val="center"/>
              <w:rPr>
                <w:rFonts w:ascii="Calibri" w:hAnsi="Calibri"/>
              </w:rPr>
            </w:pPr>
            <w:r>
              <w:rPr>
                <w:rFonts w:ascii="Calibri" w:hAnsi="Calibri"/>
              </w:rPr>
              <w:t>-</w:t>
            </w:r>
          </w:p>
        </w:tc>
        <w:tc>
          <w:tcPr>
            <w:tcW w:w="585" w:type="dxa"/>
            <w:tcBorders>
              <w:top w:val="single" w:sz="4" w:space="0" w:color="FFFFFF" w:themeColor="background1"/>
            </w:tcBorders>
            <w:shd w:val="clear" w:color="auto" w:fill="FFF2CC" w:themeFill="accent4" w:themeFillTint="33"/>
            <w:vAlign w:val="bottom"/>
          </w:tcPr>
          <w:p w14:paraId="65B00E58" w14:textId="264CD7EC" w:rsidR="00AB5D33" w:rsidRDefault="00AB5D33" w:rsidP="004F1682">
            <w:pPr>
              <w:pStyle w:val="ListParagraph"/>
              <w:ind w:left="0"/>
              <w:jc w:val="right"/>
              <w:rPr>
                <w:rFonts w:ascii="Calibri" w:hAnsi="Calibri"/>
              </w:rPr>
            </w:pPr>
            <w:r>
              <w:rPr>
                <w:rFonts w:ascii="Calibri" w:hAnsi="Calibri"/>
              </w:rPr>
              <w:t>25</w:t>
            </w:r>
          </w:p>
        </w:tc>
        <w:tc>
          <w:tcPr>
            <w:tcW w:w="1444" w:type="dxa"/>
            <w:tcBorders>
              <w:top w:val="single" w:sz="4" w:space="0" w:color="FFFFFF" w:themeColor="background1"/>
              <w:right w:val="single" w:sz="4" w:space="0" w:color="FFFFFF" w:themeColor="background1"/>
            </w:tcBorders>
            <w:shd w:val="clear" w:color="auto" w:fill="FFF2CC" w:themeFill="accent4" w:themeFillTint="33"/>
          </w:tcPr>
          <w:p w14:paraId="2E233098" w14:textId="1ADDC8FF" w:rsidR="00AB5D33" w:rsidRDefault="00AB5D33" w:rsidP="00170652">
            <w:pPr>
              <w:pStyle w:val="ListParagraph"/>
              <w:ind w:left="0"/>
              <w:rPr>
                <w:rFonts w:ascii="Calibri" w:hAnsi="Calibri"/>
              </w:rPr>
            </w:pPr>
            <w:r>
              <w:rPr>
                <w:rFonts w:ascii="Calibri" w:hAnsi="Calibri"/>
              </w:rPr>
              <w:t>=</w:t>
            </w:r>
          </w:p>
        </w:tc>
        <w:tc>
          <w:tcPr>
            <w:tcW w:w="4496" w:type="dxa"/>
            <w:tcBorders>
              <w:top w:val="single" w:sz="4" w:space="0" w:color="FFFFFF" w:themeColor="background1"/>
              <w:left w:val="single" w:sz="4" w:space="0" w:color="FFFFFF" w:themeColor="background1"/>
              <w:right w:val="single" w:sz="4" w:space="0" w:color="FFFFFF" w:themeColor="background1"/>
            </w:tcBorders>
            <w:shd w:val="clear" w:color="auto" w:fill="FFF2CC" w:themeFill="accent4" w:themeFillTint="33"/>
          </w:tcPr>
          <w:p w14:paraId="41F200E9" w14:textId="102329B3" w:rsidR="00AB5D33" w:rsidRDefault="00AB5D33" w:rsidP="004F1682">
            <w:pPr>
              <w:pStyle w:val="ListParagraph"/>
              <w:ind w:left="0"/>
              <w:jc w:val="center"/>
              <w:rPr>
                <w:rFonts w:ascii="Calibri" w:hAnsi="Calibri"/>
              </w:rPr>
            </w:pPr>
            <w:r>
              <w:rPr>
                <w:rFonts w:ascii="Calibri" w:hAnsi="Calibri"/>
              </w:rPr>
              <w:t xml:space="preserve">All </w:t>
            </w:r>
            <w:r w:rsidR="002228D2">
              <w:rPr>
                <w:rFonts w:ascii="Calibri" w:hAnsi="Calibri"/>
              </w:rPr>
              <w:t>Record</w:t>
            </w:r>
            <w:r>
              <w:rPr>
                <w:rFonts w:ascii="Calibri" w:hAnsi="Calibri"/>
              </w:rPr>
              <w:t>s</w:t>
            </w:r>
          </w:p>
        </w:tc>
      </w:tr>
      <w:tr w:rsidR="00AB5D33" w14:paraId="05FD2646" w14:textId="77777777" w:rsidTr="004F1682">
        <w:trPr>
          <w:jc w:val="right"/>
        </w:trPr>
        <w:tc>
          <w:tcPr>
            <w:tcW w:w="1854" w:type="dxa"/>
            <w:tcBorders>
              <w:left w:val="single" w:sz="4" w:space="0" w:color="FFFFFF" w:themeColor="background1"/>
            </w:tcBorders>
            <w:shd w:val="clear" w:color="auto" w:fill="FFF2CC" w:themeFill="accent4" w:themeFillTint="33"/>
            <w:vAlign w:val="bottom"/>
          </w:tcPr>
          <w:p w14:paraId="02EA025A" w14:textId="561DAE66" w:rsidR="00AB5D33" w:rsidRDefault="00AB5D33" w:rsidP="004F1682">
            <w:pPr>
              <w:pStyle w:val="ListParagraph"/>
              <w:ind w:left="0"/>
              <w:jc w:val="right"/>
              <w:rPr>
                <w:rFonts w:ascii="Calibri" w:hAnsi="Calibri"/>
              </w:rPr>
            </w:pPr>
            <w:r>
              <w:rPr>
                <w:rFonts w:ascii="Calibri" w:hAnsi="Calibri"/>
              </w:rPr>
              <w:t>26</w:t>
            </w:r>
          </w:p>
        </w:tc>
        <w:tc>
          <w:tcPr>
            <w:tcW w:w="585" w:type="dxa"/>
            <w:shd w:val="clear" w:color="auto" w:fill="FFF2CC" w:themeFill="accent4" w:themeFillTint="33"/>
            <w:vAlign w:val="bottom"/>
          </w:tcPr>
          <w:p w14:paraId="6668F6C2" w14:textId="3936EDC1" w:rsidR="00AB5D33" w:rsidRDefault="00AB5D33" w:rsidP="004F1682">
            <w:pPr>
              <w:pStyle w:val="ListParagraph"/>
              <w:ind w:left="0"/>
              <w:jc w:val="center"/>
              <w:rPr>
                <w:rFonts w:ascii="Calibri" w:hAnsi="Calibri"/>
              </w:rPr>
            </w:pPr>
            <w:r>
              <w:rPr>
                <w:rFonts w:ascii="Calibri" w:hAnsi="Calibri"/>
              </w:rPr>
              <w:t>-</w:t>
            </w:r>
          </w:p>
        </w:tc>
        <w:tc>
          <w:tcPr>
            <w:tcW w:w="585" w:type="dxa"/>
            <w:shd w:val="clear" w:color="auto" w:fill="FFF2CC" w:themeFill="accent4" w:themeFillTint="33"/>
            <w:vAlign w:val="bottom"/>
          </w:tcPr>
          <w:p w14:paraId="63CF55EE" w14:textId="7A149C69" w:rsidR="00AB5D33" w:rsidRDefault="00AB5D33" w:rsidP="004F1682">
            <w:pPr>
              <w:pStyle w:val="ListParagraph"/>
              <w:ind w:left="0"/>
              <w:jc w:val="right"/>
              <w:rPr>
                <w:rFonts w:ascii="Calibri" w:hAnsi="Calibri"/>
              </w:rPr>
            </w:pPr>
            <w:r>
              <w:rPr>
                <w:rFonts w:ascii="Calibri" w:hAnsi="Calibri"/>
              </w:rPr>
              <w:t>50</w:t>
            </w:r>
          </w:p>
        </w:tc>
        <w:tc>
          <w:tcPr>
            <w:tcW w:w="1444" w:type="dxa"/>
            <w:tcBorders>
              <w:right w:val="single" w:sz="4" w:space="0" w:color="FFFFFF" w:themeColor="background1"/>
            </w:tcBorders>
            <w:shd w:val="clear" w:color="auto" w:fill="FFF2CC" w:themeFill="accent4" w:themeFillTint="33"/>
          </w:tcPr>
          <w:p w14:paraId="24207A0F" w14:textId="49749C3A" w:rsidR="00AB5D33" w:rsidRDefault="00AB5D33" w:rsidP="00170652">
            <w:pPr>
              <w:pStyle w:val="ListParagraph"/>
              <w:ind w:left="0"/>
              <w:rPr>
                <w:rFonts w:ascii="Calibri" w:hAnsi="Calibri"/>
              </w:rPr>
            </w:pPr>
            <w:r>
              <w:rPr>
                <w:rFonts w:ascii="Calibri" w:hAnsi="Calibri"/>
              </w:rPr>
              <w:t>=</w:t>
            </w:r>
          </w:p>
        </w:tc>
        <w:tc>
          <w:tcPr>
            <w:tcW w:w="4496" w:type="dxa"/>
            <w:tcBorders>
              <w:left w:val="single" w:sz="4" w:space="0" w:color="FFFFFF" w:themeColor="background1"/>
              <w:right w:val="single" w:sz="4" w:space="0" w:color="FFFFFF" w:themeColor="background1"/>
            </w:tcBorders>
            <w:shd w:val="clear" w:color="auto" w:fill="FFF2CC" w:themeFill="accent4" w:themeFillTint="33"/>
          </w:tcPr>
          <w:p w14:paraId="05B1830C" w14:textId="300379D1" w:rsidR="00AB5D33" w:rsidRDefault="00AB5D33" w:rsidP="004F1682">
            <w:pPr>
              <w:pStyle w:val="ListParagraph"/>
              <w:ind w:left="0"/>
              <w:jc w:val="center"/>
              <w:rPr>
                <w:rFonts w:ascii="Calibri" w:hAnsi="Calibri"/>
              </w:rPr>
            </w:pPr>
            <w:r>
              <w:rPr>
                <w:rFonts w:ascii="Calibri" w:hAnsi="Calibri"/>
              </w:rPr>
              <w:t xml:space="preserve">25 </w:t>
            </w:r>
            <w:r w:rsidR="002228D2">
              <w:rPr>
                <w:rFonts w:ascii="Calibri" w:hAnsi="Calibri"/>
              </w:rPr>
              <w:t>Record</w:t>
            </w:r>
            <w:r>
              <w:rPr>
                <w:rFonts w:ascii="Calibri" w:hAnsi="Calibri"/>
              </w:rPr>
              <w:t>s</w:t>
            </w:r>
          </w:p>
        </w:tc>
      </w:tr>
      <w:tr w:rsidR="00AB5D33" w14:paraId="095C5420" w14:textId="77777777" w:rsidTr="004F1682">
        <w:trPr>
          <w:jc w:val="right"/>
        </w:trPr>
        <w:tc>
          <w:tcPr>
            <w:tcW w:w="1854" w:type="dxa"/>
            <w:tcBorders>
              <w:left w:val="single" w:sz="4" w:space="0" w:color="FFFFFF" w:themeColor="background1"/>
            </w:tcBorders>
            <w:shd w:val="clear" w:color="auto" w:fill="FFF2CC" w:themeFill="accent4" w:themeFillTint="33"/>
            <w:vAlign w:val="bottom"/>
          </w:tcPr>
          <w:p w14:paraId="5BB206C6" w14:textId="2F651DB7" w:rsidR="00AB5D33" w:rsidRDefault="00AB5D33" w:rsidP="004F1682">
            <w:pPr>
              <w:pStyle w:val="ListParagraph"/>
              <w:ind w:left="0"/>
              <w:jc w:val="right"/>
              <w:rPr>
                <w:rFonts w:ascii="Calibri" w:hAnsi="Calibri"/>
              </w:rPr>
            </w:pPr>
            <w:r>
              <w:rPr>
                <w:rFonts w:ascii="Calibri" w:hAnsi="Calibri"/>
              </w:rPr>
              <w:t>51</w:t>
            </w:r>
          </w:p>
        </w:tc>
        <w:tc>
          <w:tcPr>
            <w:tcW w:w="585" w:type="dxa"/>
            <w:shd w:val="clear" w:color="auto" w:fill="FFF2CC" w:themeFill="accent4" w:themeFillTint="33"/>
            <w:vAlign w:val="bottom"/>
          </w:tcPr>
          <w:p w14:paraId="57BAAE5F" w14:textId="0B4BE553" w:rsidR="00AB5D33" w:rsidRDefault="00AB5D33" w:rsidP="004F1682">
            <w:pPr>
              <w:pStyle w:val="ListParagraph"/>
              <w:ind w:left="0"/>
              <w:jc w:val="center"/>
              <w:rPr>
                <w:rFonts w:ascii="Calibri" w:hAnsi="Calibri"/>
              </w:rPr>
            </w:pPr>
            <w:r>
              <w:rPr>
                <w:rFonts w:ascii="Calibri" w:hAnsi="Calibri"/>
              </w:rPr>
              <w:t>-</w:t>
            </w:r>
          </w:p>
        </w:tc>
        <w:tc>
          <w:tcPr>
            <w:tcW w:w="585" w:type="dxa"/>
            <w:shd w:val="clear" w:color="auto" w:fill="FFF2CC" w:themeFill="accent4" w:themeFillTint="33"/>
            <w:vAlign w:val="bottom"/>
          </w:tcPr>
          <w:p w14:paraId="2FC0678D" w14:textId="425A14F5" w:rsidR="00AB5D33" w:rsidRDefault="00AB5D33" w:rsidP="004F1682">
            <w:pPr>
              <w:pStyle w:val="ListParagraph"/>
              <w:ind w:left="0"/>
              <w:jc w:val="right"/>
              <w:rPr>
                <w:rFonts w:ascii="Calibri" w:hAnsi="Calibri"/>
              </w:rPr>
            </w:pPr>
            <w:r>
              <w:rPr>
                <w:rFonts w:ascii="Calibri" w:hAnsi="Calibri"/>
              </w:rPr>
              <w:t>100</w:t>
            </w:r>
          </w:p>
        </w:tc>
        <w:tc>
          <w:tcPr>
            <w:tcW w:w="1444" w:type="dxa"/>
            <w:tcBorders>
              <w:right w:val="single" w:sz="4" w:space="0" w:color="FFFFFF" w:themeColor="background1"/>
            </w:tcBorders>
            <w:shd w:val="clear" w:color="auto" w:fill="FFF2CC" w:themeFill="accent4" w:themeFillTint="33"/>
          </w:tcPr>
          <w:p w14:paraId="03515B6D" w14:textId="199A42C0" w:rsidR="00AB5D33" w:rsidRDefault="00AB5D33" w:rsidP="00170652">
            <w:pPr>
              <w:pStyle w:val="ListParagraph"/>
              <w:ind w:left="0"/>
              <w:rPr>
                <w:rFonts w:ascii="Calibri" w:hAnsi="Calibri"/>
              </w:rPr>
            </w:pPr>
            <w:r>
              <w:rPr>
                <w:rFonts w:ascii="Calibri" w:hAnsi="Calibri"/>
              </w:rPr>
              <w:t>=</w:t>
            </w:r>
          </w:p>
        </w:tc>
        <w:tc>
          <w:tcPr>
            <w:tcW w:w="4496" w:type="dxa"/>
            <w:tcBorders>
              <w:left w:val="single" w:sz="4" w:space="0" w:color="FFFFFF" w:themeColor="background1"/>
              <w:right w:val="single" w:sz="4" w:space="0" w:color="FFFFFF" w:themeColor="background1"/>
            </w:tcBorders>
            <w:shd w:val="clear" w:color="auto" w:fill="FFF2CC" w:themeFill="accent4" w:themeFillTint="33"/>
          </w:tcPr>
          <w:p w14:paraId="53F8C2F7" w14:textId="10650CD6" w:rsidR="00AB5D33" w:rsidRDefault="00AB5D33" w:rsidP="004F1682">
            <w:pPr>
              <w:pStyle w:val="ListParagraph"/>
              <w:ind w:left="0"/>
              <w:jc w:val="center"/>
              <w:rPr>
                <w:rFonts w:ascii="Calibri" w:hAnsi="Calibri"/>
              </w:rPr>
            </w:pPr>
            <w:r>
              <w:rPr>
                <w:rFonts w:ascii="Calibri" w:hAnsi="Calibri"/>
              </w:rPr>
              <w:t xml:space="preserve">30 </w:t>
            </w:r>
            <w:r w:rsidR="002228D2">
              <w:rPr>
                <w:rFonts w:ascii="Calibri" w:hAnsi="Calibri"/>
              </w:rPr>
              <w:t>Record</w:t>
            </w:r>
            <w:r>
              <w:rPr>
                <w:rFonts w:ascii="Calibri" w:hAnsi="Calibri"/>
              </w:rPr>
              <w:t>s</w:t>
            </w:r>
          </w:p>
        </w:tc>
      </w:tr>
      <w:tr w:rsidR="00AB5D33" w14:paraId="01E0C7C8" w14:textId="77777777" w:rsidTr="004F1682">
        <w:trPr>
          <w:jc w:val="right"/>
        </w:trPr>
        <w:tc>
          <w:tcPr>
            <w:tcW w:w="1854" w:type="dxa"/>
            <w:tcBorders>
              <w:left w:val="single" w:sz="4" w:space="0" w:color="FFFFFF" w:themeColor="background1"/>
              <w:bottom w:val="single" w:sz="4" w:space="0" w:color="FFFFFF" w:themeColor="background1"/>
            </w:tcBorders>
            <w:shd w:val="clear" w:color="auto" w:fill="FFF2CC" w:themeFill="accent4" w:themeFillTint="33"/>
            <w:vAlign w:val="bottom"/>
          </w:tcPr>
          <w:p w14:paraId="72CD67BA" w14:textId="6C477040" w:rsidR="00AB5D33" w:rsidRDefault="00AB5D33" w:rsidP="004F1682">
            <w:pPr>
              <w:pStyle w:val="ListParagraph"/>
              <w:ind w:left="0"/>
              <w:jc w:val="right"/>
              <w:rPr>
                <w:rFonts w:ascii="Calibri" w:hAnsi="Calibri"/>
              </w:rPr>
            </w:pPr>
            <w:r>
              <w:rPr>
                <w:rFonts w:ascii="Calibri" w:hAnsi="Calibri"/>
              </w:rPr>
              <w:t>101</w:t>
            </w:r>
          </w:p>
        </w:tc>
        <w:tc>
          <w:tcPr>
            <w:tcW w:w="585" w:type="dxa"/>
            <w:tcBorders>
              <w:bottom w:val="single" w:sz="4" w:space="0" w:color="FFFFFF" w:themeColor="background1"/>
            </w:tcBorders>
            <w:shd w:val="clear" w:color="auto" w:fill="FFF2CC" w:themeFill="accent4" w:themeFillTint="33"/>
            <w:vAlign w:val="bottom"/>
          </w:tcPr>
          <w:p w14:paraId="4D114FCB" w14:textId="79A95D51" w:rsidR="00AB5D33" w:rsidRDefault="00AB5D33" w:rsidP="004F1682">
            <w:pPr>
              <w:pStyle w:val="ListParagraph"/>
              <w:ind w:left="0"/>
              <w:jc w:val="center"/>
              <w:rPr>
                <w:rFonts w:ascii="Calibri" w:hAnsi="Calibri"/>
              </w:rPr>
            </w:pPr>
            <w:r>
              <w:rPr>
                <w:rFonts w:ascii="Calibri" w:hAnsi="Calibri"/>
              </w:rPr>
              <w:t>-</w:t>
            </w:r>
          </w:p>
        </w:tc>
        <w:tc>
          <w:tcPr>
            <w:tcW w:w="585" w:type="dxa"/>
            <w:tcBorders>
              <w:bottom w:val="single" w:sz="4" w:space="0" w:color="FFFFFF" w:themeColor="background1"/>
            </w:tcBorders>
            <w:shd w:val="clear" w:color="auto" w:fill="FFF2CC" w:themeFill="accent4" w:themeFillTint="33"/>
            <w:vAlign w:val="bottom"/>
          </w:tcPr>
          <w:p w14:paraId="2C2EF717" w14:textId="0BAA2F1B" w:rsidR="00AB5D33" w:rsidRDefault="00AB5D33" w:rsidP="004F1682">
            <w:pPr>
              <w:pStyle w:val="ListParagraph"/>
              <w:ind w:left="0"/>
              <w:jc w:val="right"/>
              <w:rPr>
                <w:rFonts w:ascii="Calibri" w:hAnsi="Calibri"/>
              </w:rPr>
            </w:pPr>
            <w:r>
              <w:rPr>
                <w:rFonts w:ascii="Calibri" w:hAnsi="Calibri"/>
              </w:rPr>
              <w:t>+</w:t>
            </w:r>
          </w:p>
        </w:tc>
        <w:tc>
          <w:tcPr>
            <w:tcW w:w="1444" w:type="dxa"/>
            <w:tcBorders>
              <w:bottom w:val="single" w:sz="4" w:space="0" w:color="FFFFFF" w:themeColor="background1"/>
              <w:right w:val="single" w:sz="4" w:space="0" w:color="FFFFFF" w:themeColor="background1"/>
            </w:tcBorders>
            <w:shd w:val="clear" w:color="auto" w:fill="FFF2CC" w:themeFill="accent4" w:themeFillTint="33"/>
          </w:tcPr>
          <w:p w14:paraId="20C9E6C1" w14:textId="4DFF85E2" w:rsidR="00AB5D33" w:rsidRDefault="00AB5D33" w:rsidP="00170652">
            <w:pPr>
              <w:pStyle w:val="ListParagraph"/>
              <w:ind w:left="0"/>
              <w:rPr>
                <w:rFonts w:ascii="Calibri" w:hAnsi="Calibri"/>
              </w:rPr>
            </w:pPr>
            <w:r>
              <w:rPr>
                <w:rFonts w:ascii="Calibri" w:hAnsi="Calibri"/>
              </w:rPr>
              <w:t>=</w:t>
            </w:r>
          </w:p>
        </w:tc>
        <w:tc>
          <w:tcPr>
            <w:tcW w:w="4496" w:type="dxa"/>
            <w:tcBorders>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tcPr>
          <w:p w14:paraId="0EF9027A" w14:textId="0FAA3347" w:rsidR="00AB5D33" w:rsidRDefault="00AB5D33" w:rsidP="004F1682">
            <w:pPr>
              <w:pStyle w:val="ListParagraph"/>
              <w:ind w:left="0"/>
              <w:jc w:val="center"/>
              <w:rPr>
                <w:rFonts w:ascii="Calibri" w:hAnsi="Calibri"/>
              </w:rPr>
            </w:pPr>
            <w:r>
              <w:rPr>
                <w:rFonts w:ascii="Calibri" w:hAnsi="Calibri"/>
              </w:rPr>
              <w:t xml:space="preserve">40 </w:t>
            </w:r>
            <w:r w:rsidR="002228D2">
              <w:rPr>
                <w:rFonts w:ascii="Calibri" w:hAnsi="Calibri"/>
              </w:rPr>
              <w:t>Record</w:t>
            </w:r>
            <w:r>
              <w:rPr>
                <w:rFonts w:ascii="Calibri" w:hAnsi="Calibri"/>
              </w:rPr>
              <w:t>s</w:t>
            </w:r>
          </w:p>
        </w:tc>
      </w:tr>
    </w:tbl>
    <w:p w14:paraId="7568A486" w14:textId="77777777" w:rsidR="00437BE1" w:rsidRPr="004F1682" w:rsidRDefault="00437BE1" w:rsidP="004F1682">
      <w:pPr>
        <w:pStyle w:val="ListParagraph"/>
        <w:spacing w:after="0" w:line="240" w:lineRule="auto"/>
        <w:ind w:left="1440"/>
        <w:rPr>
          <w:rFonts w:ascii="Calibri" w:hAnsi="Calibri"/>
          <w:bCs/>
        </w:rPr>
      </w:pPr>
    </w:p>
    <w:p w14:paraId="79955C44" w14:textId="067A5B77" w:rsidR="00437BE1" w:rsidRDefault="00437BE1" w:rsidP="003B5501">
      <w:pPr>
        <w:pStyle w:val="ListParagraph"/>
        <w:numPr>
          <w:ilvl w:val="0"/>
          <w:numId w:val="135"/>
        </w:numPr>
        <w:spacing w:after="0" w:line="240" w:lineRule="auto"/>
        <w:ind w:left="1440" w:hanging="360"/>
        <w:rPr>
          <w:rFonts w:ascii="Calibri" w:hAnsi="Calibri"/>
          <w:b/>
        </w:rPr>
      </w:pPr>
      <w:r>
        <w:rPr>
          <w:rFonts w:ascii="Calibri" w:hAnsi="Calibri"/>
          <w:b/>
        </w:rPr>
        <w:t xml:space="preserve">Monitoring </w:t>
      </w:r>
      <w:r w:rsidR="007C6DA4">
        <w:rPr>
          <w:rFonts w:ascii="Calibri" w:hAnsi="Calibri"/>
          <w:b/>
        </w:rPr>
        <w:t>Schedule</w:t>
      </w:r>
    </w:p>
    <w:p w14:paraId="1F13A2CC" w14:textId="3CBDB093" w:rsidR="00E01F8C" w:rsidRPr="004F1682" w:rsidRDefault="00E01F8C" w:rsidP="004F1682">
      <w:pPr>
        <w:pStyle w:val="ListParagraph"/>
        <w:spacing w:after="0" w:line="240" w:lineRule="auto"/>
        <w:ind w:left="1440"/>
        <w:rPr>
          <w:rFonts w:ascii="Calibri" w:hAnsi="Calibri"/>
          <w:bCs/>
        </w:rPr>
      </w:pPr>
      <w:r>
        <w:rPr>
          <w:rFonts w:ascii="Calibri" w:hAnsi="Calibri"/>
          <w:bCs/>
        </w:rPr>
        <w:t xml:space="preserve">The following monitoring cycle alternates between AAs and Project Sponsors. This approach provides AAs and Project Sponsors time to </w:t>
      </w:r>
      <w:r w:rsidR="006A61CD">
        <w:rPr>
          <w:rFonts w:ascii="Calibri" w:hAnsi="Calibri"/>
          <w:bCs/>
        </w:rPr>
        <w:t>implement</w:t>
      </w:r>
      <w:r>
        <w:rPr>
          <w:rFonts w:ascii="Calibri" w:hAnsi="Calibri"/>
          <w:bCs/>
        </w:rPr>
        <w:t xml:space="preserve"> corrective action plans and quality improvement projects.</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15"/>
        <w:gridCol w:w="1080"/>
        <w:gridCol w:w="990"/>
        <w:gridCol w:w="1877"/>
        <w:gridCol w:w="1877"/>
        <w:gridCol w:w="1877"/>
      </w:tblGrid>
      <w:tr w:rsidR="00E01F8C" w14:paraId="535BB73C" w14:textId="644FC8B2" w:rsidTr="004F1682">
        <w:trPr>
          <w:jc w:val="right"/>
        </w:trPr>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tcPr>
          <w:p w14:paraId="0E0A4AA4" w14:textId="77777777" w:rsidR="00FC183F" w:rsidRPr="004F1682" w:rsidRDefault="00FC183F">
            <w:pPr>
              <w:pStyle w:val="ListParagraph"/>
              <w:ind w:left="0"/>
              <w:rPr>
                <w:rFonts w:ascii="Calibri" w:hAnsi="Calibri"/>
                <w:b/>
              </w:rPr>
            </w:pPr>
            <w:r w:rsidRPr="004F1682">
              <w:rPr>
                <w:rFonts w:ascii="Calibri" w:hAnsi="Calibri"/>
                <w:b/>
              </w:rPr>
              <w:t>Planning</w:t>
            </w:r>
          </w:p>
          <w:p w14:paraId="14D8CE2B" w14:textId="0F7DF3DA" w:rsidR="00FC183F" w:rsidRPr="004F1682" w:rsidRDefault="00E4092F">
            <w:pPr>
              <w:pStyle w:val="ListParagraph"/>
              <w:ind w:left="0"/>
              <w:rPr>
                <w:rFonts w:ascii="Calibri" w:hAnsi="Calibri"/>
                <w:b/>
              </w:rPr>
            </w:pPr>
            <w:r>
              <w:rPr>
                <w:rFonts w:ascii="Calibri" w:hAnsi="Calibri"/>
                <w:b/>
              </w:rPr>
              <w:t>Area</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tcPr>
          <w:p w14:paraId="04D3014F" w14:textId="519FC622" w:rsidR="00FC183F" w:rsidRPr="004F1682" w:rsidRDefault="00FC183F">
            <w:pPr>
              <w:pStyle w:val="ListParagraph"/>
              <w:ind w:left="0"/>
              <w:rPr>
                <w:rFonts w:ascii="Calibri" w:hAnsi="Calibri"/>
                <w:b/>
              </w:rPr>
            </w:pPr>
            <w:r w:rsidRPr="004F1682">
              <w:rPr>
                <w:rFonts w:ascii="Calibri" w:hAnsi="Calibri"/>
                <w:b/>
              </w:rPr>
              <w:t>AA</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tcPr>
          <w:p w14:paraId="5C69F9AC" w14:textId="13190AB1" w:rsidR="00FC183F" w:rsidRPr="004F1682" w:rsidRDefault="00FC183F" w:rsidP="004F1682">
            <w:pPr>
              <w:pStyle w:val="ListParagraph"/>
              <w:ind w:left="0"/>
              <w:jc w:val="right"/>
              <w:rPr>
                <w:rFonts w:ascii="Calibri" w:hAnsi="Calibri"/>
                <w:b/>
              </w:rPr>
            </w:pPr>
            <w:r w:rsidRPr="004F1682">
              <w:rPr>
                <w:rFonts w:ascii="Calibri" w:hAnsi="Calibri"/>
                <w:b/>
              </w:rPr>
              <w:t>HSDAs</w:t>
            </w:r>
          </w:p>
        </w:tc>
        <w:tc>
          <w:tcPr>
            <w:tcW w:w="18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tcPr>
          <w:p w14:paraId="48D94C94" w14:textId="77CD293B" w:rsidR="00FC183F" w:rsidRPr="004F1682" w:rsidRDefault="00FC183F" w:rsidP="004F1682">
            <w:pPr>
              <w:pStyle w:val="ListParagraph"/>
              <w:ind w:left="0"/>
              <w:jc w:val="right"/>
              <w:rPr>
                <w:rFonts w:ascii="Calibri" w:hAnsi="Calibri"/>
                <w:b/>
              </w:rPr>
            </w:pPr>
            <w:r w:rsidRPr="004F1682">
              <w:rPr>
                <w:rFonts w:ascii="Calibri" w:hAnsi="Calibri"/>
                <w:b/>
              </w:rPr>
              <w:t>Number</w:t>
            </w:r>
            <w:r w:rsidR="00E01F8C">
              <w:rPr>
                <w:rFonts w:ascii="Calibri" w:hAnsi="Calibri"/>
                <w:b/>
              </w:rPr>
              <w:t xml:space="preserve"> </w:t>
            </w:r>
            <w:r w:rsidRPr="004F1682">
              <w:rPr>
                <w:rFonts w:ascii="Calibri" w:hAnsi="Calibri"/>
                <w:b/>
              </w:rPr>
              <w:t>of Project</w:t>
            </w:r>
            <w:r w:rsidR="00E01F8C">
              <w:rPr>
                <w:rFonts w:ascii="Calibri" w:hAnsi="Calibri"/>
                <w:b/>
              </w:rPr>
              <w:t xml:space="preserve"> </w:t>
            </w:r>
            <w:r w:rsidRPr="004F1682">
              <w:rPr>
                <w:rFonts w:ascii="Calibri" w:hAnsi="Calibri"/>
                <w:b/>
              </w:rPr>
              <w:t>Sponsors</w:t>
            </w:r>
          </w:p>
        </w:tc>
        <w:tc>
          <w:tcPr>
            <w:tcW w:w="18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tcPr>
          <w:p w14:paraId="5A8EA2F2" w14:textId="77777777" w:rsidR="00FC183F" w:rsidRPr="004F1682" w:rsidRDefault="00FC183F" w:rsidP="004F1682">
            <w:pPr>
              <w:pStyle w:val="ListParagraph"/>
              <w:ind w:left="0"/>
              <w:jc w:val="right"/>
              <w:rPr>
                <w:rFonts w:ascii="Calibri" w:hAnsi="Calibri"/>
                <w:b/>
              </w:rPr>
            </w:pPr>
            <w:r w:rsidRPr="004F1682">
              <w:rPr>
                <w:rFonts w:ascii="Calibri" w:hAnsi="Calibri"/>
                <w:b/>
              </w:rPr>
              <w:t>AA</w:t>
            </w:r>
          </w:p>
          <w:p w14:paraId="63D336E5" w14:textId="2D0E0DDC" w:rsidR="00FC183F" w:rsidRPr="004F1682" w:rsidRDefault="00FC183F" w:rsidP="004F1682">
            <w:pPr>
              <w:pStyle w:val="ListParagraph"/>
              <w:ind w:left="0"/>
              <w:jc w:val="right"/>
              <w:rPr>
                <w:rFonts w:ascii="Calibri" w:hAnsi="Calibri"/>
                <w:b/>
              </w:rPr>
            </w:pPr>
            <w:r w:rsidRPr="004F1682">
              <w:rPr>
                <w:rFonts w:ascii="Calibri" w:hAnsi="Calibri"/>
                <w:b/>
              </w:rPr>
              <w:t>Monitoring</w:t>
            </w:r>
          </w:p>
        </w:tc>
        <w:tc>
          <w:tcPr>
            <w:tcW w:w="18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tcPr>
          <w:p w14:paraId="38EDCE0D" w14:textId="46F7AE42" w:rsidR="00FC183F" w:rsidRPr="004F1682" w:rsidRDefault="00FC183F" w:rsidP="004F1682">
            <w:pPr>
              <w:pStyle w:val="ListParagraph"/>
              <w:ind w:left="0"/>
              <w:jc w:val="right"/>
              <w:rPr>
                <w:rFonts w:ascii="Calibri" w:hAnsi="Calibri"/>
                <w:b/>
              </w:rPr>
            </w:pPr>
            <w:r w:rsidRPr="004F1682">
              <w:rPr>
                <w:rFonts w:ascii="Calibri" w:hAnsi="Calibri"/>
                <w:b/>
              </w:rPr>
              <w:t>Project</w:t>
            </w:r>
            <w:r w:rsidR="00E01F8C">
              <w:rPr>
                <w:rFonts w:ascii="Calibri" w:hAnsi="Calibri"/>
                <w:b/>
              </w:rPr>
              <w:t xml:space="preserve"> </w:t>
            </w:r>
            <w:r w:rsidRPr="004F1682">
              <w:rPr>
                <w:rFonts w:ascii="Calibri" w:hAnsi="Calibri"/>
                <w:b/>
              </w:rPr>
              <w:t>Sponsor</w:t>
            </w:r>
            <w:r w:rsidR="00E01F8C">
              <w:rPr>
                <w:rFonts w:ascii="Calibri" w:hAnsi="Calibri"/>
                <w:b/>
              </w:rPr>
              <w:t xml:space="preserve"> </w:t>
            </w:r>
            <w:r w:rsidRPr="004F1682">
              <w:rPr>
                <w:rFonts w:ascii="Calibri" w:hAnsi="Calibri"/>
                <w:b/>
              </w:rPr>
              <w:t>Monitoring</w:t>
            </w:r>
          </w:p>
        </w:tc>
      </w:tr>
      <w:tr w:rsidR="00E01F8C" w14:paraId="7E128533" w14:textId="1606A0EB" w:rsidTr="004F1682">
        <w:trPr>
          <w:jc w:val="right"/>
        </w:trPr>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bottom"/>
          </w:tcPr>
          <w:p w14:paraId="0091611A" w14:textId="6FED878A" w:rsidR="00FC183F" w:rsidRDefault="00FC183F">
            <w:pPr>
              <w:pStyle w:val="ListParagraph"/>
              <w:ind w:left="0"/>
              <w:rPr>
                <w:rFonts w:ascii="Calibri" w:hAnsi="Calibri"/>
                <w:bCs/>
              </w:rPr>
            </w:pPr>
            <w:r>
              <w:rPr>
                <w:rFonts w:ascii="Calibri" w:hAnsi="Calibri"/>
                <w:bCs/>
              </w:rPr>
              <w:t>Northeast</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bottom"/>
          </w:tcPr>
          <w:p w14:paraId="65309A0E" w14:textId="5C2158F4" w:rsidR="00FC183F" w:rsidRDefault="00FC183F">
            <w:pPr>
              <w:pStyle w:val="ListParagraph"/>
              <w:ind w:left="0"/>
              <w:rPr>
                <w:rFonts w:ascii="Calibri" w:hAnsi="Calibri"/>
                <w:bCs/>
              </w:rPr>
            </w:pPr>
            <w:r>
              <w:rPr>
                <w:rFonts w:ascii="Calibri" w:hAnsi="Calibri"/>
                <w:bCs/>
              </w:rPr>
              <w:t>Dallas</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bottom"/>
          </w:tcPr>
          <w:p w14:paraId="1FBEBC6C" w14:textId="328CC1E4" w:rsidR="00FC183F" w:rsidRDefault="00FC183F" w:rsidP="004F1682">
            <w:pPr>
              <w:pStyle w:val="ListParagraph"/>
              <w:ind w:left="0"/>
              <w:jc w:val="right"/>
              <w:rPr>
                <w:rFonts w:ascii="Calibri" w:hAnsi="Calibri"/>
                <w:bCs/>
              </w:rPr>
            </w:pPr>
            <w:r>
              <w:rPr>
                <w:rFonts w:ascii="Calibri" w:hAnsi="Calibri"/>
                <w:bCs/>
              </w:rPr>
              <w:t>2</w:t>
            </w:r>
          </w:p>
        </w:tc>
        <w:tc>
          <w:tcPr>
            <w:tcW w:w="18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bottom"/>
          </w:tcPr>
          <w:p w14:paraId="1E74B362" w14:textId="189601B8" w:rsidR="00FC183F" w:rsidRDefault="00FC183F" w:rsidP="004F1682">
            <w:pPr>
              <w:pStyle w:val="ListParagraph"/>
              <w:ind w:left="0"/>
              <w:jc w:val="right"/>
              <w:rPr>
                <w:rFonts w:ascii="Calibri" w:hAnsi="Calibri"/>
                <w:bCs/>
              </w:rPr>
            </w:pPr>
            <w:r>
              <w:rPr>
                <w:rFonts w:ascii="Calibri" w:hAnsi="Calibri"/>
                <w:bCs/>
              </w:rPr>
              <w:t>2</w:t>
            </w:r>
          </w:p>
        </w:tc>
        <w:tc>
          <w:tcPr>
            <w:tcW w:w="187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vAlign w:val="center"/>
          </w:tcPr>
          <w:p w14:paraId="175802D5" w14:textId="1B62681F" w:rsidR="00FC183F" w:rsidRDefault="00FC183F" w:rsidP="004F1682">
            <w:pPr>
              <w:pStyle w:val="ListParagraph"/>
              <w:ind w:left="0"/>
              <w:jc w:val="center"/>
              <w:rPr>
                <w:rFonts w:ascii="Calibri" w:hAnsi="Calibri"/>
                <w:bCs/>
              </w:rPr>
            </w:pPr>
            <w:r>
              <w:rPr>
                <w:rFonts w:ascii="Calibri" w:hAnsi="Calibri"/>
                <w:bCs/>
              </w:rPr>
              <w:t>Even Years</w:t>
            </w:r>
          </w:p>
        </w:tc>
        <w:tc>
          <w:tcPr>
            <w:tcW w:w="187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E4D5" w:themeFill="accent2" w:themeFillTint="33"/>
            <w:vAlign w:val="center"/>
          </w:tcPr>
          <w:p w14:paraId="26716658" w14:textId="29412815" w:rsidR="00FC183F" w:rsidRDefault="00FC183F" w:rsidP="004F1682">
            <w:pPr>
              <w:pStyle w:val="ListParagraph"/>
              <w:ind w:left="0"/>
              <w:jc w:val="center"/>
              <w:rPr>
                <w:rFonts w:ascii="Calibri" w:hAnsi="Calibri"/>
                <w:bCs/>
              </w:rPr>
            </w:pPr>
            <w:r>
              <w:rPr>
                <w:rFonts w:ascii="Calibri" w:hAnsi="Calibri"/>
                <w:bCs/>
              </w:rPr>
              <w:t>Odd Years</w:t>
            </w:r>
          </w:p>
        </w:tc>
      </w:tr>
      <w:tr w:rsidR="00E01F8C" w14:paraId="288175A7" w14:textId="677003F3" w:rsidTr="004F1682">
        <w:trPr>
          <w:jc w:val="right"/>
        </w:trPr>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bottom"/>
          </w:tcPr>
          <w:p w14:paraId="278CE420" w14:textId="65B74DFA" w:rsidR="00FC183F" w:rsidRDefault="00FC183F">
            <w:pPr>
              <w:pStyle w:val="ListParagraph"/>
              <w:ind w:left="0"/>
              <w:rPr>
                <w:rFonts w:ascii="Calibri" w:hAnsi="Calibri"/>
                <w:bCs/>
              </w:rPr>
            </w:pPr>
            <w:r>
              <w:rPr>
                <w:rFonts w:ascii="Calibri" w:hAnsi="Calibri"/>
                <w:bCs/>
              </w:rPr>
              <w:t>Northwest</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bottom"/>
          </w:tcPr>
          <w:p w14:paraId="66D1B6D0" w14:textId="704110C3" w:rsidR="00FC183F" w:rsidRDefault="00FC183F">
            <w:pPr>
              <w:pStyle w:val="ListParagraph"/>
              <w:ind w:left="0"/>
              <w:rPr>
                <w:rFonts w:ascii="Calibri" w:hAnsi="Calibri"/>
                <w:bCs/>
              </w:rPr>
            </w:pPr>
            <w:r>
              <w:rPr>
                <w:rFonts w:ascii="Calibri" w:hAnsi="Calibri"/>
                <w:bCs/>
              </w:rPr>
              <w:t>Tarrant</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bottom"/>
          </w:tcPr>
          <w:p w14:paraId="6A12A332" w14:textId="5CF71EF8" w:rsidR="00FC183F" w:rsidRDefault="00FC183F" w:rsidP="004F1682">
            <w:pPr>
              <w:pStyle w:val="ListParagraph"/>
              <w:ind w:left="0"/>
              <w:jc w:val="right"/>
              <w:rPr>
                <w:rFonts w:ascii="Calibri" w:hAnsi="Calibri"/>
                <w:bCs/>
              </w:rPr>
            </w:pPr>
            <w:r>
              <w:rPr>
                <w:rFonts w:ascii="Calibri" w:hAnsi="Calibri"/>
                <w:bCs/>
              </w:rPr>
              <w:t>1</w:t>
            </w:r>
          </w:p>
        </w:tc>
        <w:tc>
          <w:tcPr>
            <w:tcW w:w="18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bottom"/>
          </w:tcPr>
          <w:p w14:paraId="01FB809B" w14:textId="4DCC9CBA" w:rsidR="00FC183F" w:rsidRDefault="00FC183F" w:rsidP="004F1682">
            <w:pPr>
              <w:pStyle w:val="ListParagraph"/>
              <w:ind w:left="0"/>
              <w:jc w:val="right"/>
              <w:rPr>
                <w:rFonts w:ascii="Calibri" w:hAnsi="Calibri"/>
                <w:bCs/>
              </w:rPr>
            </w:pPr>
            <w:r>
              <w:rPr>
                <w:rFonts w:ascii="Calibri" w:hAnsi="Calibri"/>
                <w:bCs/>
              </w:rPr>
              <w:t>2</w:t>
            </w:r>
          </w:p>
        </w:tc>
        <w:tc>
          <w:tcPr>
            <w:tcW w:w="187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vAlign w:val="center"/>
          </w:tcPr>
          <w:p w14:paraId="4F547424" w14:textId="77777777" w:rsidR="00FC183F" w:rsidRDefault="00FC183F" w:rsidP="004F1682">
            <w:pPr>
              <w:pStyle w:val="ListParagraph"/>
              <w:ind w:left="0"/>
              <w:jc w:val="center"/>
              <w:rPr>
                <w:rFonts w:ascii="Calibri" w:hAnsi="Calibri"/>
                <w:bCs/>
              </w:rPr>
            </w:pPr>
          </w:p>
        </w:tc>
        <w:tc>
          <w:tcPr>
            <w:tcW w:w="187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E4D5" w:themeFill="accent2" w:themeFillTint="33"/>
            <w:vAlign w:val="center"/>
          </w:tcPr>
          <w:p w14:paraId="75F8745F" w14:textId="77777777" w:rsidR="00FC183F" w:rsidRDefault="00FC183F" w:rsidP="004F1682">
            <w:pPr>
              <w:pStyle w:val="ListParagraph"/>
              <w:ind w:left="0"/>
              <w:jc w:val="center"/>
              <w:rPr>
                <w:rFonts w:ascii="Calibri" w:hAnsi="Calibri"/>
                <w:bCs/>
              </w:rPr>
            </w:pPr>
          </w:p>
        </w:tc>
      </w:tr>
      <w:tr w:rsidR="00E01F8C" w14:paraId="7EBE32DA" w14:textId="31740C6C" w:rsidTr="004F1682">
        <w:trPr>
          <w:jc w:val="right"/>
        </w:trPr>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bottom"/>
          </w:tcPr>
          <w:p w14:paraId="6D7C275F" w14:textId="002079B3" w:rsidR="00FC183F" w:rsidRDefault="00FC183F">
            <w:pPr>
              <w:pStyle w:val="ListParagraph"/>
              <w:ind w:left="0"/>
              <w:rPr>
                <w:rFonts w:ascii="Calibri" w:hAnsi="Calibri"/>
                <w:bCs/>
              </w:rPr>
            </w:pPr>
            <w:r>
              <w:rPr>
                <w:rFonts w:ascii="Calibri" w:hAnsi="Calibri"/>
                <w:bCs/>
              </w:rPr>
              <w:t>South</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bottom"/>
          </w:tcPr>
          <w:p w14:paraId="7CF0E98D" w14:textId="3060E83E" w:rsidR="00FC183F" w:rsidRDefault="00FC183F">
            <w:pPr>
              <w:pStyle w:val="ListParagraph"/>
              <w:ind w:left="0"/>
              <w:rPr>
                <w:rFonts w:ascii="Calibri" w:hAnsi="Calibri"/>
                <w:bCs/>
              </w:rPr>
            </w:pPr>
            <w:proofErr w:type="spellStart"/>
            <w:r>
              <w:rPr>
                <w:rFonts w:ascii="Calibri" w:hAnsi="Calibri"/>
                <w:bCs/>
              </w:rPr>
              <w:t>STDC</w:t>
            </w:r>
            <w:proofErr w:type="spellEnd"/>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bottom"/>
          </w:tcPr>
          <w:p w14:paraId="7D1458A0" w14:textId="6E00A97D" w:rsidR="00FC183F" w:rsidRDefault="00565F12" w:rsidP="004F1682">
            <w:pPr>
              <w:pStyle w:val="ListParagraph"/>
              <w:ind w:left="0"/>
              <w:jc w:val="right"/>
              <w:rPr>
                <w:rFonts w:ascii="Calibri" w:hAnsi="Calibri"/>
                <w:bCs/>
              </w:rPr>
            </w:pPr>
            <w:r>
              <w:rPr>
                <w:rFonts w:ascii="Calibri" w:hAnsi="Calibri"/>
                <w:bCs/>
              </w:rPr>
              <w:t>4</w:t>
            </w:r>
          </w:p>
        </w:tc>
        <w:tc>
          <w:tcPr>
            <w:tcW w:w="18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bottom"/>
          </w:tcPr>
          <w:p w14:paraId="56D68521" w14:textId="2A732290" w:rsidR="00FC183F" w:rsidRDefault="00565F12" w:rsidP="004F1682">
            <w:pPr>
              <w:pStyle w:val="ListParagraph"/>
              <w:ind w:left="0"/>
              <w:jc w:val="right"/>
              <w:rPr>
                <w:rFonts w:ascii="Calibri" w:hAnsi="Calibri"/>
                <w:bCs/>
              </w:rPr>
            </w:pPr>
            <w:r>
              <w:rPr>
                <w:rFonts w:ascii="Calibri" w:hAnsi="Calibri"/>
                <w:bCs/>
              </w:rPr>
              <w:t>4</w:t>
            </w:r>
          </w:p>
        </w:tc>
        <w:tc>
          <w:tcPr>
            <w:tcW w:w="187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vAlign w:val="center"/>
          </w:tcPr>
          <w:p w14:paraId="4C0D51F7" w14:textId="77777777" w:rsidR="00FC183F" w:rsidRDefault="00FC183F" w:rsidP="004F1682">
            <w:pPr>
              <w:pStyle w:val="ListParagraph"/>
              <w:ind w:left="0"/>
              <w:jc w:val="center"/>
              <w:rPr>
                <w:rFonts w:ascii="Calibri" w:hAnsi="Calibri"/>
                <w:bCs/>
              </w:rPr>
            </w:pPr>
          </w:p>
        </w:tc>
        <w:tc>
          <w:tcPr>
            <w:tcW w:w="187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E4D5" w:themeFill="accent2" w:themeFillTint="33"/>
            <w:vAlign w:val="center"/>
          </w:tcPr>
          <w:p w14:paraId="360E5C8E" w14:textId="77777777" w:rsidR="00FC183F" w:rsidRDefault="00FC183F" w:rsidP="004F1682">
            <w:pPr>
              <w:pStyle w:val="ListParagraph"/>
              <w:ind w:left="0"/>
              <w:jc w:val="center"/>
              <w:rPr>
                <w:rFonts w:ascii="Calibri" w:hAnsi="Calibri"/>
                <w:bCs/>
              </w:rPr>
            </w:pPr>
          </w:p>
        </w:tc>
      </w:tr>
      <w:tr w:rsidR="00E01F8C" w14:paraId="6216EB81" w14:textId="600175AC" w:rsidTr="004F1682">
        <w:trPr>
          <w:jc w:val="right"/>
        </w:trPr>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bottom"/>
          </w:tcPr>
          <w:p w14:paraId="61B1DCAA" w14:textId="59037514" w:rsidR="00FC183F" w:rsidRDefault="00FC183F">
            <w:pPr>
              <w:pStyle w:val="ListParagraph"/>
              <w:ind w:left="0"/>
              <w:rPr>
                <w:rFonts w:ascii="Calibri" w:hAnsi="Calibri"/>
                <w:bCs/>
              </w:rPr>
            </w:pPr>
            <w:r>
              <w:rPr>
                <w:rFonts w:ascii="Calibri" w:hAnsi="Calibri"/>
                <w:bCs/>
              </w:rPr>
              <w:t>South Central</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bottom"/>
          </w:tcPr>
          <w:p w14:paraId="50423BA0" w14:textId="6623930C" w:rsidR="00FC183F" w:rsidRDefault="00FC183F">
            <w:pPr>
              <w:pStyle w:val="ListParagraph"/>
              <w:ind w:left="0"/>
              <w:rPr>
                <w:rFonts w:ascii="Calibri" w:hAnsi="Calibri"/>
                <w:bCs/>
              </w:rPr>
            </w:pPr>
            <w:proofErr w:type="spellStart"/>
            <w:r>
              <w:rPr>
                <w:rFonts w:ascii="Calibri" w:hAnsi="Calibri"/>
                <w:bCs/>
              </w:rPr>
              <w:t>UHS</w:t>
            </w:r>
            <w:proofErr w:type="spellEnd"/>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bottom"/>
          </w:tcPr>
          <w:p w14:paraId="2A6B9B7B" w14:textId="0F6BF374" w:rsidR="00FC183F" w:rsidRDefault="00FC183F" w:rsidP="004F1682">
            <w:pPr>
              <w:pStyle w:val="ListParagraph"/>
              <w:ind w:left="0"/>
              <w:jc w:val="right"/>
              <w:rPr>
                <w:rFonts w:ascii="Calibri" w:hAnsi="Calibri"/>
                <w:bCs/>
              </w:rPr>
            </w:pPr>
            <w:r>
              <w:rPr>
                <w:rFonts w:ascii="Calibri" w:hAnsi="Calibri"/>
                <w:bCs/>
              </w:rPr>
              <w:t>1</w:t>
            </w:r>
          </w:p>
        </w:tc>
        <w:tc>
          <w:tcPr>
            <w:tcW w:w="18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bottom"/>
          </w:tcPr>
          <w:p w14:paraId="185A7A6A" w14:textId="0D1EEA5D" w:rsidR="00FC183F" w:rsidRDefault="00FC183F" w:rsidP="004F1682">
            <w:pPr>
              <w:pStyle w:val="ListParagraph"/>
              <w:ind w:left="0"/>
              <w:jc w:val="right"/>
              <w:rPr>
                <w:rFonts w:ascii="Calibri" w:hAnsi="Calibri"/>
                <w:bCs/>
              </w:rPr>
            </w:pPr>
            <w:r>
              <w:rPr>
                <w:rFonts w:ascii="Calibri" w:hAnsi="Calibri"/>
                <w:bCs/>
              </w:rPr>
              <w:t>1</w:t>
            </w:r>
          </w:p>
        </w:tc>
        <w:tc>
          <w:tcPr>
            <w:tcW w:w="187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vAlign w:val="center"/>
          </w:tcPr>
          <w:p w14:paraId="330C2944" w14:textId="77777777" w:rsidR="00FC183F" w:rsidRDefault="00FC183F" w:rsidP="004F1682">
            <w:pPr>
              <w:pStyle w:val="ListParagraph"/>
              <w:ind w:left="0"/>
              <w:jc w:val="center"/>
              <w:rPr>
                <w:rFonts w:ascii="Calibri" w:hAnsi="Calibri"/>
                <w:bCs/>
              </w:rPr>
            </w:pPr>
          </w:p>
        </w:tc>
        <w:tc>
          <w:tcPr>
            <w:tcW w:w="187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E4D5" w:themeFill="accent2" w:themeFillTint="33"/>
            <w:vAlign w:val="center"/>
          </w:tcPr>
          <w:p w14:paraId="7497F11D" w14:textId="77777777" w:rsidR="00FC183F" w:rsidRDefault="00FC183F" w:rsidP="004F1682">
            <w:pPr>
              <w:pStyle w:val="ListParagraph"/>
              <w:ind w:left="0"/>
              <w:jc w:val="center"/>
              <w:rPr>
                <w:rFonts w:ascii="Calibri" w:hAnsi="Calibri"/>
                <w:bCs/>
              </w:rPr>
            </w:pPr>
          </w:p>
        </w:tc>
      </w:tr>
      <w:tr w:rsidR="00E01F8C" w14:paraId="72FC28E8" w14:textId="0409D675" w:rsidTr="004F1682">
        <w:trPr>
          <w:jc w:val="right"/>
        </w:trPr>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bottom"/>
          </w:tcPr>
          <w:p w14:paraId="24559A24" w14:textId="2E4DE9F6" w:rsidR="00FC183F" w:rsidRDefault="00FC183F">
            <w:pPr>
              <w:pStyle w:val="ListParagraph"/>
              <w:ind w:left="0"/>
              <w:rPr>
                <w:rFonts w:ascii="Calibri" w:hAnsi="Calibri"/>
                <w:bCs/>
              </w:rPr>
            </w:pPr>
            <w:r>
              <w:rPr>
                <w:rFonts w:ascii="Calibri" w:hAnsi="Calibri"/>
                <w:bCs/>
              </w:rPr>
              <w:t>Central</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bottom"/>
          </w:tcPr>
          <w:p w14:paraId="5D42F199" w14:textId="1E1E82DA" w:rsidR="00FC183F" w:rsidRDefault="00FC183F">
            <w:pPr>
              <w:pStyle w:val="ListParagraph"/>
              <w:ind w:left="0"/>
              <w:rPr>
                <w:rFonts w:ascii="Calibri" w:hAnsi="Calibri"/>
                <w:bCs/>
              </w:rPr>
            </w:pPr>
            <w:r>
              <w:rPr>
                <w:rFonts w:ascii="Calibri" w:hAnsi="Calibri"/>
                <w:bCs/>
              </w:rPr>
              <w:t>BVCOG</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bottom"/>
          </w:tcPr>
          <w:p w14:paraId="3B7E6D41" w14:textId="1E01B56C" w:rsidR="00FC183F" w:rsidRDefault="00565F12" w:rsidP="004F1682">
            <w:pPr>
              <w:pStyle w:val="ListParagraph"/>
              <w:ind w:left="0"/>
              <w:jc w:val="right"/>
              <w:rPr>
                <w:rFonts w:ascii="Calibri" w:hAnsi="Calibri"/>
                <w:bCs/>
              </w:rPr>
            </w:pPr>
            <w:r>
              <w:rPr>
                <w:rFonts w:ascii="Calibri" w:hAnsi="Calibri"/>
                <w:bCs/>
              </w:rPr>
              <w:t>12</w:t>
            </w:r>
          </w:p>
        </w:tc>
        <w:tc>
          <w:tcPr>
            <w:tcW w:w="18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bottom"/>
          </w:tcPr>
          <w:p w14:paraId="4165A1C7" w14:textId="4299B22C" w:rsidR="00FC183F" w:rsidRDefault="00565F12" w:rsidP="004F1682">
            <w:pPr>
              <w:pStyle w:val="ListParagraph"/>
              <w:ind w:left="0"/>
              <w:jc w:val="right"/>
              <w:rPr>
                <w:rFonts w:ascii="Calibri" w:hAnsi="Calibri"/>
                <w:bCs/>
              </w:rPr>
            </w:pPr>
            <w:r>
              <w:rPr>
                <w:rFonts w:ascii="Calibri" w:hAnsi="Calibri"/>
                <w:bCs/>
              </w:rPr>
              <w:t>12</w:t>
            </w:r>
          </w:p>
        </w:tc>
        <w:tc>
          <w:tcPr>
            <w:tcW w:w="187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E4D5" w:themeFill="accent2" w:themeFillTint="33"/>
            <w:vAlign w:val="center"/>
          </w:tcPr>
          <w:p w14:paraId="0874EFCB" w14:textId="43AB77A8" w:rsidR="00FC183F" w:rsidRDefault="00FC183F" w:rsidP="004F1682">
            <w:pPr>
              <w:pStyle w:val="ListParagraph"/>
              <w:ind w:left="0"/>
              <w:jc w:val="center"/>
              <w:rPr>
                <w:rFonts w:ascii="Calibri" w:hAnsi="Calibri"/>
                <w:bCs/>
              </w:rPr>
            </w:pPr>
            <w:r>
              <w:rPr>
                <w:rFonts w:ascii="Calibri" w:hAnsi="Calibri"/>
                <w:bCs/>
              </w:rPr>
              <w:t>Odd Years</w:t>
            </w:r>
          </w:p>
        </w:tc>
        <w:tc>
          <w:tcPr>
            <w:tcW w:w="187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vAlign w:val="center"/>
          </w:tcPr>
          <w:p w14:paraId="091FF573" w14:textId="241A538E" w:rsidR="00FC183F" w:rsidRDefault="00FC183F" w:rsidP="004F1682">
            <w:pPr>
              <w:pStyle w:val="ListParagraph"/>
              <w:ind w:left="0"/>
              <w:jc w:val="center"/>
              <w:rPr>
                <w:rFonts w:ascii="Calibri" w:hAnsi="Calibri"/>
                <w:bCs/>
              </w:rPr>
            </w:pPr>
            <w:r>
              <w:rPr>
                <w:rFonts w:ascii="Calibri" w:hAnsi="Calibri"/>
                <w:bCs/>
              </w:rPr>
              <w:t>Even Years</w:t>
            </w:r>
          </w:p>
        </w:tc>
      </w:tr>
      <w:tr w:rsidR="00E01F8C" w14:paraId="403888F7" w14:textId="2A17E0D2" w:rsidTr="004F1682">
        <w:trPr>
          <w:jc w:val="right"/>
        </w:trPr>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bottom"/>
          </w:tcPr>
          <w:p w14:paraId="4EBA2F69" w14:textId="66954FAD" w:rsidR="00FC183F" w:rsidRDefault="00FC183F">
            <w:pPr>
              <w:pStyle w:val="ListParagraph"/>
              <w:ind w:left="0"/>
              <w:rPr>
                <w:rFonts w:ascii="Calibri" w:hAnsi="Calibri"/>
                <w:bCs/>
              </w:rPr>
            </w:pPr>
            <w:r>
              <w:rPr>
                <w:rFonts w:ascii="Calibri" w:hAnsi="Calibri"/>
                <w:bCs/>
              </w:rPr>
              <w:t>East</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bottom"/>
          </w:tcPr>
          <w:p w14:paraId="3FD12EFA" w14:textId="76F510A7" w:rsidR="00FC183F" w:rsidRDefault="00FC183F">
            <w:pPr>
              <w:pStyle w:val="ListParagraph"/>
              <w:ind w:left="0"/>
              <w:rPr>
                <w:rFonts w:ascii="Calibri" w:hAnsi="Calibri"/>
                <w:bCs/>
              </w:rPr>
            </w:pPr>
            <w:proofErr w:type="spellStart"/>
            <w:r>
              <w:rPr>
                <w:rFonts w:ascii="Calibri" w:hAnsi="Calibri"/>
                <w:bCs/>
              </w:rPr>
              <w:t>TRG</w:t>
            </w:r>
            <w:proofErr w:type="spellEnd"/>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bottom"/>
          </w:tcPr>
          <w:p w14:paraId="2E1B00EB" w14:textId="18E44F06" w:rsidR="00FC183F" w:rsidRDefault="00FC183F" w:rsidP="004F1682">
            <w:pPr>
              <w:pStyle w:val="ListParagraph"/>
              <w:ind w:left="0"/>
              <w:jc w:val="right"/>
              <w:rPr>
                <w:rFonts w:ascii="Calibri" w:hAnsi="Calibri"/>
                <w:bCs/>
              </w:rPr>
            </w:pPr>
            <w:r>
              <w:rPr>
                <w:rFonts w:ascii="Calibri" w:hAnsi="Calibri"/>
                <w:bCs/>
              </w:rPr>
              <w:t>6</w:t>
            </w:r>
          </w:p>
        </w:tc>
        <w:tc>
          <w:tcPr>
            <w:tcW w:w="18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bottom"/>
          </w:tcPr>
          <w:p w14:paraId="3462753E" w14:textId="1C546028" w:rsidR="00FC183F" w:rsidRDefault="00FC183F" w:rsidP="004F1682">
            <w:pPr>
              <w:pStyle w:val="ListParagraph"/>
              <w:ind w:left="0"/>
              <w:jc w:val="right"/>
              <w:rPr>
                <w:rFonts w:ascii="Calibri" w:hAnsi="Calibri"/>
                <w:bCs/>
              </w:rPr>
            </w:pPr>
            <w:r>
              <w:rPr>
                <w:rFonts w:ascii="Calibri" w:hAnsi="Calibri"/>
                <w:bCs/>
              </w:rPr>
              <w:t>7</w:t>
            </w:r>
          </w:p>
        </w:tc>
        <w:tc>
          <w:tcPr>
            <w:tcW w:w="187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E4D5" w:themeFill="accent2" w:themeFillTint="33"/>
            <w:vAlign w:val="bottom"/>
          </w:tcPr>
          <w:p w14:paraId="711899EC" w14:textId="77777777" w:rsidR="00FC183F" w:rsidRDefault="00FC183F" w:rsidP="004F1682">
            <w:pPr>
              <w:pStyle w:val="ListParagraph"/>
              <w:ind w:left="0"/>
              <w:jc w:val="right"/>
              <w:rPr>
                <w:rFonts w:ascii="Calibri" w:hAnsi="Calibri"/>
                <w:bCs/>
              </w:rPr>
            </w:pPr>
          </w:p>
        </w:tc>
        <w:tc>
          <w:tcPr>
            <w:tcW w:w="187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vAlign w:val="bottom"/>
          </w:tcPr>
          <w:p w14:paraId="57D5F76E" w14:textId="77777777" w:rsidR="00FC183F" w:rsidRDefault="00FC183F" w:rsidP="004F1682">
            <w:pPr>
              <w:pStyle w:val="ListParagraph"/>
              <w:ind w:left="0"/>
              <w:jc w:val="right"/>
              <w:rPr>
                <w:rFonts w:ascii="Calibri" w:hAnsi="Calibri"/>
                <w:bCs/>
              </w:rPr>
            </w:pPr>
          </w:p>
        </w:tc>
      </w:tr>
    </w:tbl>
    <w:p w14:paraId="28FAD3C9" w14:textId="77777777" w:rsidR="00437BE1" w:rsidRPr="004F1682" w:rsidRDefault="00437BE1" w:rsidP="004F1682">
      <w:pPr>
        <w:pStyle w:val="ListParagraph"/>
        <w:spacing w:after="0" w:line="240" w:lineRule="auto"/>
        <w:ind w:left="1440"/>
        <w:rPr>
          <w:rFonts w:ascii="Calibri" w:hAnsi="Calibri"/>
          <w:bCs/>
        </w:rPr>
      </w:pPr>
    </w:p>
    <w:p w14:paraId="5E74F8F4" w14:textId="391F8A19" w:rsidR="003B5501" w:rsidRDefault="003B5501" w:rsidP="003B5501">
      <w:pPr>
        <w:pStyle w:val="ListParagraph"/>
        <w:numPr>
          <w:ilvl w:val="0"/>
          <w:numId w:val="135"/>
        </w:numPr>
        <w:spacing w:after="0" w:line="240" w:lineRule="auto"/>
        <w:ind w:left="1440" w:hanging="360"/>
        <w:rPr>
          <w:rFonts w:ascii="Calibri" w:hAnsi="Calibri"/>
          <w:b/>
        </w:rPr>
      </w:pPr>
      <w:r>
        <w:rPr>
          <w:rFonts w:ascii="Calibri" w:hAnsi="Calibri"/>
          <w:b/>
        </w:rPr>
        <w:t>AA Reviews</w:t>
      </w:r>
    </w:p>
    <w:p w14:paraId="1AF60AC2" w14:textId="39E7CD37" w:rsidR="003B5501" w:rsidRPr="003B5501" w:rsidRDefault="003B5501" w:rsidP="004F1682">
      <w:pPr>
        <w:pStyle w:val="ListParagraph"/>
        <w:spacing w:after="0" w:line="240" w:lineRule="auto"/>
        <w:ind w:left="1440"/>
        <w:rPr>
          <w:rFonts w:ascii="Calibri" w:hAnsi="Calibri"/>
          <w:bCs/>
        </w:rPr>
      </w:pPr>
      <w:r w:rsidRPr="003B5501">
        <w:rPr>
          <w:rFonts w:ascii="Calibri" w:hAnsi="Calibri"/>
          <w:bCs/>
        </w:rPr>
        <w:t xml:space="preserve">AAs must conduct programmatic and fiscal reviews of their Project Sponsors and provide a copy of all review reports (internal and external), corrective action determinations, revisions, and resolutions to </w:t>
      </w:r>
      <w:r w:rsidR="009B3D21">
        <w:rPr>
          <w:rFonts w:ascii="Calibri" w:hAnsi="Calibri"/>
          <w:bCs/>
        </w:rPr>
        <w:t xml:space="preserve">the </w:t>
      </w:r>
      <w:r w:rsidRPr="003B5501">
        <w:rPr>
          <w:rFonts w:ascii="Calibri" w:hAnsi="Calibri"/>
          <w:bCs/>
        </w:rPr>
        <w:t>DSHS</w:t>
      </w:r>
      <w:r w:rsidR="009B3D21">
        <w:rPr>
          <w:rFonts w:ascii="Calibri" w:hAnsi="Calibri"/>
          <w:bCs/>
        </w:rPr>
        <w:t xml:space="preserve"> HOPWA Coordinator</w:t>
      </w:r>
      <w:r w:rsidRPr="003B5501">
        <w:rPr>
          <w:rFonts w:ascii="Calibri" w:hAnsi="Calibri"/>
          <w:bCs/>
        </w:rPr>
        <w:t xml:space="preserve"> when they notify the Project Sponsor, but no later than 30 calendar days of the notification to the Project Sponsor. Additionally, AAs must review their Project Sponsors’ progress towards achieving HOPWA service outcome measures for </w:t>
      </w:r>
      <w:r w:rsidR="009B3D21">
        <w:rPr>
          <w:rFonts w:ascii="Calibri" w:hAnsi="Calibri"/>
          <w:bCs/>
        </w:rPr>
        <w:t>housing assistance and supportive services</w:t>
      </w:r>
      <w:r w:rsidRPr="003B5501">
        <w:rPr>
          <w:rFonts w:ascii="Calibri" w:hAnsi="Calibri"/>
          <w:bCs/>
        </w:rPr>
        <w:t>.</w:t>
      </w:r>
    </w:p>
    <w:p w14:paraId="168B5D22" w14:textId="77777777" w:rsidR="003B5501" w:rsidRPr="004F1682" w:rsidRDefault="003B5501" w:rsidP="004F1682">
      <w:pPr>
        <w:pStyle w:val="ListParagraph"/>
        <w:spacing w:after="0" w:line="240" w:lineRule="auto"/>
        <w:ind w:left="1440"/>
        <w:rPr>
          <w:rFonts w:ascii="Calibri" w:hAnsi="Calibri"/>
          <w:bCs/>
        </w:rPr>
      </w:pPr>
    </w:p>
    <w:p w14:paraId="296C4011" w14:textId="0D0B0A82" w:rsidR="003B5501" w:rsidRDefault="003B5501" w:rsidP="003B5501">
      <w:pPr>
        <w:pStyle w:val="ListParagraph"/>
        <w:numPr>
          <w:ilvl w:val="0"/>
          <w:numId w:val="135"/>
        </w:numPr>
        <w:spacing w:after="0" w:line="240" w:lineRule="auto"/>
        <w:ind w:left="1440" w:hanging="360"/>
        <w:rPr>
          <w:rFonts w:ascii="Calibri" w:hAnsi="Calibri"/>
          <w:b/>
        </w:rPr>
      </w:pPr>
      <w:r>
        <w:rPr>
          <w:rFonts w:ascii="Calibri" w:hAnsi="Calibri"/>
          <w:b/>
        </w:rPr>
        <w:t>DSHS Reviews</w:t>
      </w:r>
    </w:p>
    <w:p w14:paraId="0A8620C5" w14:textId="767AC547" w:rsidR="00447314" w:rsidRDefault="003B5501">
      <w:pPr>
        <w:pStyle w:val="NoSpacing"/>
        <w:ind w:left="1440"/>
        <w:rPr>
          <w:rFonts w:cs="Times New Roman"/>
        </w:rPr>
      </w:pPr>
      <w:r>
        <w:rPr>
          <w:rFonts w:cs="Times New Roman"/>
        </w:rPr>
        <w:t>DSHS must conduct programmatic and fiscal reviews of</w:t>
      </w:r>
      <w:r w:rsidRPr="00CB2DB8">
        <w:rPr>
          <w:rFonts w:cs="Times New Roman"/>
        </w:rPr>
        <w:t xml:space="preserve"> </w:t>
      </w:r>
      <w:r>
        <w:rPr>
          <w:rFonts w:cs="Times New Roman"/>
        </w:rPr>
        <w:t>their AAs</w:t>
      </w:r>
      <w:r w:rsidRPr="00CB2DB8">
        <w:rPr>
          <w:rFonts w:cs="Times New Roman"/>
        </w:rPr>
        <w:t xml:space="preserve"> </w:t>
      </w:r>
      <w:r>
        <w:rPr>
          <w:rFonts w:cs="Times New Roman"/>
        </w:rPr>
        <w:t xml:space="preserve">and </w:t>
      </w:r>
      <w:r w:rsidRPr="00CB2DB8">
        <w:rPr>
          <w:rFonts w:cs="Times New Roman"/>
        </w:rPr>
        <w:t xml:space="preserve">provide a copy of all </w:t>
      </w:r>
      <w:r>
        <w:rPr>
          <w:rFonts w:cs="Times New Roman"/>
        </w:rPr>
        <w:t>review</w:t>
      </w:r>
      <w:r w:rsidRPr="00CB2DB8">
        <w:rPr>
          <w:rFonts w:cs="Times New Roman"/>
        </w:rPr>
        <w:t xml:space="preserve"> reports, corrective action determinations, revisions, and resolutions to </w:t>
      </w:r>
      <w:r>
        <w:rPr>
          <w:rFonts w:cs="Times New Roman"/>
        </w:rPr>
        <w:t xml:space="preserve">AAs per </w:t>
      </w:r>
      <w:r w:rsidRPr="005D6AB1">
        <w:rPr>
          <w:rFonts w:cs="Times New Roman"/>
        </w:rPr>
        <w:t xml:space="preserve">the DSHS HIV/STD </w:t>
      </w:r>
      <w:r>
        <w:rPr>
          <w:rFonts w:cs="Times New Roman"/>
        </w:rPr>
        <w:t>Contract Monitoring</w:t>
      </w:r>
      <w:r w:rsidRPr="005D6AB1">
        <w:rPr>
          <w:rFonts w:cs="Times New Roman"/>
        </w:rPr>
        <w:t xml:space="preserve"> Policies and Procedures located </w:t>
      </w:r>
      <w:hyperlink r:id="rId119" w:history="1">
        <w:r w:rsidRPr="005D6AB1">
          <w:rPr>
            <w:rStyle w:val="Hyperlink"/>
            <w:rFonts w:cs="Times New Roman"/>
          </w:rPr>
          <w:t>here</w:t>
        </w:r>
      </w:hyperlink>
      <w:r w:rsidRPr="005D6AB1">
        <w:rPr>
          <w:rFonts w:cs="Times New Roman"/>
        </w:rPr>
        <w:t>.</w:t>
      </w:r>
      <w:r>
        <w:rPr>
          <w:rFonts w:cs="Times New Roman"/>
        </w:rPr>
        <w:t xml:space="preserve"> </w:t>
      </w:r>
      <w:r w:rsidRPr="005D6AB1">
        <w:rPr>
          <w:rFonts w:cs="Times New Roman"/>
        </w:rPr>
        <w:t xml:space="preserve">The HOPWA Coordinator </w:t>
      </w:r>
      <w:r>
        <w:rPr>
          <w:rFonts w:cs="Times New Roman"/>
        </w:rPr>
        <w:t>reviews</w:t>
      </w:r>
      <w:r w:rsidRPr="005D6AB1">
        <w:rPr>
          <w:rFonts w:cs="Times New Roman"/>
        </w:rPr>
        <w:t xml:space="preserve"> AA program activities for the HIV Care Services Group. </w:t>
      </w:r>
      <w:r>
        <w:rPr>
          <w:rFonts w:cs="Times New Roman"/>
        </w:rPr>
        <w:t>Reviews</w:t>
      </w:r>
      <w:r w:rsidRPr="005D6AB1">
        <w:rPr>
          <w:rFonts w:cs="Times New Roman"/>
        </w:rPr>
        <w:t xml:space="preserve"> involve periodic </w:t>
      </w:r>
      <w:r w:rsidR="00E629B5">
        <w:rPr>
          <w:rFonts w:cs="Times New Roman"/>
        </w:rPr>
        <w:t>remote and</w:t>
      </w:r>
      <w:r>
        <w:rPr>
          <w:rFonts w:cs="Times New Roman"/>
        </w:rPr>
        <w:t xml:space="preserve"> </w:t>
      </w:r>
      <w:r w:rsidR="005B3BB9">
        <w:rPr>
          <w:rFonts w:cs="Times New Roman"/>
        </w:rPr>
        <w:t>on</w:t>
      </w:r>
      <w:r w:rsidR="00E629B5">
        <w:rPr>
          <w:rFonts w:cs="Times New Roman"/>
        </w:rPr>
        <w:t>-</w:t>
      </w:r>
      <w:r w:rsidR="005B3BB9">
        <w:rPr>
          <w:rFonts w:cs="Times New Roman"/>
        </w:rPr>
        <w:t>site</w:t>
      </w:r>
      <w:r w:rsidR="00E629B5">
        <w:rPr>
          <w:rFonts w:cs="Times New Roman"/>
        </w:rPr>
        <w:t xml:space="preserve"> monitoring events with</w:t>
      </w:r>
      <w:r w:rsidRPr="005D6AB1">
        <w:rPr>
          <w:rFonts w:cs="Times New Roman"/>
        </w:rPr>
        <w:t xml:space="preserve"> AAs and Project Sponsors.</w:t>
      </w:r>
      <w:r w:rsidR="00E629B5">
        <w:rPr>
          <w:rFonts w:cs="Times New Roman"/>
        </w:rPr>
        <w:t xml:space="preserve"> If the HOPWA Coordinator monitors a Project Sponsor’s 1) </w:t>
      </w:r>
      <w:r w:rsidR="00E629B5" w:rsidRPr="00E629B5">
        <w:rPr>
          <w:rFonts w:cs="Times New Roman"/>
        </w:rPr>
        <w:t>policies and/or procedures and other programmatic management and/or oversight items</w:t>
      </w:r>
      <w:r w:rsidR="00E629B5">
        <w:rPr>
          <w:rFonts w:cs="Times New Roman"/>
        </w:rPr>
        <w:t xml:space="preserve">, or 2) </w:t>
      </w:r>
      <w:r w:rsidR="00E629B5" w:rsidRPr="00E629B5">
        <w:rPr>
          <w:rFonts w:cs="Times New Roman"/>
        </w:rPr>
        <w:t>household records</w:t>
      </w:r>
      <w:r w:rsidR="00E629B5">
        <w:rPr>
          <w:rFonts w:cs="Times New Roman"/>
        </w:rPr>
        <w:t xml:space="preserve"> during an annual monitoring cycle, </w:t>
      </w:r>
      <w:r w:rsidR="00D75433">
        <w:rPr>
          <w:rFonts w:cs="Times New Roman"/>
        </w:rPr>
        <w:t xml:space="preserve">then </w:t>
      </w:r>
      <w:r w:rsidR="00570DA0">
        <w:rPr>
          <w:rFonts w:cs="Times New Roman"/>
        </w:rPr>
        <w:t>their AA</w:t>
      </w:r>
      <w:r w:rsidR="00E629B5">
        <w:rPr>
          <w:rFonts w:cs="Times New Roman"/>
        </w:rPr>
        <w:t xml:space="preserve"> </w:t>
      </w:r>
      <w:r w:rsidR="001A448D">
        <w:rPr>
          <w:rFonts w:cs="Times New Roman"/>
        </w:rPr>
        <w:t>does not need to monitor t</w:t>
      </w:r>
      <w:r w:rsidR="00D75433">
        <w:rPr>
          <w:rFonts w:cs="Times New Roman"/>
        </w:rPr>
        <w:t>hose same items</w:t>
      </w:r>
      <w:r w:rsidR="00E629B5">
        <w:rPr>
          <w:rFonts w:cs="Times New Roman"/>
        </w:rPr>
        <w:t xml:space="preserve"> during that review cycle.</w:t>
      </w:r>
    </w:p>
    <w:p w14:paraId="75554177" w14:textId="1E9E154B" w:rsidR="00B81AFF" w:rsidRPr="00E765A7" w:rsidRDefault="00E65585" w:rsidP="002A61C8">
      <w:pPr>
        <w:pStyle w:val="NoSpacing"/>
      </w:pPr>
      <w:r>
        <w:br w:type="page"/>
      </w:r>
    </w:p>
    <w:p w14:paraId="3A96BFEA" w14:textId="631C8C04" w:rsidR="00903C64" w:rsidRPr="00614D65" w:rsidRDefault="00614D65" w:rsidP="00B109D9">
      <w:pPr>
        <w:pStyle w:val="Heading1"/>
      </w:pPr>
      <w:bookmarkStart w:id="59" w:name="_Toc140755483"/>
      <w:r>
        <w:lastRenderedPageBreak/>
        <w:t xml:space="preserve">Section </w:t>
      </w:r>
      <w:r w:rsidR="00DA1EAC">
        <w:t>20</w:t>
      </w:r>
      <w:r>
        <w:t xml:space="preserve">. </w:t>
      </w:r>
      <w:r w:rsidR="005E368C" w:rsidRPr="00614D65">
        <w:t xml:space="preserve">HUD </w:t>
      </w:r>
      <w:r>
        <w:t>Datasets</w:t>
      </w:r>
      <w:bookmarkEnd w:id="59"/>
    </w:p>
    <w:p w14:paraId="62630A04" w14:textId="35F1388D" w:rsidR="001E2381" w:rsidRDefault="00A66919" w:rsidP="00754E9B">
      <w:pPr>
        <w:pStyle w:val="NoSpacing"/>
        <w:numPr>
          <w:ilvl w:val="1"/>
          <w:numId w:val="39"/>
        </w:numPr>
        <w:rPr>
          <w:rFonts w:cs="Times New Roman"/>
          <w:b/>
        </w:rPr>
      </w:pPr>
      <w:hyperlink r:id="rId120" w:history="1">
        <w:r w:rsidR="00614D65" w:rsidRPr="00B7171E">
          <w:rPr>
            <w:rStyle w:val="Hyperlink"/>
            <w:rFonts w:cs="Times New Roman"/>
            <w:b/>
          </w:rPr>
          <w:t>Area Median Income</w:t>
        </w:r>
      </w:hyperlink>
    </w:p>
    <w:p w14:paraId="3F4C05D9" w14:textId="67C7325D" w:rsidR="00614D65" w:rsidRDefault="004B45E1" w:rsidP="00DE48B8">
      <w:pPr>
        <w:pStyle w:val="NoSpacing"/>
        <w:ind w:left="720"/>
        <w:rPr>
          <w:rFonts w:cs="Times New Roman"/>
        </w:rPr>
      </w:pPr>
      <w:r w:rsidRPr="004B45E1">
        <w:rPr>
          <w:rFonts w:cs="Times New Roman"/>
        </w:rPr>
        <w:t>To meet income eligibility for the DSHS HOPWA Program, household annual income cannot exceed 80% of Area Median Income per the</w:t>
      </w:r>
      <w:r w:rsidRPr="004B45E1">
        <w:t xml:space="preserve"> </w:t>
      </w:r>
      <w:r w:rsidRPr="004B45E1">
        <w:rPr>
          <w:rFonts w:cs="Times New Roman"/>
        </w:rPr>
        <w:t>household’s county of residence. Collect proof of income for all household members aged 18 years old or older. This documentation must</w:t>
      </w:r>
      <w:r w:rsidRPr="004B45E1">
        <w:t xml:space="preserve"> </w:t>
      </w:r>
      <w:r w:rsidRPr="004B45E1">
        <w:rPr>
          <w:rFonts w:cs="Times New Roman"/>
        </w:rPr>
        <w:t>be complete and cover the 30 days immediately preceding the eligibility certification or recertification date. Project Sponsors annualize</w:t>
      </w:r>
      <w:r w:rsidRPr="004B45E1" w:rsidDel="004B45E1">
        <w:rPr>
          <w:rFonts w:cs="Times New Roman"/>
        </w:rPr>
        <w:t xml:space="preserve"> </w:t>
      </w:r>
      <w:r w:rsidRPr="004B45E1">
        <w:rPr>
          <w:rFonts w:cs="Times New Roman"/>
        </w:rPr>
        <w:t>household income from all sources anticipated during the 12-month period following the determination date (payment data multiplied by</w:t>
      </w:r>
      <w:r w:rsidRPr="004B45E1" w:rsidDel="004B45E1">
        <w:rPr>
          <w:rFonts w:cs="Times New Roman"/>
        </w:rPr>
        <w:t xml:space="preserve"> </w:t>
      </w:r>
      <w:r w:rsidRPr="004B45E1">
        <w:rPr>
          <w:rFonts w:cs="Times New Roman"/>
        </w:rPr>
        <w:t>the number of payment periods per year for all sources</w:t>
      </w:r>
      <w:r>
        <w:rPr>
          <w:rFonts w:cs="Times New Roman"/>
        </w:rPr>
        <w:t>)</w:t>
      </w:r>
      <w:r w:rsidRPr="004B45E1">
        <w:rPr>
          <w:rFonts w:cs="Times New Roman"/>
        </w:rPr>
        <w:t>.</w:t>
      </w:r>
      <w:r w:rsidRPr="004B45E1" w:rsidDel="004B45E1">
        <w:rPr>
          <w:rFonts w:cs="Times New Roman"/>
        </w:rPr>
        <w:t xml:space="preserve"> </w:t>
      </w:r>
      <w:r w:rsidR="00B7171E" w:rsidRPr="00B7171E">
        <w:rPr>
          <w:rFonts w:cs="Times New Roman"/>
        </w:rPr>
        <w:t xml:space="preserve">The </w:t>
      </w:r>
      <w:r w:rsidR="00B7171E" w:rsidRPr="00B7171E">
        <w:rPr>
          <w:rFonts w:cs="Times New Roman"/>
          <w:b/>
          <w:color w:val="ED7D31" w:themeColor="accent2"/>
        </w:rPr>
        <w:t>Determining Household Annual Income Guide</w:t>
      </w:r>
      <w:r w:rsidR="00B7171E" w:rsidRPr="00B7171E">
        <w:rPr>
          <w:rFonts w:cs="Times New Roman"/>
        </w:rPr>
        <w:t xml:space="preserve"> outlines </w:t>
      </w:r>
      <w:r w:rsidR="00C92BCC" w:rsidRPr="00C92BCC">
        <w:rPr>
          <w:rFonts w:cs="Times New Roman"/>
        </w:rPr>
        <w:t xml:space="preserve">acceptable forms of documentation, whose income </w:t>
      </w:r>
      <w:r w:rsidR="00B63A86">
        <w:rPr>
          <w:rFonts w:cs="Times New Roman"/>
        </w:rPr>
        <w:t>counts</w:t>
      </w:r>
      <w:r w:rsidR="00B7171E" w:rsidRPr="00B7171E">
        <w:rPr>
          <w:rFonts w:cs="Times New Roman"/>
        </w:rPr>
        <w:t>, inclusions and exclusions, and calculation guidance.</w:t>
      </w:r>
    </w:p>
    <w:p w14:paraId="62168851" w14:textId="77777777" w:rsidR="008F7CA9" w:rsidRDefault="008F7CA9" w:rsidP="00F24BC0">
      <w:pPr>
        <w:pStyle w:val="NoSpacing"/>
        <w:ind w:left="720"/>
        <w:rPr>
          <w:rFonts w:cs="Times New Roman"/>
        </w:rPr>
      </w:pPr>
    </w:p>
    <w:p w14:paraId="0C8415AC" w14:textId="0CB8E5B4" w:rsidR="001E2381" w:rsidRDefault="00A66919" w:rsidP="00754E9B">
      <w:pPr>
        <w:pStyle w:val="NoSpacing"/>
        <w:numPr>
          <w:ilvl w:val="1"/>
          <w:numId w:val="39"/>
        </w:numPr>
        <w:rPr>
          <w:rFonts w:cs="Times New Roman"/>
          <w:b/>
        </w:rPr>
      </w:pPr>
      <w:hyperlink r:id="rId121" w:history="1">
        <w:r w:rsidR="002744BD">
          <w:rPr>
            <w:rStyle w:val="Hyperlink"/>
            <w:rFonts w:cs="Times New Roman"/>
            <w:b/>
          </w:rPr>
          <w:t>Fair Market Rent and Small Area Fair Market Rent</w:t>
        </w:r>
      </w:hyperlink>
    </w:p>
    <w:p w14:paraId="78293416" w14:textId="26FB6400" w:rsidR="00B7171E" w:rsidRDefault="00B7171E" w:rsidP="00F24BC0">
      <w:pPr>
        <w:pStyle w:val="NoSpacing"/>
        <w:ind w:left="720"/>
        <w:rPr>
          <w:rFonts w:cs="Times New Roman"/>
        </w:rPr>
      </w:pPr>
      <w:r>
        <w:rPr>
          <w:rFonts w:cs="Times New Roman"/>
        </w:rPr>
        <w:t>The gross</w:t>
      </w:r>
      <w:r w:rsidRPr="008026D4">
        <w:rPr>
          <w:rFonts w:cs="Times New Roman"/>
        </w:rPr>
        <w:t xml:space="preserve"> rent of TBRA-</w:t>
      </w:r>
      <w:r w:rsidR="001550F2">
        <w:rPr>
          <w:rFonts w:cs="Times New Roman"/>
        </w:rPr>
        <w:t xml:space="preserve"> or TSH-</w:t>
      </w:r>
      <w:r w:rsidRPr="008026D4">
        <w:rPr>
          <w:rFonts w:cs="Times New Roman"/>
        </w:rPr>
        <w:t xml:space="preserve">assisted units cannot exceed the rent standard. </w:t>
      </w:r>
      <w:r w:rsidR="001A448D" w:rsidRPr="001A448D">
        <w:rPr>
          <w:rFonts w:cs="Times New Roman"/>
        </w:rPr>
        <w:t xml:space="preserve">The DSHS HOPWA Program uses a HUD-approved community-wide exception rent based on documented local housing costs and the housing needs of low-income PLWH in Texas. Project Sponsors use 1) 130 percent of the Small Area Fair Market Rent (SAFMR) where available, or 2) 130 percent of the FMR where not. FMRs and SAFMRs are estimates of 40th percentile gross rents for standard quality units, adjusted for each unit size, within a designated area. “Gross rent” means the unit rent plus the cost of all tenant-paid utilities, including electricity, fuel (e.g., natural gas, oil), water, sewer, and trash removal, but excluding telephone, internet, and cable services. HUD’s Office of Policy Development and Research (PD&amp;R) calculates FMRs for counties and SAFMRs for zip codes within metropolitan areas. PD&amp;R typically publishes FMRs and SAFMRs in October of each year and makes them available </w:t>
      </w:r>
      <w:hyperlink r:id="rId122" w:history="1">
        <w:r w:rsidR="001A448D" w:rsidRPr="001A448D">
          <w:rPr>
            <w:rStyle w:val="Hyperlink"/>
            <w:rFonts w:cs="Times New Roman"/>
          </w:rPr>
          <w:t>here</w:t>
        </w:r>
      </w:hyperlink>
      <w:r w:rsidR="001A448D" w:rsidRPr="001A448D">
        <w:rPr>
          <w:rFonts w:cs="Times New Roman"/>
        </w:rPr>
        <w:t>. DSHS reviews its rent standards annually to ensure they correspond with PD&amp;R’s current FMRs and SAFMRs. As part of its annual review, DSHS 1) increases each FMR and SAFMR in Texas by 30 percent to establish the rent standards, 2) updates and publishes these rent standards within 90 days of the annual review, and 3) provides an effective date by which Project Sponsors must adopt these rent standards.</w:t>
      </w:r>
    </w:p>
    <w:p w14:paraId="2186898F" w14:textId="77777777" w:rsidR="000D398D" w:rsidRDefault="000D398D" w:rsidP="00066B7E">
      <w:pPr>
        <w:pStyle w:val="NoSpacing"/>
      </w:pPr>
    </w:p>
    <w:p w14:paraId="42400F46" w14:textId="1DD54C81" w:rsidR="00903C64" w:rsidRPr="00B7171E" w:rsidRDefault="00B7171E" w:rsidP="00B109D9">
      <w:pPr>
        <w:pStyle w:val="Heading1"/>
      </w:pPr>
      <w:bookmarkStart w:id="60" w:name="_Toc140755484"/>
      <w:r>
        <w:t xml:space="preserve">Section </w:t>
      </w:r>
      <w:r w:rsidR="00332D31">
        <w:t>2</w:t>
      </w:r>
      <w:r w:rsidR="00DA1EAC">
        <w:t>1</w:t>
      </w:r>
      <w:r>
        <w:t>. P</w:t>
      </w:r>
      <w:r w:rsidR="005E368C" w:rsidRPr="00B7171E">
        <w:t>rogram Technical Assistance</w:t>
      </w:r>
      <w:r w:rsidR="00843147">
        <w:t xml:space="preserve"> and Trainings</w:t>
      </w:r>
      <w:bookmarkEnd w:id="60"/>
    </w:p>
    <w:p w14:paraId="66B2CF14" w14:textId="153818B6" w:rsidR="00903C64" w:rsidRDefault="001937CA" w:rsidP="00F24BC0">
      <w:pPr>
        <w:pStyle w:val="NoSpacing"/>
        <w:rPr>
          <w:rFonts w:cs="Times New Roman"/>
        </w:rPr>
      </w:pPr>
      <w:r w:rsidRPr="001937CA">
        <w:rPr>
          <w:rFonts w:cs="Times New Roman"/>
        </w:rPr>
        <w:t xml:space="preserve">Project Sponsors who have program questions or need program technical assistance may contact </w:t>
      </w:r>
      <w:r w:rsidR="00570DA0">
        <w:rPr>
          <w:rFonts w:cs="Times New Roman"/>
        </w:rPr>
        <w:t>their AA</w:t>
      </w:r>
      <w:r>
        <w:rPr>
          <w:rFonts w:cs="Times New Roman"/>
        </w:rPr>
        <w:t>s</w:t>
      </w:r>
      <w:r w:rsidRPr="001937CA">
        <w:rPr>
          <w:rFonts w:cs="Times New Roman"/>
        </w:rPr>
        <w:t xml:space="preserve">. </w:t>
      </w:r>
      <w:r>
        <w:rPr>
          <w:rFonts w:cs="Times New Roman"/>
        </w:rPr>
        <w:t>AAs</w:t>
      </w:r>
      <w:r w:rsidRPr="001937CA">
        <w:rPr>
          <w:rFonts w:cs="Times New Roman"/>
        </w:rPr>
        <w:t xml:space="preserve"> may contact DSHS.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5400"/>
      </w:tblGrid>
      <w:tr w:rsidR="00622EA6" w14:paraId="571110AA" w14:textId="77777777" w:rsidTr="004F1682">
        <w:tc>
          <w:tcPr>
            <w:tcW w:w="5400" w:type="dxa"/>
          </w:tcPr>
          <w:p w14:paraId="354558D4" w14:textId="48EE1FFD" w:rsidR="00622EA6" w:rsidRPr="001937CA" w:rsidRDefault="00622EA6" w:rsidP="00622EA6">
            <w:pPr>
              <w:pStyle w:val="NoSpacing"/>
              <w:rPr>
                <w:rFonts w:cs="Times New Roman"/>
                <w:b/>
              </w:rPr>
            </w:pPr>
            <w:r w:rsidRPr="001937CA">
              <w:rPr>
                <w:rFonts w:cs="Times New Roman"/>
                <w:b/>
              </w:rPr>
              <w:t xml:space="preserve">Blade L. Berkman, </w:t>
            </w:r>
            <w:proofErr w:type="spellStart"/>
            <w:r w:rsidR="007B5F32">
              <w:rPr>
                <w:rFonts w:cs="Times New Roman"/>
                <w:b/>
              </w:rPr>
              <w:t>MSSW</w:t>
            </w:r>
            <w:proofErr w:type="spellEnd"/>
          </w:p>
          <w:p w14:paraId="406D9E93" w14:textId="169CD3F9" w:rsidR="00622EA6" w:rsidRPr="001937CA" w:rsidRDefault="00622EA6" w:rsidP="00622EA6">
            <w:pPr>
              <w:pStyle w:val="NoSpacing"/>
              <w:rPr>
                <w:rFonts w:cs="Times New Roman"/>
              </w:rPr>
            </w:pPr>
            <w:r w:rsidRPr="001937CA">
              <w:rPr>
                <w:rFonts w:cs="Times New Roman"/>
                <w:b/>
              </w:rPr>
              <w:t>HOPWA Coordinator</w:t>
            </w:r>
            <w:r w:rsidR="00C50D6F">
              <w:rPr>
                <w:rFonts w:cs="Times New Roman"/>
                <w:b/>
              </w:rPr>
              <w:t>, HIV Care Services Group</w:t>
            </w:r>
          </w:p>
          <w:p w14:paraId="198FDDC8" w14:textId="6372251E" w:rsidR="00C50D6F" w:rsidRDefault="00C50D6F" w:rsidP="00622EA6">
            <w:pPr>
              <w:pStyle w:val="NoSpacing"/>
              <w:rPr>
                <w:rFonts w:cs="Times New Roman"/>
              </w:rPr>
            </w:pPr>
            <w:r>
              <w:rPr>
                <w:rFonts w:cs="Times New Roman"/>
              </w:rPr>
              <w:t>Texas Department of State Health Services</w:t>
            </w:r>
          </w:p>
          <w:p w14:paraId="486933E9" w14:textId="5899A65B" w:rsidR="00622EA6" w:rsidRPr="001937CA" w:rsidRDefault="00622EA6" w:rsidP="00622EA6">
            <w:pPr>
              <w:pStyle w:val="NoSpacing"/>
              <w:rPr>
                <w:rFonts w:cs="Times New Roman"/>
              </w:rPr>
            </w:pPr>
            <w:r w:rsidRPr="001937CA">
              <w:rPr>
                <w:rFonts w:cs="Times New Roman"/>
              </w:rPr>
              <w:t>P</w:t>
            </w:r>
            <w:r>
              <w:rPr>
                <w:rFonts w:cs="Times New Roman"/>
              </w:rPr>
              <w:t>.</w:t>
            </w:r>
            <w:r w:rsidRPr="001937CA">
              <w:rPr>
                <w:rFonts w:cs="Times New Roman"/>
              </w:rPr>
              <w:t>O</w:t>
            </w:r>
            <w:r>
              <w:rPr>
                <w:rFonts w:cs="Times New Roman"/>
              </w:rPr>
              <w:t>.</w:t>
            </w:r>
            <w:r w:rsidRPr="001937CA">
              <w:rPr>
                <w:rFonts w:cs="Times New Roman"/>
              </w:rPr>
              <w:t xml:space="preserve"> Box 149347, MC 1873</w:t>
            </w:r>
          </w:p>
          <w:p w14:paraId="4F74065F" w14:textId="77777777" w:rsidR="005A2088" w:rsidRPr="001937CA" w:rsidRDefault="00622EA6" w:rsidP="00622EA6">
            <w:pPr>
              <w:pStyle w:val="NoSpacing"/>
              <w:rPr>
                <w:rFonts w:cs="Times New Roman"/>
              </w:rPr>
            </w:pPr>
            <w:r w:rsidRPr="001937CA">
              <w:rPr>
                <w:rFonts w:cs="Times New Roman"/>
              </w:rPr>
              <w:t>Austin, Texas 78714-93</w:t>
            </w:r>
            <w:r w:rsidR="005A2088">
              <w:rPr>
                <w:rFonts w:cs="Times New Roman"/>
              </w:rPr>
              <w:fldChar w:fldCharType="begin"/>
            </w:r>
            <w:r w:rsidR="005A2088">
              <w:rPr>
                <w:rFonts w:cs="Times New Roman"/>
              </w:rPr>
              <w:instrText xml:space="preserve"> HYPERLINK "http://</w:instrText>
            </w:r>
            <w:r w:rsidR="005A2088" w:rsidRPr="001937CA">
              <w:rPr>
                <w:rFonts w:cs="Times New Roman"/>
              </w:rPr>
              <w:instrText>47</w:instrText>
            </w:r>
          </w:p>
          <w:p w14:paraId="31253AFC" w14:textId="77777777" w:rsidR="005A2088" w:rsidRPr="001C214B" w:rsidRDefault="005A2088" w:rsidP="00622EA6">
            <w:pPr>
              <w:pStyle w:val="NoSpacing"/>
              <w:rPr>
                <w:rStyle w:val="Hyperlink"/>
                <w:rFonts w:cs="Times New Roman"/>
              </w:rPr>
            </w:pPr>
            <w:r w:rsidRPr="001937CA">
              <w:rPr>
                <w:rFonts w:cs="Times New Roman"/>
              </w:rPr>
              <w:instrText>www.</w:instrText>
            </w:r>
            <w:r>
              <w:rPr>
                <w:rFonts w:cs="Times New Roman"/>
              </w:rPr>
              <w:instrText xml:space="preserve">dshs.texas." </w:instrText>
            </w:r>
            <w:r>
              <w:rPr>
                <w:rFonts w:cs="Times New Roman"/>
              </w:rPr>
            </w:r>
            <w:r>
              <w:rPr>
                <w:rFonts w:cs="Times New Roman"/>
              </w:rPr>
              <w:fldChar w:fldCharType="separate"/>
            </w:r>
            <w:r w:rsidRPr="001C214B">
              <w:rPr>
                <w:rStyle w:val="Hyperlink"/>
                <w:rFonts w:cs="Times New Roman"/>
              </w:rPr>
              <w:t>47</w:t>
            </w:r>
          </w:p>
          <w:p w14:paraId="24618AC4" w14:textId="7C54B288" w:rsidR="00622EA6" w:rsidRPr="001937CA" w:rsidRDefault="005A2088" w:rsidP="00622EA6">
            <w:pPr>
              <w:pStyle w:val="NoSpacing"/>
              <w:rPr>
                <w:rFonts w:cs="Times New Roman"/>
              </w:rPr>
            </w:pPr>
            <w:r w:rsidRPr="001C214B">
              <w:rPr>
                <w:rStyle w:val="Hyperlink"/>
                <w:rFonts w:cs="Times New Roman"/>
              </w:rPr>
              <w:t>www.dshs.texas.</w:t>
            </w:r>
            <w:r>
              <w:rPr>
                <w:rFonts w:cs="Times New Roman"/>
              </w:rPr>
              <w:fldChar w:fldCharType="end"/>
            </w:r>
            <w:r w:rsidR="00E83027">
              <w:rPr>
                <w:rFonts w:cs="Times New Roman"/>
              </w:rPr>
              <w:t>gov</w:t>
            </w:r>
          </w:p>
          <w:p w14:paraId="1644F895" w14:textId="451B88DE" w:rsidR="00C50D6F" w:rsidRPr="001937CA" w:rsidRDefault="00565F12" w:rsidP="00622EA6">
            <w:pPr>
              <w:pStyle w:val="NoSpacing"/>
              <w:rPr>
                <w:rFonts w:cs="Times New Roman"/>
              </w:rPr>
            </w:pPr>
            <w:r>
              <w:rPr>
                <w:rFonts w:cs="Times New Roman"/>
              </w:rPr>
              <w:t>P</w:t>
            </w:r>
            <w:r w:rsidR="00C50D6F">
              <w:rPr>
                <w:rFonts w:cs="Times New Roman"/>
              </w:rPr>
              <w:t xml:space="preserve">: </w:t>
            </w:r>
            <w:r w:rsidR="00C50D6F" w:rsidRPr="00C50D6F">
              <w:rPr>
                <w:rFonts w:cs="Times New Roman"/>
              </w:rPr>
              <w:t>512-578-6985</w:t>
            </w:r>
          </w:p>
          <w:p w14:paraId="42985D1D" w14:textId="77777777" w:rsidR="00622EA6" w:rsidRPr="001937CA" w:rsidRDefault="00622EA6" w:rsidP="00622EA6">
            <w:pPr>
              <w:pStyle w:val="NoSpacing"/>
              <w:rPr>
                <w:rFonts w:cs="Times New Roman"/>
              </w:rPr>
            </w:pPr>
            <w:r w:rsidRPr="001937CA">
              <w:rPr>
                <w:rFonts w:cs="Times New Roman"/>
              </w:rPr>
              <w:t>F: 512-533-3172</w:t>
            </w:r>
          </w:p>
          <w:p w14:paraId="12889655" w14:textId="15FB41F5" w:rsidR="00622EA6" w:rsidRDefault="00622EA6" w:rsidP="00F24BC0">
            <w:pPr>
              <w:pStyle w:val="NoSpacing"/>
              <w:rPr>
                <w:rFonts w:cs="Times New Roman"/>
              </w:rPr>
            </w:pPr>
            <w:r w:rsidRPr="001937CA">
              <w:rPr>
                <w:rFonts w:cs="Times New Roman"/>
              </w:rPr>
              <w:t xml:space="preserve">E: </w:t>
            </w:r>
            <w:hyperlink r:id="rId123" w:history="1">
              <w:r w:rsidRPr="0047080C">
                <w:rPr>
                  <w:rStyle w:val="Hyperlink"/>
                  <w:rFonts w:cs="Times New Roman"/>
                </w:rPr>
                <w:t>blade.berkman@</w:t>
              </w:r>
              <w:r w:rsidR="00E83027">
                <w:rPr>
                  <w:rStyle w:val="Hyperlink"/>
                  <w:rFonts w:cs="Times New Roman"/>
                </w:rPr>
                <w:t>dshs.texas.gov</w:t>
              </w:r>
            </w:hyperlink>
          </w:p>
        </w:tc>
        <w:tc>
          <w:tcPr>
            <w:tcW w:w="5400" w:type="dxa"/>
          </w:tcPr>
          <w:p w14:paraId="33E7B3C4" w14:textId="32E5C6B9" w:rsidR="00622EA6" w:rsidRPr="001937CA" w:rsidRDefault="00EB440B" w:rsidP="00622EA6">
            <w:pPr>
              <w:pStyle w:val="NoSpacing"/>
              <w:rPr>
                <w:rFonts w:cs="Times New Roman"/>
                <w:b/>
              </w:rPr>
            </w:pPr>
            <w:r>
              <w:rPr>
                <w:rFonts w:cs="Times New Roman"/>
                <w:b/>
              </w:rPr>
              <w:t>HIV Care and Medications Unit</w:t>
            </w:r>
          </w:p>
          <w:p w14:paraId="5AE8225F" w14:textId="77777777" w:rsidR="00622EA6" w:rsidRPr="001937CA" w:rsidRDefault="00622EA6" w:rsidP="00622EA6">
            <w:pPr>
              <w:pStyle w:val="NoSpacing"/>
              <w:rPr>
                <w:rFonts w:cs="Times New Roman"/>
              </w:rPr>
            </w:pPr>
            <w:r>
              <w:rPr>
                <w:rFonts w:cs="Times New Roman"/>
              </w:rPr>
              <w:t>P.O. Box 149347,</w:t>
            </w:r>
            <w:r w:rsidRPr="001937CA">
              <w:rPr>
                <w:rFonts w:cs="Times New Roman"/>
              </w:rPr>
              <w:t xml:space="preserve"> </w:t>
            </w:r>
            <w:r>
              <w:rPr>
                <w:rFonts w:cs="Times New Roman"/>
              </w:rPr>
              <w:t>MC</w:t>
            </w:r>
            <w:r w:rsidRPr="001937CA">
              <w:rPr>
                <w:rFonts w:cs="Times New Roman"/>
              </w:rPr>
              <w:t xml:space="preserve"> 1873</w:t>
            </w:r>
          </w:p>
          <w:p w14:paraId="5BE2DFCA" w14:textId="77777777" w:rsidR="005A2088" w:rsidRDefault="00622EA6" w:rsidP="00622EA6">
            <w:pPr>
              <w:pStyle w:val="NoSpacing"/>
              <w:rPr>
                <w:rFonts w:cs="Times New Roman"/>
              </w:rPr>
            </w:pPr>
            <w:r w:rsidRPr="001937CA">
              <w:rPr>
                <w:rFonts w:cs="Times New Roman"/>
              </w:rPr>
              <w:t xml:space="preserve">Austin, </w:t>
            </w:r>
            <w:r>
              <w:rPr>
                <w:rFonts w:cs="Times New Roman"/>
              </w:rPr>
              <w:t>Texas</w:t>
            </w:r>
            <w:r w:rsidRPr="001937CA">
              <w:rPr>
                <w:rFonts w:cs="Times New Roman"/>
              </w:rPr>
              <w:t xml:space="preserve"> 78714-93</w:t>
            </w:r>
            <w:r w:rsidR="005A2088">
              <w:rPr>
                <w:rFonts w:cs="Times New Roman"/>
              </w:rPr>
              <w:fldChar w:fldCharType="begin"/>
            </w:r>
            <w:r w:rsidR="005A2088">
              <w:rPr>
                <w:rFonts w:cs="Times New Roman"/>
              </w:rPr>
              <w:instrText xml:space="preserve"> HYPERLINK "http://</w:instrText>
            </w:r>
            <w:r w:rsidR="005A2088" w:rsidRPr="001937CA">
              <w:rPr>
                <w:rFonts w:cs="Times New Roman"/>
              </w:rPr>
              <w:instrText>47</w:instrText>
            </w:r>
          </w:p>
          <w:p w14:paraId="29B02957" w14:textId="77777777" w:rsidR="005A2088" w:rsidRPr="001C214B" w:rsidRDefault="005A2088" w:rsidP="00622EA6">
            <w:pPr>
              <w:pStyle w:val="NoSpacing"/>
              <w:rPr>
                <w:rStyle w:val="Hyperlink"/>
                <w:rFonts w:cs="Times New Roman"/>
              </w:rPr>
            </w:pPr>
            <w:r>
              <w:rPr>
                <w:rFonts w:cs="Times New Roman"/>
              </w:rPr>
              <w:instrText xml:space="preserve">www.dshs.texas." </w:instrText>
            </w:r>
            <w:r>
              <w:rPr>
                <w:rFonts w:cs="Times New Roman"/>
              </w:rPr>
            </w:r>
            <w:r>
              <w:rPr>
                <w:rFonts w:cs="Times New Roman"/>
              </w:rPr>
              <w:fldChar w:fldCharType="separate"/>
            </w:r>
            <w:r w:rsidRPr="001C214B">
              <w:rPr>
                <w:rStyle w:val="Hyperlink"/>
                <w:rFonts w:cs="Times New Roman"/>
              </w:rPr>
              <w:t>47</w:t>
            </w:r>
          </w:p>
          <w:p w14:paraId="17C027D0" w14:textId="662ECA17" w:rsidR="00622EA6" w:rsidRPr="001937CA" w:rsidRDefault="005A2088" w:rsidP="00622EA6">
            <w:pPr>
              <w:pStyle w:val="NoSpacing"/>
              <w:rPr>
                <w:rFonts w:cs="Times New Roman"/>
              </w:rPr>
            </w:pPr>
            <w:r w:rsidRPr="001C214B">
              <w:rPr>
                <w:rStyle w:val="Hyperlink"/>
                <w:rFonts w:cs="Times New Roman"/>
              </w:rPr>
              <w:t>www.dshs.texas.</w:t>
            </w:r>
            <w:r>
              <w:rPr>
                <w:rFonts w:cs="Times New Roman"/>
              </w:rPr>
              <w:fldChar w:fldCharType="end"/>
            </w:r>
            <w:r w:rsidR="00E83027">
              <w:rPr>
                <w:rFonts w:cs="Times New Roman"/>
              </w:rPr>
              <w:t>gov</w:t>
            </w:r>
          </w:p>
          <w:p w14:paraId="41C40385" w14:textId="3CC3AB9F" w:rsidR="00622EA6" w:rsidRPr="001937CA" w:rsidRDefault="00622EA6" w:rsidP="00622EA6">
            <w:pPr>
              <w:pStyle w:val="NoSpacing"/>
              <w:rPr>
                <w:rFonts w:cs="Times New Roman"/>
              </w:rPr>
            </w:pPr>
            <w:r>
              <w:rPr>
                <w:rFonts w:cs="Times New Roman"/>
              </w:rPr>
              <w:t>P</w:t>
            </w:r>
            <w:r w:rsidRPr="001937CA">
              <w:rPr>
                <w:rFonts w:cs="Times New Roman"/>
              </w:rPr>
              <w:t xml:space="preserve">: </w:t>
            </w:r>
            <w:r w:rsidR="00B455BF">
              <w:rPr>
                <w:rFonts w:cs="Times New Roman"/>
              </w:rPr>
              <w:t>737-</w:t>
            </w:r>
            <w:r w:rsidR="00B455BF" w:rsidRPr="00B455BF">
              <w:rPr>
                <w:rFonts w:cs="Times New Roman"/>
              </w:rPr>
              <w:t>255-4300</w:t>
            </w:r>
          </w:p>
          <w:p w14:paraId="0B8529F3" w14:textId="77777777" w:rsidR="00622EA6" w:rsidRDefault="00622EA6" w:rsidP="00622EA6">
            <w:pPr>
              <w:pStyle w:val="NoSpacing"/>
              <w:rPr>
                <w:rFonts w:cs="Times New Roman"/>
              </w:rPr>
            </w:pPr>
            <w:r w:rsidRPr="001937CA">
              <w:rPr>
                <w:rFonts w:cs="Times New Roman"/>
              </w:rPr>
              <w:t>F: 512-533-3172</w:t>
            </w:r>
          </w:p>
          <w:p w14:paraId="3471AC7A" w14:textId="77777777" w:rsidR="00C30138" w:rsidRPr="004F1682" w:rsidRDefault="00C30138" w:rsidP="00C30138">
            <w:pPr>
              <w:pStyle w:val="NoSpacing"/>
              <w:rPr>
                <w:rFonts w:cs="Times New Roman"/>
                <w:bCs/>
                <w:sz w:val="18"/>
                <w:szCs w:val="18"/>
              </w:rPr>
            </w:pPr>
          </w:p>
          <w:p w14:paraId="11536538" w14:textId="1AA12E15" w:rsidR="00C30138" w:rsidRPr="001937CA" w:rsidRDefault="00C30138" w:rsidP="00C30138">
            <w:pPr>
              <w:pStyle w:val="NoSpacing"/>
              <w:rPr>
                <w:rFonts w:cs="Times New Roman"/>
                <w:b/>
              </w:rPr>
            </w:pPr>
            <w:r w:rsidRPr="001937CA">
              <w:rPr>
                <w:rFonts w:cs="Times New Roman"/>
                <w:b/>
              </w:rPr>
              <w:t xml:space="preserve">DSHS </w:t>
            </w:r>
            <w:r>
              <w:rPr>
                <w:rFonts w:cs="Times New Roman"/>
                <w:b/>
              </w:rPr>
              <w:t>HOPWA W</w:t>
            </w:r>
            <w:r w:rsidRPr="001937CA">
              <w:rPr>
                <w:rFonts w:cs="Times New Roman"/>
                <w:b/>
              </w:rPr>
              <w:t>ebsite</w:t>
            </w:r>
          </w:p>
          <w:p w14:paraId="6E052F40" w14:textId="77777777" w:rsidR="00C30138" w:rsidRDefault="00A66919" w:rsidP="00C30138">
            <w:pPr>
              <w:pStyle w:val="NoSpacing"/>
              <w:rPr>
                <w:rStyle w:val="Hyperlink"/>
                <w:rFonts w:cs="Times New Roman"/>
              </w:rPr>
            </w:pPr>
            <w:hyperlink r:id="rId124" w:history="1">
              <w:r w:rsidR="00C30138">
                <w:rPr>
                  <w:rStyle w:val="Hyperlink"/>
                  <w:rFonts w:cs="Times New Roman"/>
                </w:rPr>
                <w:t>https://www.dshs.texas.gov/hivstd/hopwa/</w:t>
              </w:r>
            </w:hyperlink>
          </w:p>
          <w:p w14:paraId="13E0D18C" w14:textId="77777777" w:rsidR="00C30138" w:rsidRPr="004F1682" w:rsidRDefault="00C30138" w:rsidP="00C30138">
            <w:pPr>
              <w:pStyle w:val="NoSpacing"/>
              <w:rPr>
                <w:rStyle w:val="Hyperlink"/>
                <w:sz w:val="18"/>
                <w:szCs w:val="18"/>
              </w:rPr>
            </w:pPr>
          </w:p>
          <w:p w14:paraId="35CBCA0B" w14:textId="77777777" w:rsidR="00C30138" w:rsidRPr="001937CA" w:rsidRDefault="00C30138" w:rsidP="00C30138">
            <w:pPr>
              <w:pStyle w:val="NoSpacing"/>
              <w:rPr>
                <w:rFonts w:cs="Times New Roman"/>
                <w:b/>
              </w:rPr>
            </w:pPr>
            <w:r>
              <w:rPr>
                <w:rFonts w:cs="Times New Roman"/>
                <w:b/>
              </w:rPr>
              <w:t>DSHS HIV/STD Program W</w:t>
            </w:r>
            <w:r w:rsidRPr="001937CA">
              <w:rPr>
                <w:rFonts w:cs="Times New Roman"/>
                <w:b/>
              </w:rPr>
              <w:t>ebsite</w:t>
            </w:r>
          </w:p>
          <w:p w14:paraId="40820545" w14:textId="6612E1FC" w:rsidR="00C30138" w:rsidRPr="004F1682" w:rsidRDefault="00A66919" w:rsidP="00C30138">
            <w:pPr>
              <w:pStyle w:val="NoSpacing"/>
              <w:rPr>
                <w:rFonts w:cs="Times New Roman"/>
                <w:sz w:val="18"/>
                <w:szCs w:val="18"/>
              </w:rPr>
            </w:pPr>
            <w:hyperlink r:id="rId125" w:history="1">
              <w:r w:rsidR="00C30138">
                <w:rPr>
                  <w:rStyle w:val="Hyperlink"/>
                  <w:rFonts w:cs="Times New Roman"/>
                </w:rPr>
                <w:t>https://www.dshs.texas.gov/hivstd/</w:t>
              </w:r>
            </w:hyperlink>
          </w:p>
        </w:tc>
      </w:tr>
    </w:tbl>
    <w:p w14:paraId="65C7CC3B" w14:textId="0368FB1D" w:rsidR="003D5931" w:rsidRDefault="003D5931" w:rsidP="00066B7E">
      <w:pPr>
        <w:pStyle w:val="NoSpacing"/>
      </w:pPr>
    </w:p>
    <w:p w14:paraId="048B406A" w14:textId="77777777" w:rsidR="00843147" w:rsidRDefault="00843147" w:rsidP="00843147">
      <w:pPr>
        <w:pStyle w:val="NoSpacing"/>
        <w:numPr>
          <w:ilvl w:val="1"/>
          <w:numId w:val="64"/>
        </w:numPr>
        <w:rPr>
          <w:rFonts w:cs="Times New Roman"/>
          <w:b/>
          <w:u w:val="single"/>
        </w:rPr>
      </w:pPr>
      <w:r w:rsidRPr="00252C02">
        <w:rPr>
          <w:rFonts w:cs="Times New Roman"/>
          <w:b/>
          <w:u w:val="single"/>
        </w:rPr>
        <w:t xml:space="preserve">AA and Project Sponsor </w:t>
      </w:r>
      <w:r>
        <w:rPr>
          <w:rFonts w:cs="Times New Roman"/>
          <w:b/>
          <w:u w:val="single"/>
        </w:rPr>
        <w:t xml:space="preserve">Required </w:t>
      </w:r>
      <w:r w:rsidRPr="00252C02">
        <w:rPr>
          <w:rFonts w:cs="Times New Roman"/>
          <w:b/>
          <w:u w:val="single"/>
        </w:rPr>
        <w:t>Trainings</w:t>
      </w:r>
    </w:p>
    <w:p w14:paraId="6D32D904" w14:textId="04E3352F" w:rsidR="00843147" w:rsidRPr="00115788" w:rsidRDefault="00843147" w:rsidP="00843147">
      <w:pPr>
        <w:pStyle w:val="NoSpacing"/>
        <w:ind w:left="720"/>
        <w:rPr>
          <w:rFonts w:cs="Times New Roman"/>
        </w:rPr>
      </w:pPr>
      <w:r w:rsidRPr="00253720">
        <w:rPr>
          <w:rFonts w:cs="Times New Roman"/>
        </w:rPr>
        <w:t>AAs and Project Sponsors must ensure that at least one staff member has obtained a certificate of completion for the following HOPWA trainings</w:t>
      </w:r>
      <w:r w:rsidR="00336FBD">
        <w:rPr>
          <w:rFonts w:cs="Times New Roman"/>
        </w:rPr>
        <w:t xml:space="preserve"> every three years</w:t>
      </w:r>
      <w:r w:rsidRPr="00253720">
        <w:rPr>
          <w:rFonts w:cs="Times New Roman"/>
        </w:rPr>
        <w:t>. If the AA or Project Sponsor does not have a current staff member who has successfully completed these trainings, a new or current staff member with HOPWA-related responsibilities must obtain a certificate of completion within 90 calendar days from the assignment of HOPWA-related responsibilities or an alternate DSHS-approved timeline.</w:t>
      </w:r>
    </w:p>
    <w:p w14:paraId="52BC60FB" w14:textId="399BC300" w:rsidR="00843147" w:rsidRPr="000B43DF" w:rsidRDefault="00A66919" w:rsidP="00843147">
      <w:pPr>
        <w:pStyle w:val="NoSpacing"/>
        <w:numPr>
          <w:ilvl w:val="2"/>
          <w:numId w:val="64"/>
        </w:numPr>
        <w:rPr>
          <w:rFonts w:cs="Times New Roman"/>
        </w:rPr>
      </w:pPr>
      <w:hyperlink r:id="rId126" w:history="1">
        <w:r w:rsidR="00FC4042">
          <w:rPr>
            <w:bCs/>
            <w:color w:val="0563C1" w:themeColor="hyperlink"/>
            <w:u w:val="single"/>
          </w:rPr>
          <w:t>Community Planning and Development Financial Management Curriculum</w:t>
        </w:r>
      </w:hyperlink>
    </w:p>
    <w:p w14:paraId="1FE15C6B" w14:textId="77777777" w:rsidR="00843147" w:rsidRPr="000B43DF" w:rsidRDefault="00A66919" w:rsidP="00843147">
      <w:pPr>
        <w:pStyle w:val="NoSpacing"/>
        <w:numPr>
          <w:ilvl w:val="2"/>
          <w:numId w:val="64"/>
        </w:numPr>
        <w:rPr>
          <w:rFonts w:cs="Times New Roman"/>
        </w:rPr>
      </w:pPr>
      <w:hyperlink r:id="rId127" w:history="1">
        <w:r w:rsidR="00843147" w:rsidRPr="000B43DF">
          <w:rPr>
            <w:rStyle w:val="Hyperlink"/>
          </w:rPr>
          <w:t>HOPWA Oversight Training Curriculum</w:t>
        </w:r>
      </w:hyperlink>
    </w:p>
    <w:p w14:paraId="23A3498B" w14:textId="77777777" w:rsidR="00843147" w:rsidRPr="000B43DF" w:rsidRDefault="00A66919" w:rsidP="00843147">
      <w:pPr>
        <w:pStyle w:val="NoSpacing"/>
        <w:numPr>
          <w:ilvl w:val="2"/>
          <w:numId w:val="64"/>
        </w:numPr>
        <w:rPr>
          <w:rFonts w:cs="Times New Roman"/>
        </w:rPr>
      </w:pPr>
      <w:hyperlink r:id="rId128" w:history="1">
        <w:r w:rsidR="00843147" w:rsidRPr="000B43DF">
          <w:rPr>
            <w:rStyle w:val="Hyperlink"/>
            <w:rFonts w:cs="Times New Roman"/>
          </w:rPr>
          <w:t>HOPWA Getting to Work Training Curriculum</w:t>
        </w:r>
      </w:hyperlink>
    </w:p>
    <w:p w14:paraId="4A4916B6" w14:textId="247F680A" w:rsidR="00843147" w:rsidRPr="00066B7E" w:rsidRDefault="00A66919" w:rsidP="00843147">
      <w:pPr>
        <w:pStyle w:val="NoSpacing"/>
        <w:numPr>
          <w:ilvl w:val="2"/>
          <w:numId w:val="64"/>
        </w:numPr>
        <w:rPr>
          <w:rStyle w:val="Hyperlink"/>
          <w:rFonts w:cs="Times New Roman"/>
          <w:color w:val="auto"/>
          <w:u w:val="none"/>
        </w:rPr>
      </w:pPr>
      <w:hyperlink r:id="rId129" w:history="1">
        <w:r w:rsidR="00843147" w:rsidRPr="000B43DF">
          <w:rPr>
            <w:rStyle w:val="Hyperlink"/>
            <w:rFonts w:cs="Times New Roman"/>
          </w:rPr>
          <w:t>HUD Lead-Based Paint Visual Assessment Training Course</w:t>
        </w:r>
      </w:hyperlink>
    </w:p>
    <w:p w14:paraId="46C71389" w14:textId="2A0C6751" w:rsidR="00E65585" w:rsidRDefault="00E65585" w:rsidP="002A61C8">
      <w:pPr>
        <w:pStyle w:val="NoSpacing"/>
        <w:rPr>
          <w:rStyle w:val="Hyperlink"/>
          <w:rFonts w:cs="Times New Roman"/>
          <w:color w:val="auto"/>
          <w:u w:val="none"/>
        </w:rPr>
      </w:pPr>
      <w:r>
        <w:rPr>
          <w:rStyle w:val="Hyperlink"/>
          <w:rFonts w:cs="Times New Roman"/>
          <w:color w:val="auto"/>
          <w:u w:val="none"/>
        </w:rPr>
        <w:br w:type="page"/>
      </w:r>
    </w:p>
    <w:p w14:paraId="70F92D50" w14:textId="77777777" w:rsidR="00843147" w:rsidRDefault="00843147" w:rsidP="00843147">
      <w:pPr>
        <w:pStyle w:val="NoSpacing"/>
        <w:numPr>
          <w:ilvl w:val="1"/>
          <w:numId w:val="64"/>
        </w:numPr>
        <w:rPr>
          <w:rFonts w:cs="Times New Roman"/>
          <w:b/>
          <w:u w:val="single"/>
        </w:rPr>
      </w:pPr>
      <w:r>
        <w:rPr>
          <w:rFonts w:cs="Times New Roman"/>
          <w:b/>
          <w:u w:val="single"/>
        </w:rPr>
        <w:lastRenderedPageBreak/>
        <w:t>AA and Project Sponsor Recommended Trainings</w:t>
      </w:r>
    </w:p>
    <w:p w14:paraId="224C572B" w14:textId="77777777" w:rsidR="00843147" w:rsidRDefault="00843147" w:rsidP="00843147">
      <w:pPr>
        <w:pStyle w:val="NoSpacing"/>
        <w:ind w:left="720"/>
        <w:rPr>
          <w:rFonts w:cs="Times New Roman"/>
        </w:rPr>
      </w:pPr>
      <w:r w:rsidRPr="00755C9A">
        <w:rPr>
          <w:rFonts w:cs="Times New Roman"/>
        </w:rPr>
        <w:t xml:space="preserve">DSHS recommends that AAs and Project Sponsors obtain certificates of completion for the following DSHS HOPWA Program trainings. These trainings are available on the TX TRAIN </w:t>
      </w:r>
      <w:hyperlink r:id="rId130" w:history="1">
        <w:r w:rsidRPr="00755C9A">
          <w:rPr>
            <w:rStyle w:val="Hyperlink"/>
            <w:rFonts w:cs="Times New Roman"/>
          </w:rPr>
          <w:t>website</w:t>
        </w:r>
      </w:hyperlink>
      <w:r w:rsidRPr="00755C9A">
        <w:rPr>
          <w:rFonts w:cs="Times New Roman"/>
        </w:rPr>
        <w:t>.</w:t>
      </w:r>
    </w:p>
    <w:tbl>
      <w:tblPr>
        <w:tblStyle w:val="TableGrid"/>
        <w:tblW w:w="10224" w:type="dxa"/>
        <w:tblInd w:w="720" w:type="dxa"/>
        <w:tblBorders>
          <w:insideH w:val="none" w:sz="0" w:space="0" w:color="auto"/>
          <w:insideV w:val="none" w:sz="0" w:space="0" w:color="auto"/>
        </w:tblBorders>
        <w:tblLook w:val="04A0" w:firstRow="1" w:lastRow="0" w:firstColumn="1" w:lastColumn="0" w:noHBand="0" w:noVBand="1"/>
      </w:tblPr>
      <w:tblGrid>
        <w:gridCol w:w="2301"/>
        <w:gridCol w:w="7923"/>
      </w:tblGrid>
      <w:tr w:rsidR="00843147" w:rsidRPr="00502EAC" w14:paraId="04F63742" w14:textId="77777777" w:rsidTr="005A4689">
        <w:trPr>
          <w:trHeight w:val="20"/>
        </w:trPr>
        <w:tc>
          <w:tcPr>
            <w:tcW w:w="23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tcPr>
          <w:p w14:paraId="65B8BEE5" w14:textId="77777777" w:rsidR="00843147" w:rsidRPr="00502EAC" w:rsidRDefault="00843147" w:rsidP="005A4689">
            <w:pPr>
              <w:pStyle w:val="NoSpacing"/>
              <w:ind w:left="-18"/>
              <w:rPr>
                <w:rFonts w:cs="Times New Roman"/>
                <w:b/>
              </w:rPr>
            </w:pPr>
            <w:bookmarkStart w:id="61" w:name="_Hlk113460797"/>
            <w:r>
              <w:rPr>
                <w:rFonts w:cs="Times New Roman"/>
                <w:b/>
              </w:rPr>
              <w:t>TX TRAIN C</w:t>
            </w:r>
            <w:r w:rsidRPr="003A07A0">
              <w:rPr>
                <w:rFonts w:cs="Times New Roman"/>
                <w:b/>
              </w:rPr>
              <w:t>ourse ID</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tcPr>
          <w:p w14:paraId="7B8052D2" w14:textId="77777777" w:rsidR="00843147" w:rsidRPr="00502EAC" w:rsidRDefault="00843147" w:rsidP="005A4689">
            <w:pPr>
              <w:pStyle w:val="NoSpacing"/>
              <w:rPr>
                <w:rFonts w:cs="Times New Roman"/>
                <w:b/>
              </w:rPr>
            </w:pPr>
            <w:r>
              <w:rPr>
                <w:rFonts w:cs="Times New Roman"/>
                <w:b/>
              </w:rPr>
              <w:t>Title</w:t>
            </w:r>
          </w:p>
        </w:tc>
      </w:tr>
      <w:tr w:rsidR="00843147" w14:paraId="0858638A" w14:textId="77777777" w:rsidTr="005A4689">
        <w:trPr>
          <w:trHeight w:val="20"/>
        </w:trPr>
        <w:tc>
          <w:tcPr>
            <w:tcW w:w="2301"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tcPr>
          <w:p w14:paraId="74B280EB" w14:textId="77777777" w:rsidR="00843147" w:rsidRDefault="00843147" w:rsidP="005A4689">
            <w:pPr>
              <w:pStyle w:val="NoSpacing"/>
              <w:rPr>
                <w:rFonts w:cs="Times New Roman"/>
              </w:rPr>
            </w:pPr>
            <w:r w:rsidRPr="00C067DC">
              <w:t>1058804</w:t>
            </w:r>
          </w:p>
        </w:tc>
        <w:tc>
          <w:tcPr>
            <w:tcW w:w="0" w:type="auto"/>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tcPr>
          <w:p w14:paraId="7F089C12" w14:textId="77777777" w:rsidR="00843147" w:rsidRDefault="00843147" w:rsidP="005A4689">
            <w:pPr>
              <w:pStyle w:val="NoSpacing"/>
              <w:rPr>
                <w:rFonts w:cs="Times New Roman"/>
              </w:rPr>
            </w:pPr>
            <w:r w:rsidRPr="00C067DC">
              <w:t xml:space="preserve">DSHS Technical assistance for HOPWA </w:t>
            </w:r>
            <w:r>
              <w:t xml:space="preserve">Program </w:t>
            </w:r>
            <w:r w:rsidRPr="00C067DC">
              <w:t>Progress Reports</w:t>
            </w:r>
          </w:p>
        </w:tc>
      </w:tr>
      <w:tr w:rsidR="00843147" w14:paraId="49DFFC2E" w14:textId="77777777" w:rsidTr="005A4689">
        <w:trPr>
          <w:trHeight w:val="20"/>
        </w:trPr>
        <w:tc>
          <w:tcPr>
            <w:tcW w:w="2301"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41EF687E" w14:textId="77777777" w:rsidR="00843147" w:rsidRDefault="00843147" w:rsidP="005A4689">
            <w:pPr>
              <w:pStyle w:val="NoSpacing"/>
              <w:rPr>
                <w:rFonts w:cs="Times New Roman"/>
              </w:rPr>
            </w:pPr>
            <w:r w:rsidRPr="00C067DC">
              <w:t>1064721</w:t>
            </w:r>
          </w:p>
        </w:tc>
        <w:tc>
          <w:tcPr>
            <w:tcW w:w="0" w:type="auto"/>
            <w:tcBorders>
              <w:top w:val="nil"/>
              <w:left w:val="single" w:sz="4" w:space="0" w:color="FFFFFF" w:themeColor="background1"/>
              <w:bottom w:val="nil"/>
              <w:right w:val="single" w:sz="4" w:space="0" w:color="FFFFFF" w:themeColor="background1"/>
            </w:tcBorders>
            <w:shd w:val="clear" w:color="auto" w:fill="DEEAF6" w:themeFill="accent1" w:themeFillTint="33"/>
          </w:tcPr>
          <w:p w14:paraId="18888EEE" w14:textId="2418C740" w:rsidR="00843147" w:rsidRDefault="00843147" w:rsidP="005A4689">
            <w:pPr>
              <w:pStyle w:val="NoSpacing"/>
              <w:rPr>
                <w:rFonts w:cs="Times New Roman"/>
              </w:rPr>
            </w:pPr>
            <w:r w:rsidRPr="00C067DC">
              <w:t>DSHS HOPWA Program Core For</w:t>
            </w:r>
            <w:r w:rsidR="005A2088">
              <w:t>–</w:t>
            </w:r>
            <w:r w:rsidRPr="00C067DC">
              <w:t>s - Part 1 of 5</w:t>
            </w:r>
          </w:p>
        </w:tc>
      </w:tr>
      <w:tr w:rsidR="00843147" w14:paraId="77BAF597" w14:textId="77777777" w:rsidTr="005A4689">
        <w:trPr>
          <w:trHeight w:val="20"/>
        </w:trPr>
        <w:tc>
          <w:tcPr>
            <w:tcW w:w="2301"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30DA41A2" w14:textId="77777777" w:rsidR="00843147" w:rsidRDefault="00843147" w:rsidP="005A4689">
            <w:pPr>
              <w:pStyle w:val="NoSpacing"/>
              <w:rPr>
                <w:rFonts w:cs="Times New Roman"/>
              </w:rPr>
            </w:pPr>
            <w:r w:rsidRPr="00C067DC">
              <w:t>1064822</w:t>
            </w:r>
          </w:p>
        </w:tc>
        <w:tc>
          <w:tcPr>
            <w:tcW w:w="0" w:type="auto"/>
            <w:tcBorders>
              <w:top w:val="nil"/>
              <w:left w:val="single" w:sz="4" w:space="0" w:color="FFFFFF" w:themeColor="background1"/>
              <w:bottom w:val="nil"/>
              <w:right w:val="single" w:sz="4" w:space="0" w:color="FFFFFF" w:themeColor="background1"/>
            </w:tcBorders>
            <w:shd w:val="clear" w:color="auto" w:fill="DEEAF6" w:themeFill="accent1" w:themeFillTint="33"/>
          </w:tcPr>
          <w:p w14:paraId="4014C449" w14:textId="65A0A083" w:rsidR="00843147" w:rsidRDefault="00843147" w:rsidP="005A4689">
            <w:pPr>
              <w:pStyle w:val="NoSpacing"/>
              <w:rPr>
                <w:rFonts w:cs="Times New Roman"/>
              </w:rPr>
            </w:pPr>
            <w:r w:rsidRPr="00C067DC">
              <w:t>DSHS HOPWA Program Form C: Household Income Eligibility Workshe</w:t>
            </w:r>
            <w:r w:rsidR="008B28A9">
              <w:t>e</w:t>
            </w:r>
            <w:r w:rsidRPr="00C067DC">
              <w:t>t - Part 2 of 5</w:t>
            </w:r>
          </w:p>
        </w:tc>
      </w:tr>
      <w:tr w:rsidR="00843147" w14:paraId="37824B8B" w14:textId="77777777" w:rsidTr="005A4689">
        <w:trPr>
          <w:trHeight w:val="20"/>
        </w:trPr>
        <w:tc>
          <w:tcPr>
            <w:tcW w:w="2301"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5A6C9039" w14:textId="77777777" w:rsidR="00843147" w:rsidRDefault="00843147" w:rsidP="005A4689">
            <w:pPr>
              <w:pStyle w:val="NoSpacing"/>
              <w:rPr>
                <w:rFonts w:cs="Times New Roman"/>
              </w:rPr>
            </w:pPr>
            <w:r w:rsidRPr="00C067DC">
              <w:t>1064853</w:t>
            </w:r>
          </w:p>
        </w:tc>
        <w:tc>
          <w:tcPr>
            <w:tcW w:w="0" w:type="auto"/>
            <w:tcBorders>
              <w:top w:val="nil"/>
              <w:left w:val="single" w:sz="4" w:space="0" w:color="FFFFFF" w:themeColor="background1"/>
              <w:bottom w:val="nil"/>
              <w:right w:val="single" w:sz="4" w:space="0" w:color="FFFFFF" w:themeColor="background1"/>
            </w:tcBorders>
            <w:shd w:val="clear" w:color="auto" w:fill="DEEAF6" w:themeFill="accent1" w:themeFillTint="33"/>
          </w:tcPr>
          <w:p w14:paraId="11E5C9FB" w14:textId="5E3ABF9E" w:rsidR="00843147" w:rsidRDefault="00843147" w:rsidP="005A4689">
            <w:pPr>
              <w:pStyle w:val="NoSpacing"/>
              <w:rPr>
                <w:rFonts w:cs="Times New Roman"/>
              </w:rPr>
            </w:pPr>
            <w:r w:rsidRPr="00C067DC">
              <w:t xml:space="preserve">DSHS HOPWA Program Form I: </w:t>
            </w:r>
            <w:r w:rsidR="00914AAE" w:rsidRPr="00914AAE">
              <w:t xml:space="preserve">Rental Assistance </w:t>
            </w:r>
            <w:r w:rsidRPr="00C067DC">
              <w:t>Workshe</w:t>
            </w:r>
            <w:r w:rsidR="008B28A9">
              <w:t>e</w:t>
            </w:r>
            <w:r w:rsidRPr="00C067DC">
              <w:t>t</w:t>
            </w:r>
            <w:r>
              <w:t xml:space="preserve"> </w:t>
            </w:r>
            <w:r w:rsidRPr="00C067DC">
              <w:t xml:space="preserve">- Part 3 of 5 </w:t>
            </w:r>
          </w:p>
        </w:tc>
      </w:tr>
      <w:tr w:rsidR="00843147" w14:paraId="07B1A488" w14:textId="77777777" w:rsidTr="005A4689">
        <w:trPr>
          <w:trHeight w:val="20"/>
        </w:trPr>
        <w:tc>
          <w:tcPr>
            <w:tcW w:w="2301"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1C98F787" w14:textId="77777777" w:rsidR="00843147" w:rsidRDefault="00843147" w:rsidP="005A4689">
            <w:pPr>
              <w:pStyle w:val="NoSpacing"/>
              <w:rPr>
                <w:rFonts w:cs="Times New Roman"/>
              </w:rPr>
            </w:pPr>
            <w:r w:rsidRPr="00C067DC">
              <w:t>1064855</w:t>
            </w:r>
          </w:p>
        </w:tc>
        <w:tc>
          <w:tcPr>
            <w:tcW w:w="0" w:type="auto"/>
            <w:tcBorders>
              <w:top w:val="nil"/>
              <w:left w:val="single" w:sz="4" w:space="0" w:color="FFFFFF" w:themeColor="background1"/>
              <w:bottom w:val="nil"/>
              <w:right w:val="single" w:sz="4" w:space="0" w:color="FFFFFF" w:themeColor="background1"/>
            </w:tcBorders>
            <w:shd w:val="clear" w:color="auto" w:fill="DEEAF6" w:themeFill="accent1" w:themeFillTint="33"/>
          </w:tcPr>
          <w:p w14:paraId="335CBC54" w14:textId="0ED5FE2C" w:rsidR="00843147" w:rsidRDefault="00843147" w:rsidP="005A4689">
            <w:pPr>
              <w:pStyle w:val="NoSpacing"/>
              <w:rPr>
                <w:rFonts w:cs="Times New Roman"/>
              </w:rPr>
            </w:pPr>
            <w:r w:rsidRPr="00C067DC">
              <w:t xml:space="preserve">DSHS HOPWA Program Form </w:t>
            </w:r>
            <w:proofErr w:type="spellStart"/>
            <w:r w:rsidRPr="00C067DC">
              <w:t>K</w:t>
            </w:r>
            <w:r w:rsidR="00914AAE">
              <w:t>1</w:t>
            </w:r>
            <w:proofErr w:type="spellEnd"/>
            <w:r w:rsidRPr="00C067DC">
              <w:t>: STRMU Tracking Workshe</w:t>
            </w:r>
            <w:r w:rsidR="008B28A9">
              <w:t>e</w:t>
            </w:r>
            <w:r w:rsidRPr="00C067DC">
              <w:t>t</w:t>
            </w:r>
            <w:r>
              <w:t xml:space="preserve"> </w:t>
            </w:r>
            <w:r w:rsidRPr="00C067DC">
              <w:t xml:space="preserve">- Part 4 of 5 </w:t>
            </w:r>
          </w:p>
        </w:tc>
      </w:tr>
      <w:tr w:rsidR="00843147" w14:paraId="420260E6" w14:textId="77777777" w:rsidTr="005A4689">
        <w:trPr>
          <w:trHeight w:val="20"/>
        </w:trPr>
        <w:tc>
          <w:tcPr>
            <w:tcW w:w="2301"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4501A9DB" w14:textId="77777777" w:rsidR="00843147" w:rsidRDefault="00843147" w:rsidP="005A4689">
            <w:pPr>
              <w:pStyle w:val="NoSpacing"/>
              <w:rPr>
                <w:rFonts w:cs="Times New Roman"/>
              </w:rPr>
            </w:pPr>
            <w:r w:rsidRPr="00C067DC">
              <w:t>1064856</w:t>
            </w:r>
          </w:p>
        </w:tc>
        <w:tc>
          <w:tcPr>
            <w:tcW w:w="0" w:type="auto"/>
            <w:tcBorders>
              <w:top w:val="nil"/>
              <w:left w:val="single" w:sz="4" w:space="0" w:color="FFFFFF" w:themeColor="background1"/>
              <w:bottom w:val="nil"/>
              <w:right w:val="single" w:sz="4" w:space="0" w:color="FFFFFF" w:themeColor="background1"/>
            </w:tcBorders>
            <w:shd w:val="clear" w:color="auto" w:fill="DEEAF6" w:themeFill="accent1" w:themeFillTint="33"/>
          </w:tcPr>
          <w:p w14:paraId="6BDE1617" w14:textId="4284956E" w:rsidR="00843147" w:rsidRDefault="00843147" w:rsidP="005A4689">
            <w:pPr>
              <w:pStyle w:val="NoSpacing"/>
              <w:rPr>
                <w:rFonts w:cs="Times New Roman"/>
              </w:rPr>
            </w:pPr>
            <w:r w:rsidRPr="00C067DC">
              <w:t>DSHS HOPWA Program Forms M: Budget Worksheet and N: Housing Pl</w:t>
            </w:r>
            <w:r w:rsidR="005A2088">
              <w:t>–</w:t>
            </w:r>
            <w:r w:rsidRPr="00C067DC">
              <w:t xml:space="preserve">n - Part 5 of 5 </w:t>
            </w:r>
          </w:p>
        </w:tc>
      </w:tr>
      <w:bookmarkEnd w:id="61"/>
    </w:tbl>
    <w:p w14:paraId="2EF5A88F" w14:textId="77777777" w:rsidR="00E765A7" w:rsidRDefault="00E765A7" w:rsidP="002A61C8">
      <w:pPr>
        <w:pStyle w:val="NoSpacing"/>
      </w:pPr>
    </w:p>
    <w:p w14:paraId="3512CCBF" w14:textId="52026C3F" w:rsidR="00843147" w:rsidRDefault="00843147" w:rsidP="00843147">
      <w:pPr>
        <w:pStyle w:val="NoSpacing"/>
        <w:numPr>
          <w:ilvl w:val="1"/>
          <w:numId w:val="64"/>
        </w:numPr>
        <w:rPr>
          <w:rFonts w:cs="Times New Roman"/>
          <w:b/>
          <w:u w:val="single"/>
        </w:rPr>
      </w:pPr>
      <w:r>
        <w:rPr>
          <w:rFonts w:cs="Times New Roman"/>
          <w:b/>
          <w:u w:val="single"/>
        </w:rPr>
        <w:t>Other Trainings, Guides, Tools, Webinars, and Materials</w:t>
      </w:r>
    </w:p>
    <w:p w14:paraId="41FF8F45" w14:textId="65969E5B" w:rsidR="00D46F7C" w:rsidRPr="00DE48B8" w:rsidRDefault="00D46F7C" w:rsidP="00DE48B8">
      <w:pPr>
        <w:pStyle w:val="NoSpacing"/>
        <w:ind w:left="720"/>
        <w:rPr>
          <w:rFonts w:cs="Times New Roman"/>
          <w:bCs/>
        </w:rPr>
      </w:pPr>
      <w:r>
        <w:rPr>
          <w:rFonts w:cs="Times New Roman"/>
          <w:bCs/>
        </w:rPr>
        <w:t xml:space="preserve">In addition to the required and recommended </w:t>
      </w:r>
      <w:r w:rsidR="00355F90">
        <w:rPr>
          <w:rFonts w:cs="Times New Roman"/>
          <w:bCs/>
        </w:rPr>
        <w:t xml:space="preserve">HOPWA </w:t>
      </w:r>
      <w:r>
        <w:rPr>
          <w:rFonts w:cs="Times New Roman"/>
          <w:bCs/>
        </w:rPr>
        <w:t>trainings outlined above, AAs and Project Sponsors should</w:t>
      </w:r>
      <w:r w:rsidR="00355F90">
        <w:rPr>
          <w:rFonts w:cs="Times New Roman"/>
          <w:bCs/>
        </w:rPr>
        <w:t xml:space="preserve"> review the other HOPWA trainings, guides, tools, webinars, and other materials outlined below.</w:t>
      </w:r>
    </w:p>
    <w:p w14:paraId="42D80392" w14:textId="18F2D27E" w:rsidR="001F5B39" w:rsidRDefault="00A66919" w:rsidP="00843147">
      <w:pPr>
        <w:pStyle w:val="NoSpacing"/>
        <w:numPr>
          <w:ilvl w:val="2"/>
          <w:numId w:val="64"/>
        </w:numPr>
        <w:rPr>
          <w:rFonts w:cs="Times New Roman"/>
          <w:u w:val="single"/>
        </w:rPr>
      </w:pPr>
      <w:hyperlink r:id="rId131" w:history="1">
        <w:r w:rsidR="001F5B39" w:rsidRPr="001F5B39">
          <w:rPr>
            <w:rStyle w:val="Hyperlink"/>
            <w:rFonts w:cs="Times New Roman"/>
          </w:rPr>
          <w:t>HOPWA Grantee Oversight Resource Guide</w:t>
        </w:r>
      </w:hyperlink>
    </w:p>
    <w:p w14:paraId="541D55E1" w14:textId="501A0E5D" w:rsidR="00A60969" w:rsidRDefault="00A66919" w:rsidP="00843147">
      <w:pPr>
        <w:pStyle w:val="NoSpacing"/>
        <w:numPr>
          <w:ilvl w:val="2"/>
          <w:numId w:val="64"/>
        </w:numPr>
        <w:rPr>
          <w:rFonts w:cs="Times New Roman"/>
          <w:u w:val="single"/>
        </w:rPr>
      </w:pPr>
      <w:hyperlink r:id="rId132" w:history="1">
        <w:r w:rsidR="00A60969" w:rsidRPr="00A60969">
          <w:rPr>
            <w:rStyle w:val="Hyperlink"/>
            <w:rFonts w:cs="Times New Roman"/>
          </w:rPr>
          <w:t>HOPWA Institute</w:t>
        </w:r>
      </w:hyperlink>
    </w:p>
    <w:p w14:paraId="0B23198E" w14:textId="2E14195A" w:rsidR="001F5B39" w:rsidRDefault="00A66919" w:rsidP="00843147">
      <w:pPr>
        <w:pStyle w:val="NoSpacing"/>
        <w:numPr>
          <w:ilvl w:val="2"/>
          <w:numId w:val="64"/>
        </w:numPr>
        <w:rPr>
          <w:rFonts w:cs="Times New Roman"/>
          <w:u w:val="single"/>
        </w:rPr>
      </w:pPr>
      <w:hyperlink r:id="rId133" w:history="1">
        <w:r w:rsidR="001F5B39" w:rsidRPr="001F5B39">
          <w:rPr>
            <w:rStyle w:val="Hyperlink"/>
            <w:rFonts w:cs="Times New Roman"/>
          </w:rPr>
          <w:t>HOPWA Factsheets</w:t>
        </w:r>
      </w:hyperlink>
    </w:p>
    <w:p w14:paraId="1786E8A8" w14:textId="03AF92E9" w:rsidR="001F5B39" w:rsidRPr="002A61C8" w:rsidRDefault="00A66919" w:rsidP="00843147">
      <w:pPr>
        <w:pStyle w:val="NoSpacing"/>
        <w:numPr>
          <w:ilvl w:val="2"/>
          <w:numId w:val="64"/>
        </w:numPr>
        <w:rPr>
          <w:rStyle w:val="Hyperlink"/>
          <w:rFonts w:cs="Times New Roman"/>
          <w:color w:val="auto"/>
        </w:rPr>
      </w:pPr>
      <w:hyperlink r:id="rId134" w:history="1">
        <w:r w:rsidR="00096C9D" w:rsidRPr="00096C9D">
          <w:rPr>
            <w:rStyle w:val="Hyperlink"/>
            <w:rFonts w:cs="Times New Roman"/>
          </w:rPr>
          <w:t>HOPWA Rental Assistance Guidebook</w:t>
        </w:r>
      </w:hyperlink>
    </w:p>
    <w:p w14:paraId="01A39432" w14:textId="68A35611" w:rsidR="00CD626F" w:rsidRDefault="00A66919" w:rsidP="00843147">
      <w:pPr>
        <w:pStyle w:val="NoSpacing"/>
        <w:numPr>
          <w:ilvl w:val="2"/>
          <w:numId w:val="64"/>
        </w:numPr>
        <w:rPr>
          <w:rFonts w:cs="Times New Roman"/>
          <w:u w:val="single"/>
        </w:rPr>
      </w:pPr>
      <w:hyperlink r:id="rId135" w:history="1">
        <w:r w:rsidR="00CD626F" w:rsidRPr="00CD626F">
          <w:rPr>
            <w:rStyle w:val="Hyperlink"/>
            <w:rFonts w:cs="Times New Roman"/>
          </w:rPr>
          <w:t>HOPWA Income and Rent Calculation Curriculum</w:t>
        </w:r>
      </w:hyperlink>
    </w:p>
    <w:p w14:paraId="65BBB5C6" w14:textId="0581878A" w:rsidR="001F5B39" w:rsidRPr="004F1682" w:rsidRDefault="00A66919" w:rsidP="00843147">
      <w:pPr>
        <w:pStyle w:val="NoSpacing"/>
        <w:numPr>
          <w:ilvl w:val="2"/>
          <w:numId w:val="64"/>
        </w:numPr>
        <w:rPr>
          <w:rFonts w:cs="Times New Roman"/>
          <w:u w:val="single"/>
        </w:rPr>
      </w:pPr>
      <w:hyperlink r:id="rId136" w:history="1">
        <w:r w:rsidR="001F5B39" w:rsidRPr="001F5B39">
          <w:rPr>
            <w:rStyle w:val="Hyperlink"/>
            <w:rFonts w:cs="Times New Roman"/>
          </w:rPr>
          <w:t>HOPWA Short-Term Rent, Mortgage, and Utility Assistance</w:t>
        </w:r>
      </w:hyperlink>
    </w:p>
    <w:p w14:paraId="2D457FF3" w14:textId="7AD5F511" w:rsidR="00843147" w:rsidRPr="000B43DF" w:rsidRDefault="00A66919" w:rsidP="00843147">
      <w:pPr>
        <w:pStyle w:val="NoSpacing"/>
        <w:numPr>
          <w:ilvl w:val="2"/>
          <w:numId w:val="64"/>
        </w:numPr>
        <w:rPr>
          <w:rFonts w:cs="Times New Roman"/>
          <w:u w:val="single"/>
        </w:rPr>
      </w:pPr>
      <w:hyperlink r:id="rId137" w:history="1">
        <w:r w:rsidR="00843147" w:rsidRPr="000B43DF">
          <w:rPr>
            <w:rStyle w:val="Hyperlink"/>
            <w:rFonts w:cs="Times New Roman"/>
          </w:rPr>
          <w:t>HOPWA Best Practices Training Series</w:t>
        </w:r>
      </w:hyperlink>
    </w:p>
    <w:p w14:paraId="1D899901" w14:textId="66D743B5" w:rsidR="00FC4042" w:rsidRPr="004F1682" w:rsidRDefault="00A66919" w:rsidP="000B43DF">
      <w:pPr>
        <w:pStyle w:val="NoSpacing"/>
        <w:numPr>
          <w:ilvl w:val="2"/>
          <w:numId w:val="64"/>
        </w:numPr>
        <w:rPr>
          <w:rStyle w:val="Hyperlink"/>
          <w:rFonts w:cs="Times New Roman"/>
          <w:color w:val="auto"/>
        </w:rPr>
      </w:pPr>
      <w:hyperlink r:id="rId138" w:history="1">
        <w:r w:rsidR="00FC4042" w:rsidRPr="00CF11BB">
          <w:rPr>
            <w:rStyle w:val="Hyperlink"/>
            <w:rFonts w:cs="Times New Roman"/>
          </w:rPr>
          <w:t>HOPWA Financial Management</w:t>
        </w:r>
        <w:r w:rsidR="00CF11BB" w:rsidRPr="00CF11BB">
          <w:rPr>
            <w:rStyle w:val="Hyperlink"/>
            <w:rFonts w:cs="Times New Roman"/>
          </w:rPr>
          <w:t xml:space="preserve"> Online</w:t>
        </w:r>
        <w:r w:rsidR="00FC4042" w:rsidRPr="00CF11BB">
          <w:rPr>
            <w:rStyle w:val="Hyperlink"/>
            <w:rFonts w:cs="Times New Roman"/>
          </w:rPr>
          <w:t xml:space="preserve"> Training</w:t>
        </w:r>
        <w:r w:rsidR="00CF11BB" w:rsidRPr="00CF11BB">
          <w:rPr>
            <w:rStyle w:val="Hyperlink"/>
            <w:rFonts w:cs="Times New Roman"/>
          </w:rPr>
          <w:t xml:space="preserve"> Course</w:t>
        </w:r>
      </w:hyperlink>
      <w:r w:rsidR="00FC4042">
        <w:rPr>
          <w:rStyle w:val="Hyperlink"/>
          <w:rFonts w:cs="Times New Roman"/>
        </w:rPr>
        <w:t xml:space="preserve"> </w:t>
      </w:r>
    </w:p>
    <w:p w14:paraId="6B4D6BA4" w14:textId="203BE864" w:rsidR="001F5B39" w:rsidRPr="004F1682" w:rsidRDefault="00A66919" w:rsidP="000B43DF">
      <w:pPr>
        <w:pStyle w:val="NoSpacing"/>
        <w:numPr>
          <w:ilvl w:val="2"/>
          <w:numId w:val="64"/>
        </w:numPr>
        <w:rPr>
          <w:rStyle w:val="Hyperlink"/>
          <w:rFonts w:cs="Times New Roman"/>
          <w:color w:val="auto"/>
        </w:rPr>
      </w:pPr>
      <w:hyperlink r:id="rId139" w:history="1">
        <w:r w:rsidR="001F5B39" w:rsidRPr="001F5B39">
          <w:rPr>
            <w:rStyle w:val="Hyperlink"/>
            <w:rFonts w:cs="Times New Roman"/>
          </w:rPr>
          <w:t>HOPWA Financial Management Training Manual</w:t>
        </w:r>
      </w:hyperlink>
    </w:p>
    <w:p w14:paraId="354EF675" w14:textId="581016E5" w:rsidR="00096C9D" w:rsidRPr="000B43DF" w:rsidRDefault="00A66919" w:rsidP="000B43DF">
      <w:pPr>
        <w:pStyle w:val="NoSpacing"/>
        <w:numPr>
          <w:ilvl w:val="2"/>
          <w:numId w:val="64"/>
        </w:numPr>
        <w:rPr>
          <w:rFonts w:cs="Times New Roman"/>
          <w:u w:val="single"/>
        </w:rPr>
      </w:pPr>
      <w:hyperlink r:id="rId140" w:history="1">
        <w:r w:rsidR="00096C9D" w:rsidRPr="00096C9D">
          <w:rPr>
            <w:rStyle w:val="Hyperlink"/>
            <w:rFonts w:cs="Times New Roman"/>
          </w:rPr>
          <w:t>HOPWA Guide for Conducting Voluntary Consumer Satisfaction Surveys</w:t>
        </w:r>
      </w:hyperlink>
    </w:p>
    <w:p w14:paraId="6AE691EB" w14:textId="6D76467A" w:rsidR="00843147" w:rsidRPr="004F1682" w:rsidRDefault="00A66919" w:rsidP="000B43DF">
      <w:pPr>
        <w:pStyle w:val="NoSpacing"/>
        <w:numPr>
          <w:ilvl w:val="2"/>
          <w:numId w:val="64"/>
        </w:numPr>
        <w:rPr>
          <w:rStyle w:val="Hyperlink"/>
          <w:rFonts w:cs="Times New Roman"/>
          <w:color w:val="auto"/>
        </w:rPr>
      </w:pPr>
      <w:hyperlink r:id="rId141" w:anchor="guides-and-training-manuals" w:history="1">
        <w:r w:rsidR="00843147" w:rsidRPr="000B43DF">
          <w:rPr>
            <w:rStyle w:val="Hyperlink"/>
            <w:rFonts w:cs="Times New Roman"/>
          </w:rPr>
          <w:t>HOPWA Guides, Tools, and Webinars</w:t>
        </w:r>
      </w:hyperlink>
    </w:p>
    <w:p w14:paraId="1F3062F7" w14:textId="607720BE" w:rsidR="001F5B39" w:rsidRDefault="00A66919" w:rsidP="000B43DF">
      <w:pPr>
        <w:pStyle w:val="NoSpacing"/>
        <w:numPr>
          <w:ilvl w:val="2"/>
          <w:numId w:val="64"/>
        </w:numPr>
        <w:rPr>
          <w:rStyle w:val="Hyperlink"/>
          <w:rFonts w:cs="Times New Roman"/>
          <w:color w:val="auto"/>
        </w:rPr>
      </w:pPr>
      <w:hyperlink r:id="rId142" w:history="1">
        <w:r w:rsidR="00355F90">
          <w:rPr>
            <w:rStyle w:val="Hyperlink"/>
            <w:rFonts w:cs="Times New Roman"/>
          </w:rPr>
          <w:t>HOPWA Consolidated Annual Performance and Evaluation Report (CAPER) Training Modules</w:t>
        </w:r>
      </w:hyperlink>
    </w:p>
    <w:p w14:paraId="292AECF7" w14:textId="39A48C09" w:rsidR="001F5B39" w:rsidRDefault="00A66919" w:rsidP="000B43DF">
      <w:pPr>
        <w:pStyle w:val="NoSpacing"/>
        <w:numPr>
          <w:ilvl w:val="2"/>
          <w:numId w:val="64"/>
        </w:numPr>
        <w:rPr>
          <w:rStyle w:val="Hyperlink"/>
          <w:rFonts w:cs="Times New Roman"/>
          <w:color w:val="auto"/>
        </w:rPr>
      </w:pPr>
      <w:hyperlink r:id="rId143" w:history="1">
        <w:r w:rsidR="001F5B39" w:rsidRPr="001F5B39">
          <w:rPr>
            <w:rStyle w:val="Hyperlink"/>
            <w:rFonts w:cs="Times New Roman"/>
          </w:rPr>
          <w:t>HOPWA Confidentiality User Guide</w:t>
        </w:r>
      </w:hyperlink>
    </w:p>
    <w:p w14:paraId="789D0CC8" w14:textId="638062E3" w:rsidR="00E90B59" w:rsidRPr="004F1682" w:rsidRDefault="00A66919" w:rsidP="000B43DF">
      <w:pPr>
        <w:pStyle w:val="NoSpacing"/>
        <w:numPr>
          <w:ilvl w:val="2"/>
          <w:numId w:val="64"/>
        </w:numPr>
        <w:rPr>
          <w:rStyle w:val="Hyperlink"/>
          <w:rFonts w:cs="Times New Roman"/>
          <w:color w:val="auto"/>
        </w:rPr>
      </w:pPr>
      <w:hyperlink r:id="rId144" w:history="1">
        <w:r w:rsidR="00E90B59" w:rsidRPr="00E90B59">
          <w:rPr>
            <w:rStyle w:val="Hyperlink"/>
            <w:rFonts w:cs="Times New Roman"/>
          </w:rPr>
          <w:t>HOPWA 20 Housing Innovations in HIV Care</w:t>
        </w:r>
      </w:hyperlink>
    </w:p>
    <w:p w14:paraId="1DBC8DC0" w14:textId="1ED45A2D" w:rsidR="006F59FA" w:rsidRPr="00DA098E" w:rsidRDefault="00A66919" w:rsidP="000B43DF">
      <w:pPr>
        <w:pStyle w:val="NoSpacing"/>
        <w:numPr>
          <w:ilvl w:val="2"/>
          <w:numId w:val="64"/>
        </w:numPr>
        <w:rPr>
          <w:rStyle w:val="Hyperlink"/>
          <w:rFonts w:cs="Times New Roman"/>
          <w:color w:val="auto"/>
        </w:rPr>
      </w:pPr>
      <w:hyperlink r:id="rId145" w:anchor="resources" w:history="1">
        <w:r w:rsidR="00A60969">
          <w:rPr>
            <w:rStyle w:val="Hyperlink"/>
            <w:rFonts w:cs="Times New Roman"/>
          </w:rPr>
          <w:t>HOPWA Integrated Disbursement and Information System Guides, Tools, and Webinars</w:t>
        </w:r>
      </w:hyperlink>
    </w:p>
    <w:p w14:paraId="71A8BDAA" w14:textId="17CC7917" w:rsidR="00E90B59" w:rsidRPr="002A61C8" w:rsidRDefault="00A66919" w:rsidP="000B43DF">
      <w:pPr>
        <w:pStyle w:val="NoSpacing"/>
        <w:numPr>
          <w:ilvl w:val="2"/>
          <w:numId w:val="64"/>
        </w:numPr>
        <w:rPr>
          <w:rStyle w:val="Hyperlink"/>
          <w:rFonts w:cs="Times New Roman"/>
          <w:color w:val="auto"/>
        </w:rPr>
      </w:pPr>
      <w:hyperlink r:id="rId146" w:history="1">
        <w:r w:rsidR="00E90B59" w:rsidRPr="00E90B59">
          <w:rPr>
            <w:rStyle w:val="Hyperlink"/>
            <w:rFonts w:cs="Times New Roman"/>
          </w:rPr>
          <w:t>HUD Community Planning and Development Monitoring Handbook</w:t>
        </w:r>
      </w:hyperlink>
    </w:p>
    <w:p w14:paraId="1A4E15E3" w14:textId="32C59A08" w:rsidR="00596BA3" w:rsidRPr="004F1682" w:rsidRDefault="00A66919" w:rsidP="000B43DF">
      <w:pPr>
        <w:pStyle w:val="NoSpacing"/>
        <w:numPr>
          <w:ilvl w:val="2"/>
          <w:numId w:val="64"/>
        </w:numPr>
        <w:rPr>
          <w:rFonts w:cs="Times New Roman"/>
          <w:u w:val="single"/>
        </w:rPr>
      </w:pPr>
      <w:hyperlink r:id="rId147" w:history="1">
        <w:r w:rsidR="00596BA3" w:rsidRPr="00596BA3">
          <w:rPr>
            <w:rStyle w:val="Hyperlink"/>
            <w:rFonts w:cs="Times New Roman"/>
          </w:rPr>
          <w:t>HUD Integrity Bulletins from the Offices of Community Planning and Development &amp; Inspector General</w:t>
        </w:r>
      </w:hyperlink>
    </w:p>
    <w:p w14:paraId="125A52DA" w14:textId="303CC125" w:rsidR="0081207E" w:rsidRPr="002A61C8" w:rsidRDefault="00A66919" w:rsidP="000B43DF">
      <w:pPr>
        <w:pStyle w:val="NoSpacing"/>
        <w:numPr>
          <w:ilvl w:val="2"/>
          <w:numId w:val="64"/>
        </w:numPr>
        <w:rPr>
          <w:rFonts w:cs="Times New Roman"/>
          <w:u w:val="single"/>
        </w:rPr>
      </w:pPr>
      <w:hyperlink r:id="rId148" w:history="1">
        <w:r w:rsidR="0081207E" w:rsidRPr="0081207E">
          <w:rPr>
            <w:rStyle w:val="Hyperlink"/>
            <w:rFonts w:cs="Times New Roman"/>
          </w:rPr>
          <w:t>HUD Lead Safe Housing Toolkit</w:t>
        </w:r>
      </w:hyperlink>
    </w:p>
    <w:p w14:paraId="14AF5D0A" w14:textId="1C054CA7" w:rsidR="00706C26" w:rsidRPr="00DA098E" w:rsidRDefault="00A66919" w:rsidP="000B43DF">
      <w:pPr>
        <w:pStyle w:val="NoSpacing"/>
        <w:numPr>
          <w:ilvl w:val="2"/>
          <w:numId w:val="64"/>
        </w:numPr>
        <w:rPr>
          <w:rStyle w:val="Hyperlink"/>
          <w:rFonts w:cs="Times New Roman"/>
          <w:color w:val="auto"/>
        </w:rPr>
      </w:pPr>
      <w:hyperlink r:id="rId149" w:history="1">
        <w:r w:rsidR="006F59FA">
          <w:rPr>
            <w:rStyle w:val="Hyperlink"/>
            <w:rFonts w:cs="Times New Roman"/>
          </w:rPr>
          <w:t>HUD Lead Safe Housing Training for TBRA</w:t>
        </w:r>
      </w:hyperlink>
    </w:p>
    <w:p w14:paraId="45F94546" w14:textId="40FF5F0C" w:rsidR="00706C26" w:rsidRPr="004F1682" w:rsidRDefault="00A66919" w:rsidP="000B43DF">
      <w:pPr>
        <w:pStyle w:val="NoSpacing"/>
        <w:numPr>
          <w:ilvl w:val="2"/>
          <w:numId w:val="64"/>
        </w:numPr>
        <w:rPr>
          <w:rStyle w:val="Hyperlink"/>
          <w:rFonts w:cs="Times New Roman"/>
          <w:color w:val="auto"/>
        </w:rPr>
      </w:pPr>
      <w:hyperlink r:id="rId150" w:history="1">
        <w:r w:rsidR="006F59FA">
          <w:rPr>
            <w:rStyle w:val="Hyperlink"/>
            <w:rFonts w:cs="Times New Roman"/>
          </w:rPr>
          <w:t xml:space="preserve">HUD Lead Safe Housing Training for </w:t>
        </w:r>
        <w:proofErr w:type="spellStart"/>
        <w:r w:rsidR="006F59FA">
          <w:rPr>
            <w:rStyle w:val="Hyperlink"/>
            <w:rFonts w:cs="Times New Roman"/>
          </w:rPr>
          <w:t>PBRA</w:t>
        </w:r>
        <w:proofErr w:type="spellEnd"/>
      </w:hyperlink>
    </w:p>
    <w:p w14:paraId="56B44BFC" w14:textId="35466BC1" w:rsidR="006F59FA" w:rsidRPr="004F1682" w:rsidRDefault="00A66919" w:rsidP="000B43DF">
      <w:pPr>
        <w:pStyle w:val="NoSpacing"/>
        <w:numPr>
          <w:ilvl w:val="2"/>
          <w:numId w:val="64"/>
        </w:numPr>
        <w:rPr>
          <w:rStyle w:val="Hyperlink"/>
          <w:rFonts w:cs="Times New Roman"/>
          <w:color w:val="auto"/>
        </w:rPr>
      </w:pPr>
      <w:hyperlink r:id="rId151" w:history="1">
        <w:r w:rsidR="006F59FA" w:rsidRPr="006F59FA">
          <w:rPr>
            <w:rStyle w:val="Hyperlink"/>
            <w:rFonts w:cs="Times New Roman"/>
          </w:rPr>
          <w:t>HUD Lead Safe Housing Training for Rehabilitation, Acquisition, Leasing, Support Services, or Operation</w:t>
        </w:r>
      </w:hyperlink>
    </w:p>
    <w:p w14:paraId="283DB730" w14:textId="77777777" w:rsidR="00242C70" w:rsidRPr="000B43DF" w:rsidRDefault="00A66919" w:rsidP="00242C70">
      <w:pPr>
        <w:pStyle w:val="NoSpacing"/>
        <w:numPr>
          <w:ilvl w:val="2"/>
          <w:numId w:val="64"/>
        </w:numPr>
        <w:rPr>
          <w:rFonts w:cs="Times New Roman"/>
          <w:u w:val="single"/>
        </w:rPr>
      </w:pPr>
      <w:hyperlink r:id="rId152" w:history="1">
        <w:r w:rsidR="00242C70" w:rsidRPr="00242C70">
          <w:rPr>
            <w:rStyle w:val="Hyperlink"/>
            <w:rFonts w:cs="Times New Roman"/>
          </w:rPr>
          <w:t>HUD HOPWA YouTube Playlist</w:t>
        </w:r>
      </w:hyperlink>
    </w:p>
    <w:p w14:paraId="69A08E52" w14:textId="76351158" w:rsidR="00F9661A" w:rsidRPr="002A61C8" w:rsidRDefault="00A66919" w:rsidP="000B43DF">
      <w:pPr>
        <w:pStyle w:val="NoSpacing"/>
        <w:numPr>
          <w:ilvl w:val="2"/>
          <w:numId w:val="64"/>
        </w:numPr>
        <w:rPr>
          <w:rStyle w:val="Hyperlink"/>
          <w:rFonts w:cs="Times New Roman"/>
          <w:color w:val="auto"/>
        </w:rPr>
      </w:pPr>
      <w:hyperlink r:id="rId153" w:history="1">
        <w:r w:rsidR="00F9661A" w:rsidRPr="00572A76">
          <w:rPr>
            <w:rStyle w:val="Hyperlink"/>
            <w:rFonts w:cs="Times New Roman"/>
          </w:rPr>
          <w:t>DSHS HOPWA Webinars</w:t>
        </w:r>
      </w:hyperlink>
    </w:p>
    <w:p w14:paraId="37D3A818" w14:textId="4DE4740A" w:rsidR="001937CA" w:rsidRPr="001750FB" w:rsidRDefault="001937CA" w:rsidP="001937CA">
      <w:pPr>
        <w:pStyle w:val="NoSpacing"/>
        <w:rPr>
          <w:sz w:val="6"/>
        </w:rPr>
      </w:pPr>
      <w:r w:rsidRPr="001750FB">
        <w:rPr>
          <w:sz w:val="6"/>
        </w:rPr>
        <w:br w:type="page"/>
      </w:r>
    </w:p>
    <w:p w14:paraId="50447CDF" w14:textId="40759A14" w:rsidR="001937CA" w:rsidRPr="00066B7E" w:rsidRDefault="004225BD" w:rsidP="0067057A">
      <w:pPr>
        <w:pStyle w:val="Heading1"/>
        <w:shd w:val="clear" w:color="auto" w:fill="auto"/>
        <w:rPr>
          <w:sz w:val="44"/>
        </w:rPr>
      </w:pPr>
      <w:bookmarkStart w:id="62" w:name="_Toc140755485"/>
      <w:r w:rsidRPr="00066B7E">
        <w:rPr>
          <w:sz w:val="44"/>
        </w:rPr>
        <w:lastRenderedPageBreak/>
        <w:t>APPENDICES</w:t>
      </w:r>
      <w:bookmarkEnd w:id="62"/>
    </w:p>
    <w:p w14:paraId="38B93ABB" w14:textId="4DD482C6" w:rsidR="004225BD" w:rsidRPr="00CB06E6" w:rsidRDefault="004225BD" w:rsidP="00754E9B">
      <w:pPr>
        <w:pStyle w:val="NoSpacing"/>
        <w:numPr>
          <w:ilvl w:val="0"/>
          <w:numId w:val="17"/>
        </w:numPr>
        <w:rPr>
          <w:rFonts w:cs="Times New Roman"/>
          <w:b/>
        </w:rPr>
      </w:pPr>
      <w:r w:rsidRPr="00CB06E6">
        <w:rPr>
          <w:rFonts w:cs="Times New Roman"/>
          <w:b/>
        </w:rPr>
        <w:t xml:space="preserve">Using HOPWA </w:t>
      </w:r>
      <w:r w:rsidR="004F5B69">
        <w:rPr>
          <w:rFonts w:cs="Times New Roman"/>
          <w:b/>
        </w:rPr>
        <w:t xml:space="preserve">Housing Assistance </w:t>
      </w:r>
      <w:r w:rsidRPr="00CB06E6">
        <w:rPr>
          <w:rFonts w:cs="Times New Roman"/>
          <w:b/>
        </w:rPr>
        <w:t xml:space="preserve">for </w:t>
      </w:r>
      <w:r w:rsidR="004F5B69">
        <w:rPr>
          <w:rFonts w:cs="Times New Roman"/>
          <w:b/>
        </w:rPr>
        <w:t>M</w:t>
      </w:r>
      <w:r w:rsidRPr="00CB06E6">
        <w:rPr>
          <w:rFonts w:cs="Times New Roman"/>
          <w:b/>
        </w:rPr>
        <w:t xml:space="preserve">obile </w:t>
      </w:r>
      <w:r w:rsidR="004F5B69">
        <w:rPr>
          <w:rFonts w:cs="Times New Roman"/>
          <w:b/>
        </w:rPr>
        <w:t>H</w:t>
      </w:r>
      <w:r w:rsidRPr="00CB06E6">
        <w:rPr>
          <w:rFonts w:cs="Times New Roman"/>
          <w:b/>
        </w:rPr>
        <w:t>omes</w:t>
      </w:r>
    </w:p>
    <w:p w14:paraId="25F17472" w14:textId="2794B629" w:rsidR="00CA63C2" w:rsidRPr="004225BD" w:rsidRDefault="00323E0F" w:rsidP="00754E9B">
      <w:pPr>
        <w:pStyle w:val="NoSpacing"/>
        <w:numPr>
          <w:ilvl w:val="0"/>
          <w:numId w:val="17"/>
        </w:numPr>
        <w:rPr>
          <w:rFonts w:cs="Times New Roman"/>
          <w:b/>
        </w:rPr>
      </w:pPr>
      <w:r>
        <w:rPr>
          <w:rFonts w:cs="Times New Roman"/>
          <w:b/>
        </w:rPr>
        <w:t>Lead Safe Housing Rules</w:t>
      </w:r>
    </w:p>
    <w:p w14:paraId="182A7871" w14:textId="3C52181A" w:rsidR="004225BD" w:rsidRPr="004225BD" w:rsidRDefault="004A4769" w:rsidP="004A4769">
      <w:pPr>
        <w:pStyle w:val="NoSpacing"/>
        <w:numPr>
          <w:ilvl w:val="0"/>
          <w:numId w:val="17"/>
        </w:numPr>
        <w:rPr>
          <w:rFonts w:cs="Times New Roman"/>
          <w:b/>
        </w:rPr>
      </w:pPr>
      <w:r w:rsidRPr="004A4769">
        <w:rPr>
          <w:rFonts w:cs="Times New Roman"/>
          <w:b/>
        </w:rPr>
        <w:t>Permanent Housing Placement Accounting Guidelines</w:t>
      </w:r>
      <w:r w:rsidRPr="004A4769" w:rsidDel="004A4769">
        <w:rPr>
          <w:rFonts w:cs="Times New Roman"/>
          <w:b/>
        </w:rPr>
        <w:t xml:space="preserve"> </w:t>
      </w:r>
    </w:p>
    <w:p w14:paraId="39A71EC6" w14:textId="4171D5A8" w:rsidR="004225BD" w:rsidRPr="004225BD" w:rsidRDefault="004225BD" w:rsidP="00754E9B">
      <w:pPr>
        <w:pStyle w:val="NoSpacing"/>
        <w:numPr>
          <w:ilvl w:val="0"/>
          <w:numId w:val="17"/>
        </w:numPr>
        <w:rPr>
          <w:rFonts w:cs="Times New Roman"/>
          <w:b/>
        </w:rPr>
      </w:pPr>
      <w:r w:rsidRPr="004225BD">
        <w:rPr>
          <w:rFonts w:cs="Times New Roman"/>
          <w:b/>
        </w:rPr>
        <w:t>Permanent Housing Placement Application Form</w:t>
      </w:r>
    </w:p>
    <w:p w14:paraId="471E5B5B" w14:textId="09D5AA3A" w:rsidR="004225BD" w:rsidRPr="004225BD" w:rsidRDefault="004225BD" w:rsidP="00754E9B">
      <w:pPr>
        <w:pStyle w:val="NoSpacing"/>
        <w:numPr>
          <w:ilvl w:val="0"/>
          <w:numId w:val="17"/>
        </w:numPr>
        <w:rPr>
          <w:rFonts w:cs="Times New Roman"/>
          <w:b/>
        </w:rPr>
      </w:pPr>
      <w:r w:rsidRPr="004225BD">
        <w:rPr>
          <w:rFonts w:cs="Times New Roman"/>
          <w:b/>
        </w:rPr>
        <w:t>Project Sponsor Data Sheet</w:t>
      </w:r>
    </w:p>
    <w:p w14:paraId="31711E34" w14:textId="736C89DA" w:rsidR="00CA63C2" w:rsidRDefault="004225BD" w:rsidP="00754E9B">
      <w:pPr>
        <w:pStyle w:val="NoSpacing"/>
        <w:numPr>
          <w:ilvl w:val="0"/>
          <w:numId w:val="17"/>
        </w:numPr>
        <w:rPr>
          <w:rFonts w:cs="Times New Roman"/>
          <w:b/>
        </w:rPr>
      </w:pPr>
      <w:r w:rsidRPr="004225BD">
        <w:rPr>
          <w:rFonts w:cs="Times New Roman"/>
          <w:b/>
        </w:rPr>
        <w:t>Frequently Asked Questions</w:t>
      </w:r>
    </w:p>
    <w:p w14:paraId="70EFC2DD" w14:textId="1506891C" w:rsidR="00230030" w:rsidRDefault="00230030" w:rsidP="00230030">
      <w:pPr>
        <w:pStyle w:val="NoSpacing"/>
        <w:numPr>
          <w:ilvl w:val="0"/>
          <w:numId w:val="17"/>
        </w:numPr>
        <w:rPr>
          <w:rFonts w:cs="Times New Roman"/>
          <w:b/>
        </w:rPr>
      </w:pPr>
      <w:r w:rsidRPr="00230030">
        <w:rPr>
          <w:rFonts w:cs="Times New Roman"/>
          <w:b/>
        </w:rPr>
        <w:t>HIV Service Delivery Area (HSDA) Map and Counties</w:t>
      </w:r>
    </w:p>
    <w:p w14:paraId="5C3D4128" w14:textId="223E5B8C" w:rsidR="007D7F6A" w:rsidRDefault="00323E0F" w:rsidP="007D7F6A">
      <w:pPr>
        <w:pStyle w:val="NoSpacing"/>
        <w:numPr>
          <w:ilvl w:val="0"/>
          <w:numId w:val="17"/>
        </w:numPr>
        <w:rPr>
          <w:rFonts w:cs="Times New Roman"/>
          <w:b/>
        </w:rPr>
      </w:pPr>
      <w:r>
        <w:rPr>
          <w:rFonts w:cs="Times New Roman"/>
          <w:b/>
        </w:rPr>
        <w:t xml:space="preserve">Rental Assistance </w:t>
      </w:r>
      <w:r w:rsidR="007D7F6A" w:rsidRPr="007D7F6A">
        <w:rPr>
          <w:rFonts w:cs="Times New Roman"/>
          <w:b/>
        </w:rPr>
        <w:t>Instructions for Shared Housing Arrangements</w:t>
      </w:r>
    </w:p>
    <w:p w14:paraId="461E435A" w14:textId="77777777" w:rsidR="009E3DDE" w:rsidRDefault="009E3DDE" w:rsidP="009E3DDE">
      <w:pPr>
        <w:pStyle w:val="NoSpacing"/>
        <w:numPr>
          <w:ilvl w:val="0"/>
          <w:numId w:val="17"/>
        </w:numPr>
        <w:rPr>
          <w:rFonts w:cs="Times New Roman"/>
          <w:b/>
        </w:rPr>
      </w:pPr>
      <w:r>
        <w:rPr>
          <w:rFonts w:cs="Times New Roman"/>
          <w:b/>
        </w:rPr>
        <w:t>Tenant Lease Requirements</w:t>
      </w:r>
    </w:p>
    <w:p w14:paraId="79EF035A" w14:textId="2344A977" w:rsidR="009C6662" w:rsidRDefault="009C6662" w:rsidP="007D7F6A">
      <w:pPr>
        <w:pStyle w:val="NoSpacing"/>
        <w:numPr>
          <w:ilvl w:val="0"/>
          <w:numId w:val="17"/>
        </w:numPr>
        <w:rPr>
          <w:rFonts w:cs="Times New Roman"/>
          <w:b/>
        </w:rPr>
      </w:pPr>
      <w:r>
        <w:rPr>
          <w:rFonts w:cs="Times New Roman"/>
          <w:b/>
        </w:rPr>
        <w:t>Can I Pay this Owner?</w:t>
      </w:r>
    </w:p>
    <w:p w14:paraId="4DC8623B" w14:textId="0BD36508" w:rsidR="00560A75" w:rsidRPr="00CA63C2" w:rsidRDefault="00560A75" w:rsidP="007D7F6A">
      <w:pPr>
        <w:pStyle w:val="NoSpacing"/>
        <w:numPr>
          <w:ilvl w:val="0"/>
          <w:numId w:val="17"/>
        </w:numPr>
        <w:rPr>
          <w:rFonts w:cs="Times New Roman"/>
          <w:b/>
        </w:rPr>
      </w:pPr>
      <w:r>
        <w:rPr>
          <w:rFonts w:cs="Times New Roman"/>
          <w:b/>
        </w:rPr>
        <w:t>VAWA Requirements</w:t>
      </w:r>
      <w:r w:rsidR="00411429">
        <w:rPr>
          <w:rFonts w:cs="Times New Roman"/>
          <w:b/>
        </w:rPr>
        <w:t xml:space="preserve"> for Rental Assistance Services</w:t>
      </w:r>
    </w:p>
    <w:p w14:paraId="391AA3B6" w14:textId="4E074426" w:rsidR="004225BD" w:rsidRPr="004225BD" w:rsidRDefault="004225BD" w:rsidP="004225BD">
      <w:pPr>
        <w:pStyle w:val="NoSpacing"/>
        <w:rPr>
          <w:sz w:val="10"/>
        </w:rPr>
      </w:pPr>
      <w:r w:rsidRPr="004225BD">
        <w:rPr>
          <w:sz w:val="10"/>
        </w:rPr>
        <w:br w:type="page"/>
      </w:r>
    </w:p>
    <w:p w14:paraId="6875D4BE" w14:textId="77777777" w:rsidR="009C0E78" w:rsidRPr="004D594B" w:rsidRDefault="009C0E78" w:rsidP="009C0E78">
      <w:pPr>
        <w:pStyle w:val="Heading2"/>
        <w:jc w:val="center"/>
        <w:rPr>
          <w:rFonts w:asciiTheme="minorHAnsi" w:hAnsiTheme="minorHAnsi"/>
          <w:b/>
          <w:color w:val="auto"/>
          <w:sz w:val="22"/>
          <w:szCs w:val="22"/>
        </w:rPr>
      </w:pPr>
      <w:bookmarkStart w:id="63" w:name="_Toc140755486"/>
      <w:r w:rsidRPr="004D594B">
        <w:rPr>
          <w:rFonts w:asciiTheme="minorHAnsi" w:hAnsiTheme="minorHAnsi"/>
          <w:b/>
          <w:color w:val="auto"/>
          <w:sz w:val="22"/>
          <w:szCs w:val="22"/>
        </w:rPr>
        <w:lastRenderedPageBreak/>
        <w:t>Appendix A: Using HOPWA Housing Assistance for Mobile Homes</w:t>
      </w:r>
      <w:bookmarkEnd w:id="63"/>
    </w:p>
    <w:p w14:paraId="0B6F5CEF" w14:textId="77777777" w:rsidR="009C0E78" w:rsidRPr="009C0E78" w:rsidRDefault="009C0E78" w:rsidP="009C0E78">
      <w:pPr>
        <w:pStyle w:val="NoSpacing"/>
        <w:jc w:val="center"/>
        <w:rPr>
          <w:rFonts w:cs="Times New Roman"/>
          <w:i/>
          <w:sz w:val="16"/>
        </w:rPr>
      </w:pPr>
      <w:r w:rsidRPr="009C0E78">
        <w:rPr>
          <w:rFonts w:cs="Times New Roman"/>
          <w:i/>
          <w:sz w:val="16"/>
        </w:rPr>
        <w:t>(Source: HUD Notice 03-05; Guidance on Manufactured Housing under the HOME Program)</w:t>
      </w:r>
    </w:p>
    <w:p w14:paraId="366BFDA2" w14:textId="77777777" w:rsidR="009C0E78" w:rsidRPr="009C0E78" w:rsidRDefault="009C0E78" w:rsidP="004225BD">
      <w:pPr>
        <w:pStyle w:val="NoSpacing"/>
        <w:rPr>
          <w:rFonts w:cs="Times New Roman"/>
          <w:sz w:val="16"/>
        </w:rPr>
      </w:pPr>
    </w:p>
    <w:p w14:paraId="42B7A150" w14:textId="2E8FD6E9" w:rsidR="00BD2879" w:rsidRDefault="00BD2879" w:rsidP="004225BD">
      <w:pPr>
        <w:pStyle w:val="NoSpacing"/>
        <w:rPr>
          <w:rFonts w:cs="Times New Roman"/>
        </w:rPr>
      </w:pPr>
      <w:r>
        <w:rPr>
          <w:rFonts w:cs="Times New Roman"/>
        </w:rPr>
        <w:t xml:space="preserve">HUD’s Office of HIV/AIDS Housing has determined that </w:t>
      </w:r>
      <w:r w:rsidR="007057AB">
        <w:rPr>
          <w:rFonts w:cs="Times New Roman"/>
        </w:rPr>
        <w:t xml:space="preserve">Project Sponsors may refer to </w:t>
      </w:r>
      <w:r>
        <w:rPr>
          <w:rFonts w:cs="Times New Roman"/>
        </w:rPr>
        <w:t>HOME</w:t>
      </w:r>
      <w:r w:rsidRPr="00BD2879">
        <w:rPr>
          <w:rFonts w:cs="Times New Roman"/>
        </w:rPr>
        <w:t xml:space="preserve"> Investment Partnership Program (HOME) guidelines </w:t>
      </w:r>
      <w:r w:rsidR="007057AB">
        <w:rPr>
          <w:rFonts w:cs="Times New Roman"/>
        </w:rPr>
        <w:t>when using</w:t>
      </w:r>
      <w:r w:rsidRPr="00BD2879">
        <w:rPr>
          <w:rFonts w:cs="Times New Roman"/>
        </w:rPr>
        <w:t xml:space="preserve"> HOPWA funds for manufactured home rental and mortgage payments.</w:t>
      </w:r>
    </w:p>
    <w:p w14:paraId="19B452A1" w14:textId="77777777" w:rsidR="00BD2879" w:rsidRDefault="00BD2879" w:rsidP="004225BD">
      <w:pPr>
        <w:pStyle w:val="NoSpacing"/>
        <w:rPr>
          <w:rFonts w:cs="Times New Roman"/>
        </w:rPr>
      </w:pPr>
    </w:p>
    <w:p w14:paraId="5B59ADB5" w14:textId="5F62953C" w:rsidR="00BD2879" w:rsidRDefault="00D61A88" w:rsidP="004225BD">
      <w:pPr>
        <w:pStyle w:val="NoSpacing"/>
        <w:rPr>
          <w:rFonts w:cs="Times New Roman"/>
        </w:rPr>
      </w:pPr>
      <w:r>
        <w:rPr>
          <w:rFonts w:cs="Times New Roman"/>
        </w:rPr>
        <w:t xml:space="preserve">Project Sponsors may provide </w:t>
      </w:r>
      <w:r w:rsidR="00BD2879">
        <w:rPr>
          <w:rFonts w:cs="Times New Roman"/>
        </w:rPr>
        <w:t>TBRA and STRMU services</w:t>
      </w:r>
      <w:r w:rsidR="00BD2879" w:rsidRPr="00BD2879">
        <w:rPr>
          <w:rFonts w:cs="Times New Roman"/>
        </w:rPr>
        <w:t xml:space="preserve"> to households </w:t>
      </w:r>
      <w:r w:rsidR="008945AD">
        <w:rPr>
          <w:rFonts w:cs="Times New Roman"/>
        </w:rPr>
        <w:t>that</w:t>
      </w:r>
      <w:r w:rsidR="008945AD" w:rsidRPr="00BD2879">
        <w:rPr>
          <w:rFonts w:cs="Times New Roman"/>
        </w:rPr>
        <w:t xml:space="preserve"> </w:t>
      </w:r>
      <w:r w:rsidR="00BD2879" w:rsidRPr="00BD2879">
        <w:rPr>
          <w:rFonts w:cs="Times New Roman"/>
        </w:rPr>
        <w:t xml:space="preserve">live in mobile homes, trailers, and motor homes, in some situations. </w:t>
      </w:r>
      <w:r w:rsidR="005B5D1D">
        <w:rPr>
          <w:rFonts w:cs="Times New Roman"/>
        </w:rPr>
        <w:t xml:space="preserve">Additionally, </w:t>
      </w:r>
      <w:r w:rsidR="00BD2879">
        <w:rPr>
          <w:rFonts w:cs="Times New Roman"/>
        </w:rPr>
        <w:t xml:space="preserve">PHP </w:t>
      </w:r>
      <w:r w:rsidR="00E15F4A">
        <w:rPr>
          <w:rFonts w:cs="Times New Roman"/>
        </w:rPr>
        <w:t>can help households access, secure, and</w:t>
      </w:r>
      <w:r w:rsidR="00BD2879">
        <w:rPr>
          <w:rFonts w:cs="Times New Roman"/>
        </w:rPr>
        <w:t xml:space="preserve"> establish permanent residence in a mobile home</w:t>
      </w:r>
      <w:r w:rsidR="00E15F4A">
        <w:rPr>
          <w:rFonts w:cs="Times New Roman"/>
        </w:rPr>
        <w:t>, maintained either on their own or with the help of ongoing rental assistance.</w:t>
      </w:r>
      <w:r w:rsidR="00BD2879">
        <w:rPr>
          <w:rFonts w:cs="Times New Roman"/>
        </w:rPr>
        <w:t xml:space="preserve"> </w:t>
      </w:r>
      <w:r w:rsidR="00CC62DA">
        <w:rPr>
          <w:rFonts w:cs="Times New Roman"/>
        </w:rPr>
        <w:t>HUD permits such payments</w:t>
      </w:r>
      <w:r w:rsidR="00BD2879" w:rsidRPr="00BD2879">
        <w:rPr>
          <w:rFonts w:cs="Times New Roman"/>
        </w:rPr>
        <w:t xml:space="preserve"> in accordance with guidance established for the HOME Affordable Housing program in </w:t>
      </w:r>
      <w:hyperlink r:id="rId154" w:history="1">
        <w:r w:rsidR="00BD2879" w:rsidRPr="00345A11">
          <w:rPr>
            <w:rStyle w:val="Hyperlink"/>
            <w:rFonts w:cs="Times New Roman"/>
          </w:rPr>
          <w:t>HUD CPD Notice 03-05</w:t>
        </w:r>
      </w:hyperlink>
      <w:r w:rsidR="00BD2879" w:rsidRPr="00BD2879">
        <w:rPr>
          <w:rFonts w:cs="Times New Roman"/>
        </w:rPr>
        <w:t xml:space="preserve">. </w:t>
      </w:r>
      <w:r w:rsidR="00713A91">
        <w:rPr>
          <w:rFonts w:cs="Times New Roman"/>
        </w:rPr>
        <w:t>This notice classifies</w:t>
      </w:r>
      <w:r w:rsidR="00BD2879" w:rsidRPr="00BD2879">
        <w:rPr>
          <w:rFonts w:cs="Times New Roman"/>
        </w:rPr>
        <w:t xml:space="preserve"> mobile homes, motor homes, trailers, recreational vehicles, and other like vehicles with wheels on the ground, capable of relocating and not attached to the earth</w:t>
      </w:r>
      <w:r w:rsidR="00713A91">
        <w:rPr>
          <w:rFonts w:cs="Times New Roman"/>
        </w:rPr>
        <w:t xml:space="preserve"> as </w:t>
      </w:r>
      <w:r w:rsidR="00BD2879" w:rsidRPr="00BD2879">
        <w:rPr>
          <w:rFonts w:cs="Times New Roman"/>
        </w:rPr>
        <w:t>personal property</w:t>
      </w:r>
      <w:r w:rsidR="00713A91">
        <w:rPr>
          <w:rFonts w:cs="Times New Roman"/>
        </w:rPr>
        <w:t xml:space="preserve">, making them </w:t>
      </w:r>
      <w:r w:rsidR="00BD2879" w:rsidRPr="00BD2879">
        <w:rPr>
          <w:rFonts w:cs="Times New Roman"/>
        </w:rPr>
        <w:t xml:space="preserve">unqualified for </w:t>
      </w:r>
      <w:r w:rsidR="00BD2879">
        <w:rPr>
          <w:rFonts w:cs="Times New Roman"/>
        </w:rPr>
        <w:t>housing assistance</w:t>
      </w:r>
      <w:r w:rsidR="00BD2879" w:rsidRPr="00BD2879">
        <w:rPr>
          <w:rFonts w:cs="Times New Roman"/>
        </w:rPr>
        <w:t xml:space="preserve">. HOME guidance considers units attached to the earth </w:t>
      </w:r>
      <w:r w:rsidR="001B78E7">
        <w:rPr>
          <w:rFonts w:cs="Times New Roman"/>
        </w:rPr>
        <w:t>a</w:t>
      </w:r>
      <w:r w:rsidR="00BD2879" w:rsidRPr="00BD2879">
        <w:rPr>
          <w:rFonts w:cs="Times New Roman"/>
        </w:rPr>
        <w:t>s "</w:t>
      </w:r>
      <w:r w:rsidR="001B78E7" w:rsidRPr="00BD2879">
        <w:rPr>
          <w:rFonts w:cs="Times New Roman"/>
        </w:rPr>
        <w:t>r</w:t>
      </w:r>
      <w:r w:rsidR="001B78E7">
        <w:rPr>
          <w:rFonts w:cs="Times New Roman"/>
        </w:rPr>
        <w:t>e</w:t>
      </w:r>
      <w:r w:rsidR="001B78E7" w:rsidRPr="00BD2879">
        <w:rPr>
          <w:rFonts w:cs="Times New Roman"/>
        </w:rPr>
        <w:t>al</w:t>
      </w:r>
      <w:r w:rsidR="00BD2879" w:rsidRPr="00BD2879">
        <w:rPr>
          <w:rFonts w:cs="Times New Roman"/>
        </w:rPr>
        <w:t>" property (as in real estate). Such units must also be connected to permanent utilities and meet local guidelines for mobile home housing. Households residing in attached real property mobile homes that connect to utilities and meet local guidelines qualif</w:t>
      </w:r>
      <w:r w:rsidR="00CC62DA">
        <w:rPr>
          <w:rFonts w:cs="Times New Roman"/>
        </w:rPr>
        <w:t>y</w:t>
      </w:r>
      <w:r w:rsidR="00BD2879" w:rsidRPr="00BD2879">
        <w:rPr>
          <w:rFonts w:cs="Times New Roman"/>
        </w:rPr>
        <w:t xml:space="preserve"> for </w:t>
      </w:r>
      <w:r w:rsidR="00BD2879">
        <w:rPr>
          <w:rFonts w:cs="Times New Roman"/>
        </w:rPr>
        <w:t>housing assistance</w:t>
      </w:r>
      <w:r w:rsidR="00BD2879" w:rsidRPr="00BD2879">
        <w:rPr>
          <w:rFonts w:cs="Times New Roman"/>
        </w:rPr>
        <w:t xml:space="preserve">. </w:t>
      </w:r>
      <w:r w:rsidR="00CC62DA">
        <w:rPr>
          <w:rFonts w:cs="Times New Roman"/>
        </w:rPr>
        <w:t xml:space="preserve">Project Sponsors may </w:t>
      </w:r>
      <w:r w:rsidR="00461AE2">
        <w:rPr>
          <w:rFonts w:cs="Times New Roman"/>
        </w:rPr>
        <w:t xml:space="preserve">assist with </w:t>
      </w:r>
      <w:r w:rsidR="00461AE2" w:rsidRPr="00BD2879">
        <w:rPr>
          <w:rFonts w:cs="Times New Roman"/>
        </w:rPr>
        <w:t xml:space="preserve">mobile home park </w:t>
      </w:r>
      <w:r w:rsidR="00461AE2">
        <w:rPr>
          <w:rFonts w:cs="Times New Roman"/>
        </w:rPr>
        <w:t>s</w:t>
      </w:r>
      <w:r w:rsidR="00BD2879" w:rsidRPr="00BD2879">
        <w:rPr>
          <w:rFonts w:cs="Times New Roman"/>
        </w:rPr>
        <w:t>pace rental costs if included in the unit rent.</w:t>
      </w:r>
    </w:p>
    <w:p w14:paraId="1A69F07E" w14:textId="77777777" w:rsidR="00BD2879" w:rsidRDefault="00BD2879" w:rsidP="004225BD">
      <w:pPr>
        <w:pStyle w:val="NoSpacing"/>
        <w:rPr>
          <w:rFonts w:cs="Times New Roman"/>
        </w:rPr>
      </w:pPr>
    </w:p>
    <w:p w14:paraId="2680CD84" w14:textId="5FD34CAB" w:rsidR="004225BD" w:rsidRPr="00CA63C2" w:rsidRDefault="00BD2879" w:rsidP="004225BD">
      <w:pPr>
        <w:pStyle w:val="NoSpacing"/>
        <w:rPr>
          <w:rFonts w:cs="Times New Roman"/>
          <w:b/>
          <w:u w:val="single"/>
        </w:rPr>
      </w:pPr>
      <w:r w:rsidRPr="00CA63C2">
        <w:rPr>
          <w:rFonts w:cs="Times New Roman"/>
          <w:b/>
          <w:u w:val="single"/>
        </w:rPr>
        <w:t xml:space="preserve">HUD </w:t>
      </w:r>
      <w:r w:rsidR="00345A11">
        <w:rPr>
          <w:rFonts w:cs="Times New Roman"/>
          <w:b/>
          <w:u w:val="single"/>
        </w:rPr>
        <w:t xml:space="preserve">CPD </w:t>
      </w:r>
      <w:r w:rsidRPr="00CA63C2">
        <w:rPr>
          <w:rFonts w:cs="Times New Roman"/>
          <w:b/>
          <w:u w:val="single"/>
        </w:rPr>
        <w:t>Notice 03-05</w:t>
      </w:r>
      <w:r w:rsidR="004D5CDF">
        <w:rPr>
          <w:rFonts w:cs="Times New Roman"/>
          <w:b/>
          <w:u w:val="single"/>
        </w:rPr>
        <w:t>:</w:t>
      </w:r>
      <w:r w:rsidRPr="00CA63C2">
        <w:rPr>
          <w:rFonts w:cs="Times New Roman"/>
          <w:b/>
          <w:u w:val="single"/>
        </w:rPr>
        <w:t xml:space="preserve"> </w:t>
      </w:r>
      <w:r w:rsidR="004225BD" w:rsidRPr="00CA63C2">
        <w:rPr>
          <w:rFonts w:cs="Times New Roman"/>
          <w:b/>
          <w:u w:val="single"/>
        </w:rPr>
        <w:t>Guidance on Manufactured Housing under the HOME Program</w:t>
      </w:r>
    </w:p>
    <w:p w14:paraId="12F87456" w14:textId="071FCD42" w:rsidR="004225BD" w:rsidRPr="00CA63C2" w:rsidRDefault="00CA63C2" w:rsidP="004225BD">
      <w:pPr>
        <w:pStyle w:val="NoSpacing"/>
        <w:rPr>
          <w:rFonts w:cs="Times New Roman"/>
          <w:b/>
        </w:rPr>
      </w:pPr>
      <w:r w:rsidRPr="00CA63C2">
        <w:rPr>
          <w:rFonts w:cs="Times New Roman"/>
          <w:b/>
        </w:rPr>
        <w:t xml:space="preserve">Section III. </w:t>
      </w:r>
      <w:r w:rsidR="004225BD" w:rsidRPr="00CA63C2">
        <w:rPr>
          <w:rFonts w:cs="Times New Roman"/>
          <w:b/>
        </w:rPr>
        <w:t>Background and Eligible Activities</w:t>
      </w:r>
    </w:p>
    <w:p w14:paraId="1278C9C7" w14:textId="0F1D1099" w:rsidR="004225BD" w:rsidRPr="00BD2879" w:rsidRDefault="004225BD" w:rsidP="004225BD">
      <w:pPr>
        <w:pStyle w:val="NoSpacing"/>
        <w:rPr>
          <w:rFonts w:cs="Times New Roman"/>
        </w:rPr>
      </w:pPr>
      <w:r w:rsidRPr="00BD2879">
        <w:rPr>
          <w:rFonts w:cs="Times New Roman"/>
        </w:rPr>
        <w:t xml:space="preserve">Manufactured homes and manufactured housing lots (also called “homesites” in this Notice) qualify as </w:t>
      </w:r>
      <w:r w:rsidR="00CA63C2">
        <w:rPr>
          <w:rFonts w:cs="Times New Roman"/>
        </w:rPr>
        <w:t xml:space="preserve">housing under the HOME Program. </w:t>
      </w:r>
      <w:r w:rsidRPr="00BD2879">
        <w:rPr>
          <w:rFonts w:cs="Times New Roman"/>
        </w:rPr>
        <w:t>A manufactured home is defined as “a structure, transportable in one or more sections which, in the traveling mode, is eight body feet or more in width or forty body feet or more in length, or, when erected on site, is three hundred twenty or more square feet, and which is built on a permanent chassis and designed to be used as a dwelling with or without a permanent foundation when connected to the required utilities, and includes the plumbing, heating, air-conditioning, and electri</w:t>
      </w:r>
      <w:r w:rsidR="00CA63C2">
        <w:rPr>
          <w:rFonts w:cs="Times New Roman"/>
        </w:rPr>
        <w:t xml:space="preserve">cal systems contained therein.” </w:t>
      </w:r>
      <w:r w:rsidRPr="00BD2879">
        <w:rPr>
          <w:rFonts w:cs="Times New Roman"/>
        </w:rPr>
        <w:t>A mobile home is a manufactured home.</w:t>
      </w:r>
      <w:r w:rsidR="00CA63C2">
        <w:rPr>
          <w:rFonts w:cs="Times New Roman"/>
        </w:rPr>
        <w:t xml:space="preserve"> </w:t>
      </w:r>
      <w:r w:rsidRPr="00BD2879">
        <w:rPr>
          <w:rFonts w:cs="Times New Roman"/>
        </w:rPr>
        <w:t>“Mobile home” and “trailer” were commonly used terms before 1976 when Congress adopted legislation using the term “manufactured home” to take their place.</w:t>
      </w:r>
      <w:r w:rsidR="00CA63C2">
        <w:rPr>
          <w:rFonts w:cs="Times New Roman"/>
        </w:rPr>
        <w:t xml:space="preserve"> </w:t>
      </w:r>
      <w:r w:rsidRPr="00BD2879">
        <w:rPr>
          <w:rFonts w:cs="Times New Roman"/>
        </w:rPr>
        <w:t xml:space="preserve">This Notice uses the term manufactured home to refer to all types of non-motorized manufactured housing units (thus excluding recreational vehicles) </w:t>
      </w:r>
      <w:r w:rsidR="00D100D0">
        <w:rPr>
          <w:rFonts w:cs="Times New Roman"/>
        </w:rPr>
        <w:t>as defined</w:t>
      </w:r>
      <w:r w:rsidRPr="00BD2879">
        <w:rPr>
          <w:rFonts w:cs="Times New Roman"/>
        </w:rPr>
        <w:t xml:space="preserve"> in 24 CFR </w:t>
      </w:r>
      <w:r w:rsidR="00CA63C2" w:rsidRPr="00520004">
        <w:rPr>
          <w:rFonts w:cs="Times New Roman"/>
        </w:rPr>
        <w:t>§</w:t>
      </w:r>
      <w:r w:rsidRPr="00BD2879">
        <w:rPr>
          <w:rFonts w:cs="Times New Roman"/>
        </w:rPr>
        <w:t>3280.2.</w:t>
      </w:r>
    </w:p>
    <w:p w14:paraId="3EE197BB" w14:textId="77777777" w:rsidR="004225BD" w:rsidRPr="00BD2879" w:rsidRDefault="004225BD" w:rsidP="004225BD">
      <w:pPr>
        <w:pStyle w:val="NoSpacing"/>
        <w:rPr>
          <w:rFonts w:cs="Times New Roman"/>
        </w:rPr>
      </w:pPr>
    </w:p>
    <w:p w14:paraId="5891209C" w14:textId="1C858F68" w:rsidR="004225BD" w:rsidRPr="00CA63C2" w:rsidRDefault="00CA63C2" w:rsidP="004225BD">
      <w:pPr>
        <w:pStyle w:val="NoSpacing"/>
        <w:rPr>
          <w:rFonts w:cs="Times New Roman"/>
          <w:b/>
        </w:rPr>
      </w:pPr>
      <w:r w:rsidRPr="00CA63C2">
        <w:rPr>
          <w:rFonts w:cs="Times New Roman"/>
          <w:b/>
        </w:rPr>
        <w:t>Section IV. Utility Hook-U</w:t>
      </w:r>
      <w:r w:rsidR="004225BD" w:rsidRPr="00CA63C2">
        <w:rPr>
          <w:rFonts w:cs="Times New Roman"/>
          <w:b/>
        </w:rPr>
        <w:t>p and the Homesite</w:t>
      </w:r>
    </w:p>
    <w:p w14:paraId="09A8B48D" w14:textId="48DAEA6C" w:rsidR="004225BD" w:rsidRPr="00BD2879" w:rsidRDefault="004225BD" w:rsidP="004225BD">
      <w:pPr>
        <w:pStyle w:val="NoSpacing"/>
        <w:rPr>
          <w:rFonts w:cs="Times New Roman"/>
        </w:rPr>
      </w:pPr>
      <w:r w:rsidRPr="00BD2879">
        <w:rPr>
          <w:rFonts w:cs="Times New Roman"/>
        </w:rPr>
        <w:t>The HOME regulation</w:t>
      </w:r>
      <w:r w:rsidR="00573BB5">
        <w:rPr>
          <w:rFonts w:cs="Times New Roman"/>
        </w:rPr>
        <w:t>s (</w:t>
      </w:r>
      <w:r w:rsidR="00D100D0" w:rsidRPr="00BD2879">
        <w:rPr>
          <w:rFonts w:cs="Times New Roman"/>
        </w:rPr>
        <w:t xml:space="preserve">24 CFR </w:t>
      </w:r>
      <w:r w:rsidRPr="00BD2879">
        <w:rPr>
          <w:rFonts w:cs="Times New Roman"/>
        </w:rPr>
        <w:t>§92.205(a)(4)</w:t>
      </w:r>
      <w:r w:rsidR="00573BB5">
        <w:rPr>
          <w:rFonts w:cs="Times New Roman"/>
        </w:rPr>
        <w:t>)</w:t>
      </w:r>
      <w:r w:rsidRPr="00BD2879">
        <w:rPr>
          <w:rFonts w:cs="Times New Roman"/>
        </w:rPr>
        <w:t xml:space="preserve"> require manufactured homes assisted with HOME funds (except for existing, owner-occupied manufactured homes that are rehabilitated with HOME funds) to be connected to permanent utility hookups.</w:t>
      </w:r>
      <w:r w:rsidR="00CA63C2">
        <w:rPr>
          <w:rFonts w:cs="Times New Roman"/>
        </w:rPr>
        <w:t xml:space="preserve"> </w:t>
      </w:r>
      <w:r w:rsidRPr="00BD2879">
        <w:rPr>
          <w:rFonts w:cs="Times New Roman"/>
        </w:rPr>
        <w:t xml:space="preserve">The HOME regulations also require the manufactured home to be located on land that is owned by the manufactured </w:t>
      </w:r>
      <w:proofErr w:type="gramStart"/>
      <w:r w:rsidRPr="00BD2879">
        <w:rPr>
          <w:rFonts w:cs="Times New Roman"/>
        </w:rPr>
        <w:t>home owner</w:t>
      </w:r>
      <w:proofErr w:type="gramEnd"/>
      <w:r w:rsidRPr="00BD2879">
        <w:rPr>
          <w:rFonts w:cs="Times New Roman"/>
        </w:rPr>
        <w:t xml:space="preserve"> or on land for which the manufactured home owner has a lea</w:t>
      </w:r>
      <w:r w:rsidR="00CA63C2">
        <w:rPr>
          <w:rFonts w:cs="Times New Roman"/>
        </w:rPr>
        <w:t>se such as, a mobile home park.</w:t>
      </w:r>
    </w:p>
    <w:p w14:paraId="2823304F" w14:textId="77777777" w:rsidR="004225BD" w:rsidRPr="00BD2879" w:rsidRDefault="004225BD" w:rsidP="004225BD">
      <w:pPr>
        <w:pStyle w:val="NoSpacing"/>
        <w:rPr>
          <w:rFonts w:cs="Times New Roman"/>
        </w:rPr>
      </w:pPr>
    </w:p>
    <w:p w14:paraId="69010B2E" w14:textId="05AC884B" w:rsidR="004225BD" w:rsidRPr="00CA63C2" w:rsidRDefault="00CA63C2" w:rsidP="004225BD">
      <w:pPr>
        <w:pStyle w:val="NoSpacing"/>
        <w:rPr>
          <w:rFonts w:cs="Times New Roman"/>
          <w:b/>
        </w:rPr>
      </w:pPr>
      <w:r>
        <w:rPr>
          <w:rFonts w:cs="Times New Roman"/>
          <w:b/>
        </w:rPr>
        <w:t xml:space="preserve">Section V. </w:t>
      </w:r>
      <w:r w:rsidR="004225BD" w:rsidRPr="00CA63C2">
        <w:rPr>
          <w:rFonts w:cs="Times New Roman"/>
          <w:b/>
        </w:rPr>
        <w:t>Permanent Foundations</w:t>
      </w:r>
    </w:p>
    <w:p w14:paraId="07CE4724" w14:textId="79FC4873" w:rsidR="004225BD" w:rsidRDefault="004225BD" w:rsidP="004225BD">
      <w:pPr>
        <w:pStyle w:val="NoSpacing"/>
        <w:rPr>
          <w:rFonts w:cs="Times New Roman"/>
        </w:rPr>
      </w:pPr>
      <w:r w:rsidRPr="00BD2879">
        <w:rPr>
          <w:rFonts w:cs="Times New Roman"/>
        </w:rPr>
        <w:t xml:space="preserve">The manufactured home regulations (24 CFR </w:t>
      </w:r>
      <w:r w:rsidR="00CA63C2" w:rsidRPr="00520004">
        <w:rPr>
          <w:rFonts w:cs="Times New Roman"/>
        </w:rPr>
        <w:t>§</w:t>
      </w:r>
      <w:r w:rsidRPr="00BD2879">
        <w:rPr>
          <w:rFonts w:cs="Times New Roman"/>
        </w:rPr>
        <w:t>3282.12) define a site-built permanent foundation as “a system of supports, including piers, either partially or entirely below grade,” and that meets the criteria as further defined in §3282.12.</w:t>
      </w:r>
      <w:r w:rsidR="00CA63C2">
        <w:rPr>
          <w:rFonts w:cs="Times New Roman"/>
        </w:rPr>
        <w:t xml:space="preserve"> </w:t>
      </w:r>
      <w:r w:rsidRPr="00BD2879">
        <w:rPr>
          <w:rFonts w:cs="Times New Roman"/>
        </w:rPr>
        <w:t xml:space="preserve">HUD Handbook </w:t>
      </w:r>
      <w:proofErr w:type="spellStart"/>
      <w:r w:rsidRPr="00BD2879">
        <w:rPr>
          <w:rFonts w:cs="Times New Roman"/>
        </w:rPr>
        <w:t>4930.3G</w:t>
      </w:r>
      <w:proofErr w:type="spellEnd"/>
      <w:r w:rsidRPr="00BD2879">
        <w:rPr>
          <w:rFonts w:cs="Times New Roman"/>
        </w:rPr>
        <w:t>, Permanent Foundations Guide for Manufactured Housing, further defines a permanent foundation as one that “must be constructed of durable materials at the site, with attachment points to</w:t>
      </w:r>
      <w:r w:rsidR="00CA63C2">
        <w:rPr>
          <w:rFonts w:cs="Times New Roman"/>
        </w:rPr>
        <w:t xml:space="preserve"> receive a manufactured home.” O</w:t>
      </w:r>
      <w:r w:rsidRPr="00BD2879">
        <w:rPr>
          <w:rFonts w:cs="Times New Roman"/>
        </w:rPr>
        <w:t>nce the manufactured home is set on a permanent foundation, it is treated as real property and ownership then is evidenced through title to the real propert</w:t>
      </w:r>
      <w:r w:rsidR="00CA63C2">
        <w:rPr>
          <w:rFonts w:cs="Times New Roman"/>
        </w:rPr>
        <w:t>y, therefore eligible for housing</w:t>
      </w:r>
      <w:r w:rsidRPr="00BD2879">
        <w:rPr>
          <w:rFonts w:cs="Times New Roman"/>
        </w:rPr>
        <w:t xml:space="preserve"> assistance.</w:t>
      </w:r>
      <w:r w:rsidR="00CA63C2">
        <w:rPr>
          <w:rFonts w:cs="Times New Roman"/>
        </w:rPr>
        <w:t xml:space="preserve"> </w:t>
      </w:r>
      <w:r w:rsidRPr="00BD2879">
        <w:rPr>
          <w:rFonts w:cs="Times New Roman"/>
        </w:rPr>
        <w:t>The HOME final rule published on September 16, 1996, eliminated the requirement that HOME-assisted manufactured housing units rest upon a permanent foundation.</w:t>
      </w:r>
    </w:p>
    <w:p w14:paraId="7D5850EC" w14:textId="11601E68" w:rsidR="00CA63C2" w:rsidRPr="00CA63C2" w:rsidRDefault="00CA63C2" w:rsidP="00CA63C2">
      <w:pPr>
        <w:pStyle w:val="NoSpacing"/>
        <w:rPr>
          <w:sz w:val="10"/>
        </w:rPr>
      </w:pPr>
    </w:p>
    <w:p w14:paraId="7001D3B1" w14:textId="77777777" w:rsidR="00B51172" w:rsidRDefault="00B51172" w:rsidP="009C0E78">
      <w:pPr>
        <w:pStyle w:val="Heading2"/>
        <w:jc w:val="center"/>
        <w:rPr>
          <w:rFonts w:asciiTheme="minorHAnsi" w:hAnsiTheme="minorHAnsi"/>
          <w:b/>
          <w:color w:val="auto"/>
          <w:sz w:val="22"/>
          <w:szCs w:val="22"/>
        </w:rPr>
        <w:sectPr w:rsidR="00B51172" w:rsidSect="00ED208F">
          <w:pgSz w:w="12240" w:h="15840"/>
          <w:pgMar w:top="720" w:right="720" w:bottom="720" w:left="720" w:header="504" w:footer="504" w:gutter="0"/>
          <w:pgBorders w:offsetFrom="page">
            <w:top w:val="single" w:sz="4" w:space="24" w:color="BFBFBF" w:themeColor="background1" w:themeShade="BF"/>
            <w:left w:val="single" w:sz="4" w:space="24" w:color="BFBFBF" w:themeColor="background1" w:themeShade="BF"/>
            <w:bottom w:val="single" w:sz="4" w:space="24" w:color="BFBFBF" w:themeColor="background1" w:themeShade="BF"/>
            <w:right w:val="single" w:sz="4" w:space="24" w:color="BFBFBF" w:themeColor="background1" w:themeShade="BF"/>
          </w:pgBorders>
          <w:cols w:space="720"/>
          <w:docGrid w:linePitch="360"/>
        </w:sectPr>
      </w:pPr>
    </w:p>
    <w:p w14:paraId="22B3AC28" w14:textId="56FC34F3" w:rsidR="009C0E78" w:rsidRPr="004D594B" w:rsidRDefault="009C0E78" w:rsidP="009C0E78">
      <w:pPr>
        <w:pStyle w:val="Heading2"/>
        <w:jc w:val="center"/>
        <w:rPr>
          <w:rFonts w:asciiTheme="minorHAnsi" w:hAnsiTheme="minorHAnsi"/>
          <w:b/>
          <w:color w:val="auto"/>
          <w:sz w:val="22"/>
          <w:szCs w:val="22"/>
        </w:rPr>
      </w:pPr>
      <w:bookmarkStart w:id="64" w:name="_Toc140755487"/>
      <w:r w:rsidRPr="004D594B">
        <w:rPr>
          <w:rFonts w:asciiTheme="minorHAnsi" w:hAnsiTheme="minorHAnsi"/>
          <w:b/>
          <w:color w:val="auto"/>
          <w:sz w:val="22"/>
          <w:szCs w:val="22"/>
        </w:rPr>
        <w:lastRenderedPageBreak/>
        <w:t xml:space="preserve">Appendix B: </w:t>
      </w:r>
      <w:r w:rsidR="00714248">
        <w:rPr>
          <w:rFonts w:asciiTheme="minorHAnsi" w:hAnsiTheme="minorHAnsi"/>
          <w:b/>
          <w:color w:val="auto"/>
          <w:sz w:val="22"/>
          <w:szCs w:val="22"/>
        </w:rPr>
        <w:t>Lead</w:t>
      </w:r>
      <w:r w:rsidR="00BA66D9">
        <w:rPr>
          <w:rFonts w:asciiTheme="minorHAnsi" w:hAnsiTheme="minorHAnsi"/>
          <w:b/>
          <w:color w:val="auto"/>
          <w:sz w:val="22"/>
          <w:szCs w:val="22"/>
        </w:rPr>
        <w:t xml:space="preserve"> Safe Housing Rules</w:t>
      </w:r>
      <w:bookmarkEnd w:id="64"/>
    </w:p>
    <w:p w14:paraId="65ED8724" w14:textId="6CFBE30F" w:rsidR="009C0E78" w:rsidRPr="009C0E78" w:rsidRDefault="009C0E78" w:rsidP="009C0E78">
      <w:pPr>
        <w:pStyle w:val="NoSpacing"/>
        <w:jc w:val="center"/>
        <w:rPr>
          <w:rFonts w:cs="Times New Roman"/>
          <w:i/>
          <w:sz w:val="16"/>
        </w:rPr>
      </w:pPr>
      <w:r w:rsidRPr="009C0E78">
        <w:rPr>
          <w:rFonts w:cs="Times New Roman"/>
          <w:i/>
          <w:sz w:val="16"/>
        </w:rPr>
        <w:t>(Source: 24 CFR §</w:t>
      </w:r>
      <w:r w:rsidR="009D4F7F">
        <w:rPr>
          <w:rFonts w:cs="Times New Roman"/>
          <w:i/>
          <w:sz w:val="16"/>
        </w:rPr>
        <w:t>35</w:t>
      </w:r>
      <w:r w:rsidR="002038EB">
        <w:rPr>
          <w:rFonts w:cs="Times New Roman"/>
          <w:i/>
          <w:sz w:val="16"/>
        </w:rPr>
        <w:t>.</w:t>
      </w:r>
      <w:r w:rsidR="0081207E">
        <w:rPr>
          <w:rFonts w:cs="Times New Roman"/>
          <w:i/>
          <w:sz w:val="16"/>
        </w:rPr>
        <w:t xml:space="preserve"> </w:t>
      </w:r>
      <w:hyperlink r:id="rId155" w:history="1">
        <w:r w:rsidR="0081207E" w:rsidRPr="0081207E">
          <w:rPr>
            <w:rStyle w:val="Hyperlink"/>
            <w:rFonts w:cs="Times New Roman"/>
            <w:i/>
            <w:sz w:val="16"/>
          </w:rPr>
          <w:t>Lead Safe Housing Toolkit</w:t>
        </w:r>
      </w:hyperlink>
      <w:r w:rsidR="0081207E">
        <w:rPr>
          <w:rFonts w:cs="Times New Roman"/>
          <w:i/>
          <w:sz w:val="16"/>
        </w:rPr>
        <w:t>.</w:t>
      </w:r>
      <w:r w:rsidR="002038EB">
        <w:rPr>
          <w:rFonts w:cs="Times New Roman"/>
          <w:i/>
          <w:sz w:val="16"/>
        </w:rPr>
        <w:t xml:space="preserve"> Lead Safe Housing Rule Amendment Trainings for </w:t>
      </w:r>
      <w:hyperlink r:id="rId156" w:history="1">
        <w:r w:rsidR="002038EB" w:rsidRPr="002038EB">
          <w:rPr>
            <w:rStyle w:val="Hyperlink"/>
            <w:rFonts w:cs="Times New Roman"/>
            <w:i/>
            <w:sz w:val="16"/>
          </w:rPr>
          <w:t>TBRA</w:t>
        </w:r>
      </w:hyperlink>
      <w:r w:rsidR="0096436D">
        <w:rPr>
          <w:rFonts w:cs="Times New Roman"/>
          <w:i/>
          <w:sz w:val="16"/>
        </w:rPr>
        <w:t xml:space="preserve">; </w:t>
      </w:r>
      <w:hyperlink r:id="rId157" w:history="1">
        <w:proofErr w:type="spellStart"/>
        <w:r w:rsidR="002038EB" w:rsidRPr="002038EB">
          <w:rPr>
            <w:rStyle w:val="Hyperlink"/>
            <w:rFonts w:cs="Times New Roman"/>
            <w:i/>
            <w:sz w:val="16"/>
          </w:rPr>
          <w:t>PBRA</w:t>
        </w:r>
        <w:proofErr w:type="spellEnd"/>
      </w:hyperlink>
      <w:r w:rsidR="0096436D">
        <w:rPr>
          <w:rFonts w:cs="Times New Roman"/>
          <w:i/>
          <w:sz w:val="16"/>
        </w:rPr>
        <w:t xml:space="preserve">; and </w:t>
      </w:r>
      <w:hyperlink r:id="rId158" w:history="1">
        <w:r w:rsidR="0096436D" w:rsidRPr="0096436D">
          <w:rPr>
            <w:rStyle w:val="Hyperlink"/>
            <w:rFonts w:cs="Times New Roman"/>
            <w:i/>
            <w:sz w:val="16"/>
          </w:rPr>
          <w:t>Acquisition, Leasing, Support Services, and Operations</w:t>
        </w:r>
      </w:hyperlink>
      <w:r w:rsidRPr="009C0E78">
        <w:rPr>
          <w:rFonts w:cs="Times New Roman"/>
          <w:i/>
          <w:sz w:val="16"/>
        </w:rPr>
        <w:t>)</w:t>
      </w:r>
    </w:p>
    <w:p w14:paraId="6F6C770D" w14:textId="18B21E63" w:rsidR="009C0E78" w:rsidRPr="00596105" w:rsidRDefault="009C0E78" w:rsidP="00D606D6">
      <w:pPr>
        <w:pStyle w:val="NoSpacing"/>
        <w:rPr>
          <w:rFonts w:cs="Times New Roman"/>
          <w:sz w:val="16"/>
          <w:szCs w:val="16"/>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98"/>
        <w:gridCol w:w="2563"/>
        <w:gridCol w:w="11329"/>
      </w:tblGrid>
      <w:tr w:rsidR="00323E0F" w14:paraId="3F941A0C" w14:textId="77777777" w:rsidTr="00DA098E">
        <w:tc>
          <w:tcPr>
            <w:tcW w:w="0" w:type="auto"/>
            <w:vMerge w:val="restart"/>
            <w:shd w:val="clear" w:color="auto" w:fill="A8D08D" w:themeFill="accent6" w:themeFillTint="99"/>
            <w:textDirection w:val="btLr"/>
          </w:tcPr>
          <w:p w14:paraId="1BF956F4" w14:textId="0EC5DB92" w:rsidR="00C127C1" w:rsidRDefault="00C127C1" w:rsidP="00DA098E">
            <w:pPr>
              <w:pStyle w:val="NoSpacing"/>
              <w:ind w:left="113" w:right="113"/>
              <w:jc w:val="center"/>
              <w:rPr>
                <w:rFonts w:cs="Times New Roman"/>
              </w:rPr>
            </w:pPr>
            <w:r>
              <w:rPr>
                <w:rFonts w:cs="Times New Roman"/>
                <w:b/>
              </w:rPr>
              <w:t>TBRA Lead Safe Housing Protocols</w:t>
            </w:r>
          </w:p>
        </w:tc>
        <w:tc>
          <w:tcPr>
            <w:tcW w:w="2564" w:type="dxa"/>
            <w:shd w:val="clear" w:color="auto" w:fill="C5E0B3" w:themeFill="accent6" w:themeFillTint="66"/>
          </w:tcPr>
          <w:p w14:paraId="478992D3" w14:textId="453ED50B" w:rsidR="00C127C1" w:rsidRPr="00DA098E" w:rsidRDefault="00C127C1" w:rsidP="00C127C1">
            <w:pPr>
              <w:pStyle w:val="NoSpacing"/>
              <w:rPr>
                <w:rFonts w:cs="Times New Roman"/>
                <w:sz w:val="20"/>
              </w:rPr>
            </w:pPr>
            <w:r w:rsidRPr="00DA098E">
              <w:rPr>
                <w:rFonts w:cs="Times New Roman"/>
                <w:sz w:val="20"/>
              </w:rPr>
              <w:t>Applicability</w:t>
            </w:r>
          </w:p>
        </w:tc>
        <w:tc>
          <w:tcPr>
            <w:tcW w:w="11335" w:type="dxa"/>
            <w:shd w:val="clear" w:color="auto" w:fill="E2EFD9" w:themeFill="accent6" w:themeFillTint="33"/>
          </w:tcPr>
          <w:p w14:paraId="03D28DBC" w14:textId="4E314162" w:rsidR="00C127C1" w:rsidRPr="00DA098E" w:rsidRDefault="00DA406D">
            <w:pPr>
              <w:pStyle w:val="NoSpacing"/>
              <w:rPr>
                <w:rFonts w:cs="Times New Roman"/>
                <w:sz w:val="20"/>
                <w:szCs w:val="20"/>
              </w:rPr>
            </w:pPr>
            <w:r w:rsidRPr="00DA098E">
              <w:rPr>
                <w:rFonts w:cs="Times New Roman"/>
                <w:sz w:val="20"/>
                <w:szCs w:val="20"/>
              </w:rPr>
              <w:t>24 CFR §35,</w:t>
            </w:r>
            <w:r w:rsidR="00C127C1" w:rsidRPr="00DA098E">
              <w:rPr>
                <w:rFonts w:cs="Times New Roman"/>
                <w:sz w:val="20"/>
                <w:szCs w:val="20"/>
              </w:rPr>
              <w:t xml:space="preserve"> Subparts A, B, M, and R apply to TBRA-assisted units in which a child under the age of six is </w:t>
            </w:r>
            <w:hyperlink r:id="rId159" w:anchor="se24.1.35_1110" w:tooltip="See 24 CFR §35.110 for the definition of expected to reside." w:history="1">
              <w:r w:rsidR="00C127C1" w:rsidRPr="00DA098E">
                <w:rPr>
                  <w:rStyle w:val="Hyperlink"/>
                  <w:rFonts w:cs="Times New Roman"/>
                  <w:sz w:val="20"/>
                  <w:szCs w:val="20"/>
                </w:rPr>
                <w:t>expected to reside</w:t>
              </w:r>
            </w:hyperlink>
            <w:r w:rsidR="00C127C1" w:rsidRPr="00DA098E">
              <w:rPr>
                <w:rFonts w:cs="Times New Roman"/>
                <w:sz w:val="20"/>
                <w:szCs w:val="20"/>
              </w:rPr>
              <w:t xml:space="preserve"> and the common areas and exterior painted surfaces </w:t>
            </w:r>
            <w:r w:rsidR="000240E7">
              <w:rPr>
                <w:rFonts w:cs="Times New Roman"/>
                <w:sz w:val="20"/>
                <w:szCs w:val="20"/>
              </w:rPr>
              <w:t>of</w:t>
            </w:r>
            <w:r w:rsidR="00C127C1" w:rsidRPr="00DA098E">
              <w:rPr>
                <w:rFonts w:cs="Times New Roman"/>
                <w:sz w:val="20"/>
                <w:szCs w:val="20"/>
              </w:rPr>
              <w:t xml:space="preserve"> these units.</w:t>
            </w:r>
          </w:p>
        </w:tc>
      </w:tr>
      <w:tr w:rsidR="00E74F31" w14:paraId="56833535" w14:textId="77777777" w:rsidTr="00DA098E">
        <w:tc>
          <w:tcPr>
            <w:tcW w:w="0" w:type="auto"/>
            <w:vMerge/>
            <w:shd w:val="clear" w:color="auto" w:fill="A8D08D" w:themeFill="accent6" w:themeFillTint="99"/>
          </w:tcPr>
          <w:p w14:paraId="527E834E" w14:textId="77777777" w:rsidR="00C127C1" w:rsidRDefault="00C127C1" w:rsidP="00C127C1">
            <w:pPr>
              <w:pStyle w:val="NoSpacing"/>
              <w:rPr>
                <w:rFonts w:cs="Times New Roman"/>
              </w:rPr>
            </w:pPr>
          </w:p>
        </w:tc>
        <w:tc>
          <w:tcPr>
            <w:tcW w:w="2564" w:type="dxa"/>
            <w:shd w:val="clear" w:color="auto" w:fill="C5E0B3" w:themeFill="accent6" w:themeFillTint="66"/>
          </w:tcPr>
          <w:p w14:paraId="5FB22B37" w14:textId="09E9340D" w:rsidR="00C127C1" w:rsidRPr="00DA098E" w:rsidRDefault="00C127C1" w:rsidP="00C127C1">
            <w:pPr>
              <w:pStyle w:val="NoSpacing"/>
              <w:rPr>
                <w:rFonts w:cs="Times New Roman"/>
                <w:sz w:val="20"/>
              </w:rPr>
            </w:pPr>
            <w:r w:rsidRPr="00DA098E">
              <w:rPr>
                <w:rFonts w:cs="Times New Roman"/>
                <w:sz w:val="20"/>
              </w:rPr>
              <w:t>Disclosure</w:t>
            </w:r>
          </w:p>
        </w:tc>
        <w:tc>
          <w:tcPr>
            <w:tcW w:w="11335" w:type="dxa"/>
            <w:shd w:val="clear" w:color="auto" w:fill="E2EFD9" w:themeFill="accent6" w:themeFillTint="33"/>
          </w:tcPr>
          <w:p w14:paraId="5130C1AF" w14:textId="15B4173E" w:rsidR="00C127C1" w:rsidRPr="00DA098E" w:rsidRDefault="00C127C1" w:rsidP="00D130E6">
            <w:pPr>
              <w:pStyle w:val="NoSpacing"/>
              <w:rPr>
                <w:rFonts w:cs="Times New Roman"/>
                <w:sz w:val="20"/>
              </w:rPr>
            </w:pPr>
            <w:r w:rsidRPr="00DA098E">
              <w:rPr>
                <w:rFonts w:cs="Times New Roman"/>
                <w:sz w:val="20"/>
              </w:rPr>
              <w:t xml:space="preserve">If the structure was built or most recently rehabilitated prior to 1978, then the owner </w:t>
            </w:r>
            <w:r w:rsidR="005B5D1D">
              <w:rPr>
                <w:rFonts w:cs="Times New Roman"/>
                <w:sz w:val="20"/>
              </w:rPr>
              <w:t>must provide</w:t>
            </w:r>
            <w:r w:rsidRPr="00DA098E">
              <w:rPr>
                <w:rFonts w:cs="Times New Roman"/>
                <w:sz w:val="20"/>
              </w:rPr>
              <w:t xml:space="preserve"> a </w:t>
            </w:r>
            <w:hyperlink r:id="rId160" w:history="1">
              <w:r w:rsidRPr="00DA098E">
                <w:rPr>
                  <w:rStyle w:val="Hyperlink"/>
                  <w:rFonts w:cs="Times New Roman"/>
                  <w:sz w:val="20"/>
                </w:rPr>
                <w:t>“Protect Your Family from Lead in Your Home”</w:t>
              </w:r>
            </w:hyperlink>
            <w:r w:rsidRPr="00DA098E">
              <w:rPr>
                <w:rFonts w:cs="Times New Roman"/>
                <w:sz w:val="20"/>
              </w:rPr>
              <w:t xml:space="preserve"> pamphlet, “Disclosure of Information on Lead-Based Paint and/or Lead-Based Paint Hazards” form (</w:t>
            </w:r>
            <w:hyperlink r:id="rId161" w:history="1">
              <w:r w:rsidRPr="00DA098E">
                <w:rPr>
                  <w:rStyle w:val="Hyperlink"/>
                  <w:rFonts w:cs="Times New Roman"/>
                  <w:sz w:val="20"/>
                </w:rPr>
                <w:t>English</w:t>
              </w:r>
            </w:hyperlink>
            <w:r w:rsidRPr="00DA098E">
              <w:rPr>
                <w:rFonts w:cs="Times New Roman"/>
                <w:sz w:val="20"/>
              </w:rPr>
              <w:t xml:space="preserve"> | </w:t>
            </w:r>
            <w:hyperlink r:id="rId162" w:history="1">
              <w:r w:rsidRPr="00DA098E">
                <w:rPr>
                  <w:rStyle w:val="Hyperlink"/>
                  <w:rFonts w:cs="Times New Roman"/>
                  <w:sz w:val="20"/>
                </w:rPr>
                <w:t>Spanish</w:t>
              </w:r>
            </w:hyperlink>
            <w:r w:rsidRPr="00DA098E">
              <w:rPr>
                <w:rFonts w:cs="Times New Roman"/>
                <w:sz w:val="20"/>
              </w:rPr>
              <w:t>), and available records and reports to households at initial occupancy, when their lease renew</w:t>
            </w:r>
            <w:r w:rsidR="005B5D1D">
              <w:rPr>
                <w:rFonts w:cs="Times New Roman"/>
                <w:sz w:val="20"/>
              </w:rPr>
              <w:t>s</w:t>
            </w:r>
            <w:r w:rsidRPr="00DA098E">
              <w:rPr>
                <w:rFonts w:cs="Times New Roman"/>
                <w:sz w:val="20"/>
              </w:rPr>
              <w:t xml:space="preserve"> with changed terms, and/or when their lease</w:t>
            </w:r>
            <w:r w:rsidR="005B5D1D">
              <w:rPr>
                <w:rFonts w:cs="Times New Roman"/>
                <w:sz w:val="20"/>
              </w:rPr>
              <w:t xml:space="preserve"> </w:t>
            </w:r>
            <w:r w:rsidRPr="00DA098E">
              <w:rPr>
                <w:rFonts w:cs="Times New Roman"/>
                <w:sz w:val="20"/>
              </w:rPr>
              <w:t>renew</w:t>
            </w:r>
            <w:r w:rsidR="005B5D1D">
              <w:rPr>
                <w:rFonts w:cs="Times New Roman"/>
                <w:sz w:val="20"/>
              </w:rPr>
              <w:t>s</w:t>
            </w:r>
            <w:r w:rsidRPr="00DA098E">
              <w:rPr>
                <w:rFonts w:cs="Times New Roman"/>
                <w:sz w:val="20"/>
              </w:rPr>
              <w:t xml:space="preserve"> after new information on lead-based paint </w:t>
            </w:r>
            <w:r w:rsidR="00E74F31" w:rsidRPr="00DA098E">
              <w:rPr>
                <w:rFonts w:cs="Times New Roman"/>
                <w:sz w:val="20"/>
              </w:rPr>
              <w:t xml:space="preserve">(LBP) </w:t>
            </w:r>
            <w:r w:rsidRPr="00DA098E">
              <w:rPr>
                <w:rFonts w:cs="Times New Roman"/>
                <w:sz w:val="20"/>
              </w:rPr>
              <w:t xml:space="preserve">or lead-based paint hazards becomes available. See </w:t>
            </w:r>
            <w:hyperlink r:id="rId163" w:anchor="se24.1.35_182" w:tooltip="See §35.82 for scope and applicability." w:history="1">
              <w:r w:rsidRPr="00DA098E">
                <w:rPr>
                  <w:rStyle w:val="Hyperlink"/>
                  <w:rFonts w:cs="Times New Roman"/>
                  <w:sz w:val="20"/>
                </w:rPr>
                <w:t>24 CFR §35.82</w:t>
              </w:r>
            </w:hyperlink>
            <w:r w:rsidRPr="00DA098E">
              <w:rPr>
                <w:rFonts w:cs="Times New Roman"/>
                <w:sz w:val="20"/>
              </w:rPr>
              <w:t xml:space="preserve"> for a list of transactions exempt from disclosure </w:t>
            </w:r>
            <w:r w:rsidR="00323E0F" w:rsidRPr="00DA098E">
              <w:rPr>
                <w:rFonts w:cs="Times New Roman"/>
                <w:sz w:val="20"/>
              </w:rPr>
              <w:t>rules</w:t>
            </w:r>
            <w:r w:rsidRPr="00DA098E">
              <w:rPr>
                <w:rFonts w:cs="Times New Roman"/>
                <w:sz w:val="20"/>
              </w:rPr>
              <w:t>.</w:t>
            </w:r>
          </w:p>
        </w:tc>
      </w:tr>
      <w:tr w:rsidR="00E74F31" w14:paraId="37020AA7" w14:textId="77777777" w:rsidTr="00DA098E">
        <w:tc>
          <w:tcPr>
            <w:tcW w:w="0" w:type="auto"/>
            <w:vMerge/>
            <w:shd w:val="clear" w:color="auto" w:fill="A8D08D" w:themeFill="accent6" w:themeFillTint="99"/>
          </w:tcPr>
          <w:p w14:paraId="00F5A7FB" w14:textId="77777777" w:rsidR="00C127C1" w:rsidRPr="00714248" w:rsidRDefault="00C127C1" w:rsidP="00C127C1">
            <w:pPr>
              <w:pStyle w:val="NoSpacing"/>
              <w:rPr>
                <w:rFonts w:cs="Times New Roman"/>
              </w:rPr>
            </w:pPr>
          </w:p>
        </w:tc>
        <w:tc>
          <w:tcPr>
            <w:tcW w:w="2564" w:type="dxa"/>
            <w:shd w:val="clear" w:color="auto" w:fill="C5E0B3" w:themeFill="accent6" w:themeFillTint="66"/>
          </w:tcPr>
          <w:p w14:paraId="029D1BE8" w14:textId="5A802419" w:rsidR="00C127C1" w:rsidRPr="00DA098E" w:rsidRDefault="00C127C1" w:rsidP="00C127C1">
            <w:pPr>
              <w:pStyle w:val="NoSpacing"/>
              <w:rPr>
                <w:rFonts w:cs="Times New Roman"/>
                <w:sz w:val="20"/>
              </w:rPr>
            </w:pPr>
            <w:r w:rsidRPr="00DA098E">
              <w:rPr>
                <w:rFonts w:cs="Times New Roman"/>
                <w:sz w:val="20"/>
              </w:rPr>
              <w:t>Exemptions</w:t>
            </w:r>
          </w:p>
        </w:tc>
        <w:tc>
          <w:tcPr>
            <w:tcW w:w="11335" w:type="dxa"/>
            <w:shd w:val="clear" w:color="auto" w:fill="E2EFD9" w:themeFill="accent6" w:themeFillTint="33"/>
          </w:tcPr>
          <w:p w14:paraId="60444B1A" w14:textId="3301D180" w:rsidR="00C127C1" w:rsidRPr="00DA098E" w:rsidRDefault="00C127C1" w:rsidP="00C127C1">
            <w:pPr>
              <w:pStyle w:val="NoSpacing"/>
              <w:rPr>
                <w:rFonts w:cs="Times New Roman"/>
                <w:sz w:val="20"/>
              </w:rPr>
            </w:pPr>
            <w:r w:rsidRPr="00DA098E">
              <w:rPr>
                <w:rFonts w:cs="Times New Roman"/>
                <w:sz w:val="20"/>
              </w:rPr>
              <w:t xml:space="preserve">See </w:t>
            </w:r>
            <w:hyperlink r:id="rId164" w:anchor="se24.1.35_1115" w:tooltip="See 24 CFR §35.115 for exemptions." w:history="1">
              <w:r w:rsidRPr="00DA098E">
                <w:rPr>
                  <w:rStyle w:val="Hyperlink"/>
                  <w:rFonts w:cs="Times New Roman"/>
                  <w:sz w:val="20"/>
                </w:rPr>
                <w:t>24 CFR §35.115</w:t>
              </w:r>
            </w:hyperlink>
            <w:r w:rsidRPr="00DA098E">
              <w:rPr>
                <w:rFonts w:cs="Times New Roman"/>
                <w:sz w:val="20"/>
              </w:rPr>
              <w:t xml:space="preserve"> for a list of property exemptions.</w:t>
            </w:r>
          </w:p>
        </w:tc>
      </w:tr>
      <w:tr w:rsidR="00E74F31" w14:paraId="58ABE8EA" w14:textId="77777777" w:rsidTr="00DA098E">
        <w:tc>
          <w:tcPr>
            <w:tcW w:w="0" w:type="auto"/>
            <w:vMerge/>
            <w:shd w:val="clear" w:color="auto" w:fill="A8D08D" w:themeFill="accent6" w:themeFillTint="99"/>
          </w:tcPr>
          <w:p w14:paraId="29504164" w14:textId="77777777" w:rsidR="00C127C1" w:rsidRDefault="00C127C1" w:rsidP="00C127C1">
            <w:pPr>
              <w:pStyle w:val="NoSpacing"/>
              <w:rPr>
                <w:rFonts w:cs="Times New Roman"/>
              </w:rPr>
            </w:pPr>
          </w:p>
        </w:tc>
        <w:tc>
          <w:tcPr>
            <w:tcW w:w="2564" w:type="dxa"/>
            <w:shd w:val="clear" w:color="auto" w:fill="C5E0B3" w:themeFill="accent6" w:themeFillTint="66"/>
          </w:tcPr>
          <w:p w14:paraId="645F69DB" w14:textId="123DDD54" w:rsidR="00C127C1" w:rsidRPr="00DA098E" w:rsidRDefault="00E82198" w:rsidP="00C127C1">
            <w:pPr>
              <w:pStyle w:val="NoSpacing"/>
              <w:rPr>
                <w:rFonts w:cs="Times New Roman"/>
                <w:sz w:val="20"/>
              </w:rPr>
            </w:pPr>
            <w:r>
              <w:rPr>
                <w:rFonts w:cs="Times New Roman"/>
                <w:sz w:val="20"/>
              </w:rPr>
              <w:t>Lead hazard a</w:t>
            </w:r>
            <w:r w:rsidR="0069439B" w:rsidRPr="00DA098E">
              <w:rPr>
                <w:rFonts w:cs="Times New Roman"/>
                <w:sz w:val="20"/>
              </w:rPr>
              <w:t>pproach</w:t>
            </w:r>
          </w:p>
        </w:tc>
        <w:tc>
          <w:tcPr>
            <w:tcW w:w="11335" w:type="dxa"/>
            <w:shd w:val="clear" w:color="auto" w:fill="E2EFD9" w:themeFill="accent6" w:themeFillTint="33"/>
          </w:tcPr>
          <w:p w14:paraId="3B6CD172" w14:textId="4A3D52B0" w:rsidR="00C127C1" w:rsidRPr="00DA098E" w:rsidRDefault="00E82198" w:rsidP="00D130E6">
            <w:pPr>
              <w:pStyle w:val="NoSpacing"/>
              <w:rPr>
                <w:rFonts w:cs="Times New Roman"/>
                <w:sz w:val="20"/>
              </w:rPr>
            </w:pPr>
            <w:r>
              <w:rPr>
                <w:rFonts w:cs="Times New Roman"/>
                <w:sz w:val="20"/>
              </w:rPr>
              <w:t>I</w:t>
            </w:r>
            <w:r w:rsidR="00C127C1" w:rsidRPr="00DA098E">
              <w:rPr>
                <w:rFonts w:cs="Times New Roman"/>
                <w:sz w:val="20"/>
              </w:rPr>
              <w:t xml:space="preserve">dentify and stabilize </w:t>
            </w:r>
            <w:hyperlink r:id="rId165" w:anchor="se24.1.35_1110" w:tooltip="See 24 CFR §35.110 for the definition of deteriorated paint." w:history="1">
              <w:r w:rsidR="00C127C1" w:rsidRPr="00DA098E">
                <w:rPr>
                  <w:rStyle w:val="Hyperlink"/>
                  <w:rFonts w:cs="Times New Roman"/>
                  <w:sz w:val="20"/>
                </w:rPr>
                <w:t>deteriorated paint</w:t>
              </w:r>
            </w:hyperlink>
            <w:r w:rsidR="00C127C1" w:rsidRPr="00DA098E">
              <w:rPr>
                <w:rFonts w:cs="Times New Roman"/>
                <w:sz w:val="20"/>
              </w:rPr>
              <w:t>.</w:t>
            </w:r>
          </w:p>
        </w:tc>
      </w:tr>
      <w:tr w:rsidR="009C6FC2" w14:paraId="2DE54159" w14:textId="77777777" w:rsidTr="00DA406D">
        <w:tc>
          <w:tcPr>
            <w:tcW w:w="0" w:type="auto"/>
            <w:vMerge/>
            <w:shd w:val="clear" w:color="auto" w:fill="A8D08D" w:themeFill="accent6" w:themeFillTint="99"/>
          </w:tcPr>
          <w:p w14:paraId="60389802" w14:textId="77777777" w:rsidR="009C6FC2" w:rsidRDefault="009C6FC2" w:rsidP="009C6FC2">
            <w:pPr>
              <w:pStyle w:val="NoSpacing"/>
              <w:rPr>
                <w:rFonts w:cs="Times New Roman"/>
              </w:rPr>
            </w:pPr>
          </w:p>
        </w:tc>
        <w:tc>
          <w:tcPr>
            <w:tcW w:w="2564" w:type="dxa"/>
            <w:shd w:val="clear" w:color="auto" w:fill="C5E0B3" w:themeFill="accent6" w:themeFillTint="66"/>
          </w:tcPr>
          <w:p w14:paraId="762C62FC" w14:textId="07BA1B53" w:rsidR="009C6FC2" w:rsidRPr="00DA098E" w:rsidRDefault="009C6FC2" w:rsidP="009C6FC2">
            <w:pPr>
              <w:pStyle w:val="NoSpacing"/>
              <w:rPr>
                <w:rFonts w:cs="Times New Roman"/>
                <w:sz w:val="20"/>
              </w:rPr>
            </w:pPr>
            <w:r w:rsidRPr="00DA098E">
              <w:rPr>
                <w:rFonts w:cs="Times New Roman"/>
                <w:sz w:val="20"/>
              </w:rPr>
              <w:t>Identification method</w:t>
            </w:r>
          </w:p>
        </w:tc>
        <w:tc>
          <w:tcPr>
            <w:tcW w:w="11335" w:type="dxa"/>
            <w:shd w:val="clear" w:color="auto" w:fill="E2EFD9" w:themeFill="accent6" w:themeFillTint="33"/>
          </w:tcPr>
          <w:p w14:paraId="1FDE4AB8" w14:textId="09B6E3B9" w:rsidR="009C6FC2" w:rsidRPr="00DA098E" w:rsidRDefault="00A66919" w:rsidP="009C6FC2">
            <w:pPr>
              <w:pStyle w:val="NoSpacing"/>
              <w:rPr>
                <w:rFonts w:cs="Times New Roman"/>
                <w:sz w:val="20"/>
              </w:rPr>
            </w:pPr>
            <w:hyperlink r:id="rId166" w:anchor="se24.1.35_1110" w:tooltip="See 24 CFR §35.110 for the definition of visual assessment." w:history="1">
              <w:r w:rsidR="009C6FC2" w:rsidRPr="00DA098E">
                <w:rPr>
                  <w:rStyle w:val="Hyperlink"/>
                  <w:rFonts w:cs="Times New Roman"/>
                  <w:sz w:val="20"/>
                </w:rPr>
                <w:t>Visual assessment</w:t>
              </w:r>
            </w:hyperlink>
          </w:p>
        </w:tc>
      </w:tr>
      <w:tr w:rsidR="00E74F31" w14:paraId="188F4324" w14:textId="77777777" w:rsidTr="00DA098E">
        <w:tc>
          <w:tcPr>
            <w:tcW w:w="0" w:type="auto"/>
            <w:vMerge/>
            <w:shd w:val="clear" w:color="auto" w:fill="A8D08D" w:themeFill="accent6" w:themeFillTint="99"/>
          </w:tcPr>
          <w:p w14:paraId="413F74F9" w14:textId="77777777" w:rsidR="00C127C1" w:rsidRDefault="00C127C1" w:rsidP="00C127C1">
            <w:pPr>
              <w:pStyle w:val="NoSpacing"/>
              <w:rPr>
                <w:rFonts w:cs="Times New Roman"/>
              </w:rPr>
            </w:pPr>
          </w:p>
        </w:tc>
        <w:tc>
          <w:tcPr>
            <w:tcW w:w="2564" w:type="dxa"/>
            <w:shd w:val="clear" w:color="auto" w:fill="C5E0B3" w:themeFill="accent6" w:themeFillTint="66"/>
          </w:tcPr>
          <w:p w14:paraId="5613456E" w14:textId="06E95A72" w:rsidR="00C127C1" w:rsidRPr="00DA098E" w:rsidRDefault="00C127C1" w:rsidP="00C127C1">
            <w:pPr>
              <w:pStyle w:val="NoSpacing"/>
              <w:rPr>
                <w:rFonts w:cs="Times New Roman"/>
                <w:sz w:val="20"/>
              </w:rPr>
            </w:pPr>
            <w:r w:rsidRPr="00DA098E">
              <w:rPr>
                <w:rFonts w:cs="Times New Roman"/>
                <w:sz w:val="20"/>
              </w:rPr>
              <w:t>Pre-renovation education</w:t>
            </w:r>
          </w:p>
        </w:tc>
        <w:tc>
          <w:tcPr>
            <w:tcW w:w="11335" w:type="dxa"/>
            <w:shd w:val="clear" w:color="auto" w:fill="E2EFD9" w:themeFill="accent6" w:themeFillTint="33"/>
          </w:tcPr>
          <w:p w14:paraId="3C5B606E" w14:textId="396609EF" w:rsidR="00C127C1" w:rsidRPr="00DA098E" w:rsidRDefault="0069439B" w:rsidP="00D130E6">
            <w:pPr>
              <w:pStyle w:val="NoSpacing"/>
              <w:rPr>
                <w:rFonts w:cs="Times New Roman"/>
                <w:sz w:val="20"/>
              </w:rPr>
            </w:pPr>
            <w:r w:rsidRPr="00DA098E">
              <w:rPr>
                <w:rFonts w:cs="Times New Roman"/>
                <w:sz w:val="20"/>
              </w:rPr>
              <w:t>Before starting work, t</w:t>
            </w:r>
            <w:r w:rsidR="00C127C1" w:rsidRPr="00DA098E">
              <w:rPr>
                <w:rFonts w:cs="Times New Roman"/>
                <w:sz w:val="20"/>
              </w:rPr>
              <w:t xml:space="preserve">he entity performing any </w:t>
            </w:r>
            <w:r w:rsidR="00314FA0" w:rsidRPr="00DA098E">
              <w:rPr>
                <w:rFonts w:cs="Times New Roman"/>
                <w:sz w:val="20"/>
              </w:rPr>
              <w:t>renovations</w:t>
            </w:r>
            <w:r w:rsidR="00C127C1" w:rsidRPr="00DA098E">
              <w:rPr>
                <w:rFonts w:cs="Times New Roman"/>
                <w:sz w:val="20"/>
              </w:rPr>
              <w:t xml:space="preserve"> must provide a </w:t>
            </w:r>
            <w:hyperlink r:id="rId167" w:history="1">
              <w:r w:rsidR="009C621C">
                <w:rPr>
                  <w:rStyle w:val="Hyperlink"/>
                  <w:rFonts w:cs="Times New Roman"/>
                  <w:sz w:val="20"/>
                </w:rPr>
                <w:t>"Renovate Right"</w:t>
              </w:r>
            </w:hyperlink>
            <w:r w:rsidR="00C127C1" w:rsidRPr="00DA098E">
              <w:rPr>
                <w:rFonts w:cs="Times New Roman"/>
                <w:sz w:val="20"/>
              </w:rPr>
              <w:t xml:space="preserve"> pamphlet to households.</w:t>
            </w:r>
          </w:p>
        </w:tc>
      </w:tr>
      <w:tr w:rsidR="00E74F31" w14:paraId="517754A1" w14:textId="77777777" w:rsidTr="00DA098E">
        <w:tc>
          <w:tcPr>
            <w:tcW w:w="0" w:type="auto"/>
            <w:vMerge/>
            <w:shd w:val="clear" w:color="auto" w:fill="A8D08D" w:themeFill="accent6" w:themeFillTint="99"/>
          </w:tcPr>
          <w:p w14:paraId="1276E8B1" w14:textId="77777777" w:rsidR="00C127C1" w:rsidRDefault="00C127C1" w:rsidP="00C127C1">
            <w:pPr>
              <w:pStyle w:val="NoSpacing"/>
              <w:rPr>
                <w:rFonts w:cs="Times New Roman"/>
              </w:rPr>
            </w:pPr>
          </w:p>
        </w:tc>
        <w:tc>
          <w:tcPr>
            <w:tcW w:w="2564" w:type="dxa"/>
            <w:shd w:val="clear" w:color="auto" w:fill="C5E0B3" w:themeFill="accent6" w:themeFillTint="66"/>
          </w:tcPr>
          <w:p w14:paraId="3FDA75BE" w14:textId="29CC0209" w:rsidR="00C127C1" w:rsidRPr="00DA098E" w:rsidRDefault="00C127C1" w:rsidP="00C127C1">
            <w:pPr>
              <w:pStyle w:val="NoSpacing"/>
              <w:rPr>
                <w:rFonts w:cs="Times New Roman"/>
                <w:sz w:val="20"/>
              </w:rPr>
            </w:pPr>
            <w:r w:rsidRPr="00DA098E">
              <w:rPr>
                <w:rFonts w:cs="Times New Roman"/>
                <w:sz w:val="20"/>
              </w:rPr>
              <w:t>Lead hazard reduction</w:t>
            </w:r>
          </w:p>
        </w:tc>
        <w:tc>
          <w:tcPr>
            <w:tcW w:w="11335" w:type="dxa"/>
            <w:shd w:val="clear" w:color="auto" w:fill="E2EFD9" w:themeFill="accent6" w:themeFillTint="33"/>
          </w:tcPr>
          <w:p w14:paraId="3AE3D536" w14:textId="040D8EE0" w:rsidR="00C127C1" w:rsidRPr="00DA098E" w:rsidRDefault="00A66919" w:rsidP="00D130E6">
            <w:pPr>
              <w:pStyle w:val="NoSpacing"/>
              <w:rPr>
                <w:rFonts w:cs="Times New Roman"/>
                <w:sz w:val="20"/>
              </w:rPr>
            </w:pPr>
            <w:hyperlink r:id="rId168" w:anchor="se24.1.35_11330" w:tooltip="See §35.1330(b) for paint stabilization." w:history="1">
              <w:r w:rsidR="00C127C1" w:rsidRPr="00DA098E">
                <w:rPr>
                  <w:rStyle w:val="Hyperlink"/>
                  <w:rFonts w:cs="Times New Roman"/>
                  <w:sz w:val="20"/>
                </w:rPr>
                <w:t>Paint stabilization</w:t>
              </w:r>
            </w:hyperlink>
            <w:r w:rsidR="00C127C1" w:rsidRPr="00DA098E">
              <w:rPr>
                <w:rFonts w:cs="Times New Roman"/>
                <w:sz w:val="20"/>
              </w:rPr>
              <w:t xml:space="preserve"> using </w:t>
            </w:r>
            <w:hyperlink r:id="rId169" w:anchor="se24.1.35_11350" w:tooltip="See §35.1350 for safe work practices." w:history="1">
              <w:r w:rsidR="00C127C1" w:rsidRPr="00DA098E">
                <w:rPr>
                  <w:rStyle w:val="Hyperlink"/>
                  <w:rFonts w:cs="Times New Roman"/>
                  <w:sz w:val="20"/>
                </w:rPr>
                <w:t>safe work practices</w:t>
              </w:r>
            </w:hyperlink>
            <w:r w:rsidR="00C127C1" w:rsidRPr="00DA098E">
              <w:rPr>
                <w:rFonts w:cs="Times New Roman"/>
                <w:sz w:val="20"/>
              </w:rPr>
              <w:t xml:space="preserve"> and </w:t>
            </w:r>
            <w:hyperlink r:id="rId170" w:anchor="se24.1.35_11345" w:tooltip="See §35.1345 for occupant protection and worksite preparation." w:history="1">
              <w:r w:rsidR="00C127C1" w:rsidRPr="00DA098E">
                <w:rPr>
                  <w:rStyle w:val="Hyperlink"/>
                  <w:rFonts w:cs="Times New Roman"/>
                  <w:sz w:val="20"/>
                </w:rPr>
                <w:t>occupant protection</w:t>
              </w:r>
            </w:hyperlink>
            <w:r w:rsidR="009C6FC2" w:rsidRPr="00DA098E">
              <w:rPr>
                <w:rFonts w:cs="Times New Roman"/>
                <w:sz w:val="20"/>
              </w:rPr>
              <w:t xml:space="preserve"> performed </w:t>
            </w:r>
            <w:r w:rsidR="00C127C1" w:rsidRPr="00DA098E">
              <w:rPr>
                <w:rFonts w:cs="Times New Roman"/>
                <w:sz w:val="20"/>
              </w:rPr>
              <w:t xml:space="preserve">with proper </w:t>
            </w:r>
            <w:hyperlink r:id="rId171" w:anchor="se24.1.35_11330" w:tooltip="See §35.1330(a)(4) for training requirements." w:history="1">
              <w:r w:rsidR="00C127C1" w:rsidRPr="00DA098E">
                <w:rPr>
                  <w:rStyle w:val="Hyperlink"/>
                  <w:rFonts w:cs="Times New Roman"/>
                  <w:sz w:val="20"/>
                </w:rPr>
                <w:t>training</w:t>
              </w:r>
            </w:hyperlink>
            <w:r w:rsidR="00C127C1" w:rsidRPr="00DA098E">
              <w:rPr>
                <w:rFonts w:cs="Times New Roman"/>
                <w:sz w:val="20"/>
              </w:rPr>
              <w:t xml:space="preserve"> or supervision.</w:t>
            </w:r>
          </w:p>
        </w:tc>
      </w:tr>
      <w:tr w:rsidR="00E74F31" w14:paraId="5917A2AB" w14:textId="77777777" w:rsidTr="00DA098E">
        <w:tc>
          <w:tcPr>
            <w:tcW w:w="0" w:type="auto"/>
            <w:vMerge/>
            <w:shd w:val="clear" w:color="auto" w:fill="A8D08D" w:themeFill="accent6" w:themeFillTint="99"/>
          </w:tcPr>
          <w:p w14:paraId="2BEBFC50" w14:textId="77777777" w:rsidR="00C127C1" w:rsidRDefault="00C127C1" w:rsidP="00C127C1">
            <w:pPr>
              <w:pStyle w:val="NoSpacing"/>
              <w:rPr>
                <w:rFonts w:cs="Times New Roman"/>
              </w:rPr>
            </w:pPr>
          </w:p>
        </w:tc>
        <w:tc>
          <w:tcPr>
            <w:tcW w:w="2564" w:type="dxa"/>
            <w:shd w:val="clear" w:color="auto" w:fill="C5E0B3" w:themeFill="accent6" w:themeFillTint="66"/>
          </w:tcPr>
          <w:p w14:paraId="33BE34D0" w14:textId="76C98479" w:rsidR="00C127C1" w:rsidRPr="00DA098E" w:rsidRDefault="00C127C1" w:rsidP="00C127C1">
            <w:pPr>
              <w:pStyle w:val="NoSpacing"/>
              <w:rPr>
                <w:rFonts w:cs="Times New Roman"/>
                <w:sz w:val="20"/>
              </w:rPr>
            </w:pPr>
            <w:r w:rsidRPr="00DA098E">
              <w:rPr>
                <w:rFonts w:cs="Times New Roman"/>
                <w:sz w:val="20"/>
              </w:rPr>
              <w:t>Clearance and notification</w:t>
            </w:r>
          </w:p>
        </w:tc>
        <w:tc>
          <w:tcPr>
            <w:tcW w:w="11335" w:type="dxa"/>
            <w:shd w:val="clear" w:color="auto" w:fill="E2EFD9" w:themeFill="accent6" w:themeFillTint="33"/>
          </w:tcPr>
          <w:p w14:paraId="22FCD8D8" w14:textId="61BF2DCE" w:rsidR="00C127C1" w:rsidRPr="00DA098E" w:rsidRDefault="00A66919" w:rsidP="00C127C1">
            <w:pPr>
              <w:pStyle w:val="NoSpacing"/>
              <w:rPr>
                <w:rFonts w:cs="Times New Roman"/>
                <w:sz w:val="20"/>
              </w:rPr>
            </w:pPr>
            <w:hyperlink r:id="rId172" w:anchor="se24.1.35_11340" w:tooltip="See §35.1340 for clearance." w:history="1">
              <w:r w:rsidR="00C127C1" w:rsidRPr="00DA098E">
                <w:rPr>
                  <w:rStyle w:val="Hyperlink"/>
                  <w:rFonts w:cs="Times New Roman"/>
                  <w:sz w:val="20"/>
                </w:rPr>
                <w:t>Clearance</w:t>
              </w:r>
            </w:hyperlink>
            <w:r w:rsidR="00C127C1" w:rsidRPr="00DA098E">
              <w:rPr>
                <w:rFonts w:cs="Times New Roman"/>
                <w:sz w:val="20"/>
              </w:rPr>
              <w:t xml:space="preserve"> </w:t>
            </w:r>
            <w:r w:rsidR="003A4020">
              <w:rPr>
                <w:rFonts w:cs="Times New Roman"/>
                <w:sz w:val="20"/>
              </w:rPr>
              <w:t>must occur following</w:t>
            </w:r>
            <w:r w:rsidR="00C127C1" w:rsidRPr="00DA098E">
              <w:rPr>
                <w:rFonts w:cs="Times New Roman"/>
                <w:sz w:val="20"/>
              </w:rPr>
              <w:t xml:space="preserve"> </w:t>
            </w:r>
            <w:hyperlink r:id="rId173" w:anchor="se24.1.35_11325" w:tooltip="See §35.1325 for abatement." w:history="1">
              <w:r w:rsidR="00C127C1" w:rsidRPr="00DA098E">
                <w:rPr>
                  <w:rStyle w:val="Hyperlink"/>
                  <w:rFonts w:cs="Times New Roman"/>
                  <w:sz w:val="20"/>
                </w:rPr>
                <w:t>abatement</w:t>
              </w:r>
            </w:hyperlink>
            <w:r w:rsidR="00C127C1" w:rsidRPr="00DA098E">
              <w:rPr>
                <w:rFonts w:cs="Times New Roman"/>
                <w:sz w:val="20"/>
              </w:rPr>
              <w:t xml:space="preserve">, </w:t>
            </w:r>
            <w:hyperlink r:id="rId174" w:anchor="se24.1.35_11330" w:tooltip="See §35.1330 for interim controls." w:history="1">
              <w:r w:rsidR="00C127C1" w:rsidRPr="00DA098E">
                <w:rPr>
                  <w:rStyle w:val="Hyperlink"/>
                  <w:rFonts w:cs="Times New Roman"/>
                  <w:sz w:val="20"/>
                </w:rPr>
                <w:t>interim controls</w:t>
              </w:r>
            </w:hyperlink>
            <w:r w:rsidR="00C127C1" w:rsidRPr="00DA098E">
              <w:rPr>
                <w:rFonts w:cs="Times New Roman"/>
                <w:sz w:val="20"/>
              </w:rPr>
              <w:t xml:space="preserve">, and </w:t>
            </w:r>
            <w:hyperlink r:id="rId175" w:anchor="se24.1.35_11330" w:tooltip="See §35.1330(b) for paint stabilization." w:history="1">
              <w:r w:rsidR="00C127C1" w:rsidRPr="00DA098E">
                <w:rPr>
                  <w:rStyle w:val="Hyperlink"/>
                  <w:rFonts w:cs="Times New Roman"/>
                  <w:sz w:val="20"/>
                </w:rPr>
                <w:t>paint stabilization</w:t>
              </w:r>
            </w:hyperlink>
            <w:r w:rsidR="00C127C1" w:rsidRPr="00DA098E">
              <w:rPr>
                <w:rFonts w:cs="Times New Roman"/>
                <w:sz w:val="20"/>
              </w:rPr>
              <w:t xml:space="preserve"> (unless the area controlled or stabilized is less than the </w:t>
            </w:r>
            <w:hyperlink r:id="rId176" w:anchor="se24.1.35_11350" w:tooltip="See §35.1350(d) for the definition of de minimis levels." w:history="1">
              <w:r w:rsidR="00C127C1" w:rsidRPr="00DA098E">
                <w:rPr>
                  <w:rStyle w:val="Hyperlink"/>
                  <w:rFonts w:cs="Times New Roman"/>
                  <w:sz w:val="20"/>
                </w:rPr>
                <w:t>de minimis</w:t>
              </w:r>
            </w:hyperlink>
            <w:r w:rsidR="00C127C1" w:rsidRPr="00DA098E">
              <w:rPr>
                <w:rFonts w:cs="Times New Roman"/>
                <w:sz w:val="20"/>
              </w:rPr>
              <w:t xml:space="preserve"> level). Upon completion of the work, the owner must provide a notification to the household describing the hazard reduction activities and a copy of the clearance report.</w:t>
            </w:r>
          </w:p>
        </w:tc>
      </w:tr>
      <w:tr w:rsidR="00E74F31" w14:paraId="0413E8A4" w14:textId="77777777" w:rsidTr="00DA098E">
        <w:tc>
          <w:tcPr>
            <w:tcW w:w="0" w:type="auto"/>
            <w:vMerge/>
            <w:shd w:val="clear" w:color="auto" w:fill="A8D08D" w:themeFill="accent6" w:themeFillTint="99"/>
          </w:tcPr>
          <w:p w14:paraId="57464387" w14:textId="77777777" w:rsidR="00C127C1" w:rsidRPr="0053449D" w:rsidRDefault="00C127C1" w:rsidP="00C127C1">
            <w:pPr>
              <w:pStyle w:val="NoSpacing"/>
            </w:pPr>
          </w:p>
        </w:tc>
        <w:tc>
          <w:tcPr>
            <w:tcW w:w="2564" w:type="dxa"/>
            <w:shd w:val="clear" w:color="auto" w:fill="C5E0B3" w:themeFill="accent6" w:themeFillTint="66"/>
          </w:tcPr>
          <w:p w14:paraId="6A3AF7DC" w14:textId="173B4156" w:rsidR="00C127C1" w:rsidRPr="00DA098E" w:rsidRDefault="00C127C1" w:rsidP="00C127C1">
            <w:pPr>
              <w:pStyle w:val="NoSpacing"/>
              <w:rPr>
                <w:rFonts w:cs="Times New Roman"/>
                <w:sz w:val="20"/>
              </w:rPr>
            </w:pPr>
            <w:r w:rsidRPr="00DA098E">
              <w:rPr>
                <w:sz w:val="20"/>
              </w:rPr>
              <w:t>Ongoing maintenance</w:t>
            </w:r>
          </w:p>
        </w:tc>
        <w:tc>
          <w:tcPr>
            <w:tcW w:w="11335" w:type="dxa"/>
            <w:shd w:val="clear" w:color="auto" w:fill="E2EFD9" w:themeFill="accent6" w:themeFillTint="33"/>
          </w:tcPr>
          <w:p w14:paraId="73439E11" w14:textId="5D94727C" w:rsidR="00C127C1" w:rsidRPr="00DA098E" w:rsidRDefault="00314FA0" w:rsidP="00D130E6">
            <w:pPr>
              <w:pStyle w:val="NoSpacing"/>
              <w:rPr>
                <w:rFonts w:cs="Times New Roman"/>
                <w:sz w:val="20"/>
              </w:rPr>
            </w:pPr>
            <w:r w:rsidRPr="00DA098E">
              <w:rPr>
                <w:rFonts w:cs="Times New Roman"/>
                <w:sz w:val="20"/>
              </w:rPr>
              <w:t xml:space="preserve">If LBP is still present, </w:t>
            </w:r>
            <w:hyperlink r:id="rId177" w:anchor="se24.1.35_11355" w:tooltip="See §35.1355 for ongoing lead-based paint maintenance and reevaluation activities." w:history="1">
              <w:r w:rsidRPr="00DA098E">
                <w:rPr>
                  <w:rStyle w:val="Hyperlink"/>
                  <w:rFonts w:cs="Times New Roman"/>
                  <w:sz w:val="20"/>
                </w:rPr>
                <w:t>o</w:t>
              </w:r>
              <w:r w:rsidR="00C127C1" w:rsidRPr="00DA098E">
                <w:rPr>
                  <w:rStyle w:val="Hyperlink"/>
                  <w:rFonts w:cs="Times New Roman"/>
                  <w:sz w:val="20"/>
                </w:rPr>
                <w:t>ngoing maintenance</w:t>
              </w:r>
            </w:hyperlink>
            <w:r w:rsidR="00C127C1" w:rsidRPr="00DA098E">
              <w:rPr>
                <w:rFonts w:cs="Times New Roman"/>
                <w:sz w:val="20"/>
              </w:rPr>
              <w:t xml:space="preserve"> includes annual visual assessment</w:t>
            </w:r>
            <w:r w:rsidR="003000AC">
              <w:rPr>
                <w:rFonts w:cs="Times New Roman"/>
                <w:sz w:val="20"/>
              </w:rPr>
              <w:t>s</w:t>
            </w:r>
            <w:r w:rsidR="00C127C1" w:rsidRPr="00DA098E">
              <w:rPr>
                <w:rFonts w:cs="Times New Roman"/>
                <w:sz w:val="20"/>
              </w:rPr>
              <w:t xml:space="preserve"> to check for </w:t>
            </w:r>
            <w:r w:rsidR="00383FA4" w:rsidRPr="00DA098E">
              <w:rPr>
                <w:rFonts w:cs="Times New Roman"/>
                <w:sz w:val="20"/>
              </w:rPr>
              <w:t>failed</w:t>
            </w:r>
            <w:r w:rsidR="00C127C1" w:rsidRPr="00DA098E">
              <w:rPr>
                <w:rFonts w:cs="Times New Roman"/>
                <w:sz w:val="20"/>
              </w:rPr>
              <w:t xml:space="preserve"> lead hazard reduction work or </w:t>
            </w:r>
            <w:r w:rsidR="003B329F" w:rsidRPr="00DA098E">
              <w:rPr>
                <w:rFonts w:cs="Times New Roman"/>
                <w:sz w:val="20"/>
              </w:rPr>
              <w:t>deteriorated</w:t>
            </w:r>
            <w:r w:rsidR="00C127C1" w:rsidRPr="00DA098E">
              <w:rPr>
                <w:rFonts w:cs="Times New Roman"/>
                <w:sz w:val="20"/>
              </w:rPr>
              <w:t xml:space="preserve"> paint. Owners must </w:t>
            </w:r>
            <w:r w:rsidR="009E6135" w:rsidRPr="00DA098E">
              <w:rPr>
                <w:rFonts w:cs="Times New Roman"/>
                <w:sz w:val="20"/>
              </w:rPr>
              <w:t>again undertake</w:t>
            </w:r>
            <w:r w:rsidR="009D6B2E" w:rsidRPr="00DA098E">
              <w:rPr>
                <w:rFonts w:cs="Times New Roman"/>
                <w:sz w:val="20"/>
              </w:rPr>
              <w:t xml:space="preserve"> </w:t>
            </w:r>
            <w:r w:rsidR="00C127C1" w:rsidRPr="00DA098E">
              <w:rPr>
                <w:rFonts w:cs="Times New Roman"/>
                <w:sz w:val="20"/>
              </w:rPr>
              <w:t>lead hazard reduction, pass clearance, and provide notice to residents.</w:t>
            </w:r>
          </w:p>
        </w:tc>
      </w:tr>
      <w:tr w:rsidR="00E74F31" w14:paraId="21955FED" w14:textId="77777777" w:rsidTr="00DA098E">
        <w:tc>
          <w:tcPr>
            <w:tcW w:w="0" w:type="auto"/>
            <w:vMerge/>
            <w:shd w:val="clear" w:color="auto" w:fill="A8D08D" w:themeFill="accent6" w:themeFillTint="99"/>
          </w:tcPr>
          <w:p w14:paraId="290512C7" w14:textId="77777777" w:rsidR="00C127C1" w:rsidRPr="00714248" w:rsidRDefault="00C127C1" w:rsidP="00C127C1">
            <w:pPr>
              <w:pStyle w:val="NoSpacing"/>
              <w:rPr>
                <w:rFonts w:cs="Times New Roman"/>
              </w:rPr>
            </w:pPr>
          </w:p>
        </w:tc>
        <w:tc>
          <w:tcPr>
            <w:tcW w:w="2564" w:type="dxa"/>
            <w:shd w:val="clear" w:color="auto" w:fill="C5E0B3" w:themeFill="accent6" w:themeFillTint="66"/>
          </w:tcPr>
          <w:p w14:paraId="6C9598A4" w14:textId="5B8218FA" w:rsidR="00C127C1" w:rsidRPr="00DA098E" w:rsidRDefault="00C127C1" w:rsidP="00C127C1">
            <w:pPr>
              <w:pStyle w:val="NoSpacing"/>
              <w:rPr>
                <w:rFonts w:cs="Times New Roman"/>
                <w:sz w:val="20"/>
              </w:rPr>
            </w:pPr>
            <w:r w:rsidRPr="00DA098E">
              <w:rPr>
                <w:rFonts w:cs="Times New Roman"/>
                <w:sz w:val="20"/>
              </w:rPr>
              <w:t>Options</w:t>
            </w:r>
          </w:p>
        </w:tc>
        <w:tc>
          <w:tcPr>
            <w:tcW w:w="11335" w:type="dxa"/>
            <w:shd w:val="clear" w:color="auto" w:fill="E2EFD9" w:themeFill="accent6" w:themeFillTint="33"/>
          </w:tcPr>
          <w:p w14:paraId="420DAC3C" w14:textId="658479C6" w:rsidR="00C127C1" w:rsidRPr="00DA098E" w:rsidRDefault="00A66919" w:rsidP="00D130E6">
            <w:pPr>
              <w:pStyle w:val="NoSpacing"/>
              <w:rPr>
                <w:rFonts w:cs="Times New Roman"/>
                <w:sz w:val="20"/>
              </w:rPr>
            </w:pPr>
            <w:hyperlink r:id="rId178" w:anchor="se24.1.35_1120" w:tooltip="See §35.120(d) for the option to conduct paint testing." w:history="1">
              <w:r w:rsidR="00C127C1" w:rsidRPr="00DA098E">
                <w:rPr>
                  <w:rStyle w:val="Hyperlink"/>
                  <w:rFonts w:cs="Times New Roman"/>
                  <w:sz w:val="20"/>
                </w:rPr>
                <w:t>Paint testing</w:t>
              </w:r>
            </w:hyperlink>
            <w:r w:rsidR="00C127C1" w:rsidRPr="00DA098E">
              <w:rPr>
                <w:rFonts w:cs="Times New Roman"/>
                <w:sz w:val="20"/>
              </w:rPr>
              <w:t xml:space="preserve">. Use safe work practices only on </w:t>
            </w:r>
            <w:r w:rsidR="00E74F31" w:rsidRPr="00DA098E">
              <w:rPr>
                <w:rFonts w:cs="Times New Roman"/>
                <w:sz w:val="20"/>
              </w:rPr>
              <w:t xml:space="preserve">LBP </w:t>
            </w:r>
            <w:r w:rsidR="00C127C1" w:rsidRPr="00DA098E">
              <w:rPr>
                <w:rFonts w:cs="Times New Roman"/>
                <w:sz w:val="20"/>
              </w:rPr>
              <w:t>surfaces.</w:t>
            </w:r>
          </w:p>
        </w:tc>
      </w:tr>
    </w:tbl>
    <w:p w14:paraId="36590C4E" w14:textId="3324F021" w:rsidR="00714248" w:rsidRPr="00DA098E" w:rsidRDefault="00714248">
      <w:pPr>
        <w:pStyle w:val="NoSpacing"/>
        <w:rPr>
          <w:rFonts w:cs="Times New Roman"/>
          <w:sz w:val="16"/>
          <w:szCs w:val="16"/>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98"/>
        <w:gridCol w:w="5711"/>
        <w:gridCol w:w="6386"/>
        <w:gridCol w:w="836"/>
        <w:gridCol w:w="959"/>
      </w:tblGrid>
      <w:tr w:rsidR="009C6FC2" w14:paraId="739DEECC" w14:textId="77777777" w:rsidTr="00DA098E">
        <w:tc>
          <w:tcPr>
            <w:tcW w:w="0" w:type="auto"/>
            <w:vMerge w:val="restart"/>
            <w:shd w:val="clear" w:color="auto" w:fill="A8D08D" w:themeFill="accent6" w:themeFillTint="99"/>
            <w:textDirection w:val="btLr"/>
          </w:tcPr>
          <w:p w14:paraId="46B9B234" w14:textId="36AA40DF" w:rsidR="00C127C1" w:rsidRDefault="00C127C1" w:rsidP="00DA098E">
            <w:pPr>
              <w:pStyle w:val="NoSpacing"/>
              <w:ind w:left="113" w:right="113"/>
              <w:jc w:val="center"/>
              <w:rPr>
                <w:rFonts w:cs="Times New Roman"/>
                <w:b/>
              </w:rPr>
            </w:pPr>
            <w:r w:rsidRPr="00DA4FD4">
              <w:rPr>
                <w:rFonts w:cs="Times New Roman"/>
                <w:b/>
              </w:rPr>
              <w:t xml:space="preserve">TBRA Protocols for Children with an </w:t>
            </w:r>
            <w:proofErr w:type="spellStart"/>
            <w:r w:rsidR="009C6FC2">
              <w:rPr>
                <w:rFonts w:cs="Times New Roman"/>
                <w:b/>
              </w:rPr>
              <w:t>EBLL</w:t>
            </w:r>
            <w:proofErr w:type="spellEnd"/>
          </w:p>
        </w:tc>
        <w:tc>
          <w:tcPr>
            <w:tcW w:w="5714" w:type="dxa"/>
            <w:shd w:val="clear" w:color="auto" w:fill="C5E0B3" w:themeFill="accent6" w:themeFillTint="66"/>
          </w:tcPr>
          <w:p w14:paraId="28EB476A" w14:textId="4BE7E639" w:rsidR="00C127C1" w:rsidRPr="00DA098E" w:rsidRDefault="00323E0F" w:rsidP="00C127C1">
            <w:pPr>
              <w:pStyle w:val="NoSpacing"/>
              <w:rPr>
                <w:rFonts w:cs="Times New Roman"/>
                <w:sz w:val="20"/>
                <w:szCs w:val="20"/>
              </w:rPr>
            </w:pPr>
            <w:proofErr w:type="spellStart"/>
            <w:r w:rsidRPr="00DA098E">
              <w:rPr>
                <w:rFonts w:cs="Times New Roman"/>
                <w:sz w:val="20"/>
                <w:szCs w:val="20"/>
              </w:rPr>
              <w:t>EBLL</w:t>
            </w:r>
            <w:proofErr w:type="spellEnd"/>
            <w:r w:rsidRPr="00DA098E">
              <w:rPr>
                <w:rFonts w:cs="Times New Roman"/>
                <w:sz w:val="20"/>
                <w:szCs w:val="20"/>
              </w:rPr>
              <w:t xml:space="preserve"> </w:t>
            </w:r>
            <w:r w:rsidR="00C127C1" w:rsidRPr="00DA098E">
              <w:rPr>
                <w:rFonts w:cs="Times New Roman"/>
                <w:sz w:val="20"/>
                <w:szCs w:val="20"/>
              </w:rPr>
              <w:t>Response Activity</w:t>
            </w:r>
          </w:p>
        </w:tc>
        <w:tc>
          <w:tcPr>
            <w:tcW w:w="6390" w:type="dxa"/>
            <w:shd w:val="clear" w:color="auto" w:fill="C5E0B3" w:themeFill="accent6" w:themeFillTint="66"/>
          </w:tcPr>
          <w:p w14:paraId="13BF6164" w14:textId="04F7DBF3" w:rsidR="00C127C1" w:rsidRPr="00DA098E" w:rsidRDefault="00C127C1" w:rsidP="00C127C1">
            <w:pPr>
              <w:pStyle w:val="NoSpacing"/>
              <w:rPr>
                <w:rFonts w:cs="Times New Roman"/>
                <w:sz w:val="20"/>
                <w:szCs w:val="20"/>
              </w:rPr>
            </w:pPr>
            <w:r w:rsidRPr="00DA098E">
              <w:rPr>
                <w:rFonts w:cs="Times New Roman"/>
                <w:sz w:val="20"/>
                <w:szCs w:val="20"/>
              </w:rPr>
              <w:t>Timeframe</w:t>
            </w:r>
          </w:p>
        </w:tc>
        <w:tc>
          <w:tcPr>
            <w:tcW w:w="836" w:type="dxa"/>
            <w:shd w:val="clear" w:color="auto" w:fill="C5E0B3" w:themeFill="accent6" w:themeFillTint="66"/>
          </w:tcPr>
          <w:p w14:paraId="3008029C" w14:textId="10A66EE7" w:rsidR="00C127C1" w:rsidRPr="00DA098E" w:rsidRDefault="00C127C1" w:rsidP="00DA098E">
            <w:pPr>
              <w:pStyle w:val="NoSpacing"/>
              <w:jc w:val="right"/>
              <w:rPr>
                <w:rFonts w:cs="Times New Roman"/>
                <w:sz w:val="20"/>
                <w:szCs w:val="20"/>
              </w:rPr>
            </w:pPr>
            <w:r w:rsidRPr="00DA098E">
              <w:rPr>
                <w:rFonts w:cs="Times New Roman"/>
                <w:sz w:val="20"/>
                <w:szCs w:val="20"/>
              </w:rPr>
              <w:t>Owner</w:t>
            </w:r>
          </w:p>
        </w:tc>
        <w:tc>
          <w:tcPr>
            <w:tcW w:w="959" w:type="dxa"/>
            <w:shd w:val="clear" w:color="auto" w:fill="C5E0B3" w:themeFill="accent6" w:themeFillTint="66"/>
          </w:tcPr>
          <w:p w14:paraId="3E58E6E0" w14:textId="421237AB" w:rsidR="00C127C1" w:rsidRPr="00DA098E" w:rsidRDefault="00C127C1" w:rsidP="00DA098E">
            <w:pPr>
              <w:pStyle w:val="NoSpacing"/>
              <w:jc w:val="right"/>
              <w:rPr>
                <w:rFonts w:cs="Times New Roman"/>
                <w:sz w:val="20"/>
                <w:szCs w:val="20"/>
              </w:rPr>
            </w:pPr>
            <w:r w:rsidRPr="00DA098E">
              <w:rPr>
                <w:rFonts w:cs="Times New Roman"/>
                <w:sz w:val="20"/>
                <w:szCs w:val="20"/>
              </w:rPr>
              <w:t>Sponsor</w:t>
            </w:r>
          </w:p>
        </w:tc>
      </w:tr>
      <w:tr w:rsidR="000240E7" w14:paraId="39A1DC43" w14:textId="77777777" w:rsidTr="00D130E6">
        <w:tc>
          <w:tcPr>
            <w:tcW w:w="0" w:type="auto"/>
            <w:vMerge/>
            <w:shd w:val="clear" w:color="auto" w:fill="A8D08D" w:themeFill="accent6" w:themeFillTint="99"/>
          </w:tcPr>
          <w:p w14:paraId="7181BEBB" w14:textId="77777777" w:rsidR="000240E7" w:rsidRDefault="000240E7" w:rsidP="000240E7">
            <w:pPr>
              <w:pStyle w:val="NoSpacing"/>
              <w:rPr>
                <w:rFonts w:cs="Times New Roman"/>
              </w:rPr>
            </w:pPr>
          </w:p>
        </w:tc>
        <w:tc>
          <w:tcPr>
            <w:tcW w:w="5714" w:type="dxa"/>
            <w:shd w:val="clear" w:color="auto" w:fill="E2EFD9" w:themeFill="accent6" w:themeFillTint="33"/>
          </w:tcPr>
          <w:p w14:paraId="2056A310" w14:textId="20A0644C" w:rsidR="000240E7" w:rsidRPr="00DA098E" w:rsidRDefault="000240E7" w:rsidP="000240E7">
            <w:pPr>
              <w:pStyle w:val="NoSpacing"/>
              <w:rPr>
                <w:rFonts w:cs="Times New Roman"/>
                <w:sz w:val="20"/>
                <w:szCs w:val="20"/>
              </w:rPr>
            </w:pPr>
            <w:r w:rsidRPr="006F5A46">
              <w:rPr>
                <w:rFonts w:cs="Times New Roman"/>
                <w:sz w:val="20"/>
                <w:szCs w:val="20"/>
              </w:rPr>
              <w:t xml:space="preserve">If a child has an </w:t>
            </w:r>
            <w:hyperlink r:id="rId179" w:anchor="se24.1.35_11225" w:tooltip="See §35.1225 for TBRA EBLL requirements." w:history="1">
              <w:r w:rsidRPr="006F5A46">
                <w:rPr>
                  <w:rStyle w:val="Hyperlink"/>
                  <w:rFonts w:cs="Times New Roman"/>
                  <w:sz w:val="20"/>
                </w:rPr>
                <w:t>Elevated Blood Lead Level</w:t>
              </w:r>
            </w:hyperlink>
            <w:r w:rsidRPr="006F5A46">
              <w:rPr>
                <w:rFonts w:cs="Times New Roman"/>
                <w:sz w:val="20"/>
              </w:rPr>
              <w:t xml:space="preserve"> </w:t>
            </w:r>
            <w:r>
              <w:rPr>
                <w:rFonts w:cs="Times New Roman"/>
                <w:sz w:val="20"/>
              </w:rPr>
              <w:t>(</w:t>
            </w:r>
            <w:proofErr w:type="spellStart"/>
            <w:r w:rsidRPr="006F5A46">
              <w:rPr>
                <w:rFonts w:cs="Times New Roman"/>
                <w:sz w:val="20"/>
                <w:szCs w:val="20"/>
              </w:rPr>
              <w:t>EBLL</w:t>
            </w:r>
            <w:proofErr w:type="spellEnd"/>
            <w:r>
              <w:rPr>
                <w:rFonts w:cs="Times New Roman"/>
                <w:sz w:val="20"/>
                <w:szCs w:val="20"/>
              </w:rPr>
              <w:t>)</w:t>
            </w:r>
            <w:r w:rsidRPr="006F5A46">
              <w:rPr>
                <w:rFonts w:cs="Times New Roman"/>
                <w:sz w:val="20"/>
                <w:szCs w:val="20"/>
              </w:rPr>
              <w:t xml:space="preserve">, notify the </w:t>
            </w:r>
            <w:hyperlink r:id="rId180" w:anchor="fortworth" w:history="1">
              <w:r w:rsidRPr="006F5A46">
                <w:rPr>
                  <w:rStyle w:val="Hyperlink"/>
                  <w:sz w:val="20"/>
                  <w:szCs w:val="20"/>
                </w:rPr>
                <w:t>local HUD field office</w:t>
              </w:r>
            </w:hyperlink>
            <w:r>
              <w:rPr>
                <w:rFonts w:cs="Times New Roman"/>
                <w:sz w:val="20"/>
                <w:szCs w:val="20"/>
              </w:rPr>
              <w:t xml:space="preserve">, </w:t>
            </w:r>
            <w:hyperlink r:id="rId181" w:history="1">
              <w:r w:rsidRPr="002A57C8">
                <w:rPr>
                  <w:rStyle w:val="Hyperlink"/>
                  <w:rFonts w:cs="Times New Roman"/>
                  <w:sz w:val="20"/>
                  <w:szCs w:val="20"/>
                </w:rPr>
                <w:t>HUD’s Office of Lead Hazard Control and Healthy Homes (</w:t>
              </w:r>
              <w:proofErr w:type="spellStart"/>
              <w:r w:rsidRPr="002A57C8">
                <w:rPr>
                  <w:rStyle w:val="Hyperlink"/>
                  <w:rFonts w:cs="Times New Roman"/>
                  <w:sz w:val="20"/>
                  <w:szCs w:val="20"/>
                </w:rPr>
                <w:t>OLHCHH</w:t>
              </w:r>
              <w:proofErr w:type="spellEnd"/>
              <w:r w:rsidRPr="002A57C8">
                <w:rPr>
                  <w:rStyle w:val="Hyperlink"/>
                  <w:rFonts w:cs="Times New Roman"/>
                  <w:sz w:val="20"/>
                  <w:szCs w:val="20"/>
                </w:rPr>
                <w:t>)</w:t>
              </w:r>
            </w:hyperlink>
            <w:r>
              <w:rPr>
                <w:rFonts w:cs="Times New Roman"/>
                <w:sz w:val="20"/>
                <w:szCs w:val="20"/>
              </w:rPr>
              <w:t>,</w:t>
            </w:r>
            <w:r w:rsidRPr="006F5A46">
              <w:rPr>
                <w:rFonts w:cs="Times New Roman"/>
                <w:sz w:val="20"/>
                <w:szCs w:val="20"/>
              </w:rPr>
              <w:t xml:space="preserve"> and </w:t>
            </w:r>
            <w:hyperlink r:id="rId182" w:history="1">
              <w:r w:rsidRPr="006F5A46">
                <w:rPr>
                  <w:rStyle w:val="Hyperlink"/>
                  <w:sz w:val="20"/>
                  <w:szCs w:val="20"/>
                </w:rPr>
                <w:t>public health department</w:t>
              </w:r>
            </w:hyperlink>
            <w:r w:rsidRPr="006F5A46">
              <w:rPr>
                <w:rFonts w:cs="Times New Roman"/>
                <w:sz w:val="20"/>
                <w:szCs w:val="20"/>
              </w:rPr>
              <w:t xml:space="preserve"> of the </w:t>
            </w:r>
            <w:proofErr w:type="spellStart"/>
            <w:r w:rsidRPr="006F5A46">
              <w:rPr>
                <w:rFonts w:cs="Times New Roman"/>
                <w:sz w:val="20"/>
                <w:szCs w:val="20"/>
              </w:rPr>
              <w:t>EBLL</w:t>
            </w:r>
            <w:proofErr w:type="spellEnd"/>
            <w:r w:rsidRPr="006F5A46">
              <w:rPr>
                <w:rFonts w:cs="Times New Roman"/>
                <w:sz w:val="20"/>
                <w:szCs w:val="20"/>
              </w:rPr>
              <w:t xml:space="preserve"> case</w:t>
            </w:r>
          </w:p>
        </w:tc>
        <w:tc>
          <w:tcPr>
            <w:tcW w:w="6390" w:type="dxa"/>
            <w:shd w:val="clear" w:color="auto" w:fill="E2EFD9" w:themeFill="accent6" w:themeFillTint="33"/>
          </w:tcPr>
          <w:p w14:paraId="2EA47B61" w14:textId="041CB236" w:rsidR="000240E7" w:rsidRPr="00DA098E" w:rsidRDefault="000240E7" w:rsidP="000240E7">
            <w:pPr>
              <w:pStyle w:val="NoSpacing"/>
              <w:rPr>
                <w:rFonts w:cs="Times New Roman"/>
                <w:sz w:val="20"/>
                <w:szCs w:val="20"/>
              </w:rPr>
            </w:pPr>
            <w:r w:rsidRPr="00DA098E">
              <w:rPr>
                <w:rFonts w:cs="Times New Roman"/>
                <w:sz w:val="20"/>
                <w:szCs w:val="20"/>
              </w:rPr>
              <w:t xml:space="preserve">Within 5 business days of verifying the </w:t>
            </w:r>
            <w:proofErr w:type="spellStart"/>
            <w:r w:rsidRPr="00DA098E">
              <w:rPr>
                <w:rFonts w:cs="Times New Roman"/>
                <w:sz w:val="20"/>
                <w:szCs w:val="20"/>
              </w:rPr>
              <w:t>EBLL</w:t>
            </w:r>
            <w:proofErr w:type="spellEnd"/>
          </w:p>
        </w:tc>
        <w:tc>
          <w:tcPr>
            <w:tcW w:w="836" w:type="dxa"/>
            <w:shd w:val="clear" w:color="auto" w:fill="E2EFD9" w:themeFill="accent6" w:themeFillTint="33"/>
          </w:tcPr>
          <w:p w14:paraId="771E0F9A" w14:textId="32FE556A" w:rsidR="000240E7" w:rsidRPr="00DA098E" w:rsidRDefault="000240E7" w:rsidP="00DA098E">
            <w:pPr>
              <w:pStyle w:val="NoSpacing"/>
              <w:jc w:val="right"/>
              <w:rPr>
                <w:rFonts w:cs="Times New Roman"/>
                <w:sz w:val="20"/>
                <w:szCs w:val="20"/>
              </w:rPr>
            </w:pPr>
            <w:r w:rsidRPr="00DA098E">
              <w:rPr>
                <w:rFonts w:cs="Times New Roman"/>
                <w:sz w:val="20"/>
                <w:szCs w:val="20"/>
              </w:rPr>
              <w:sym w:font="Wingdings" w:char="F0FC"/>
            </w:r>
          </w:p>
        </w:tc>
        <w:tc>
          <w:tcPr>
            <w:tcW w:w="959" w:type="dxa"/>
            <w:shd w:val="clear" w:color="auto" w:fill="E2EFD9" w:themeFill="accent6" w:themeFillTint="33"/>
          </w:tcPr>
          <w:p w14:paraId="57497F34" w14:textId="77777777" w:rsidR="000240E7" w:rsidRPr="00DA098E" w:rsidRDefault="000240E7" w:rsidP="00DA098E">
            <w:pPr>
              <w:pStyle w:val="NoSpacing"/>
              <w:jc w:val="right"/>
              <w:rPr>
                <w:rFonts w:cs="Times New Roman"/>
                <w:sz w:val="20"/>
                <w:szCs w:val="20"/>
              </w:rPr>
            </w:pPr>
          </w:p>
        </w:tc>
      </w:tr>
      <w:tr w:rsidR="00D130E6" w14:paraId="308DA283" w14:textId="77777777" w:rsidTr="00D130E6">
        <w:tc>
          <w:tcPr>
            <w:tcW w:w="0" w:type="auto"/>
            <w:vMerge/>
            <w:shd w:val="clear" w:color="auto" w:fill="A8D08D" w:themeFill="accent6" w:themeFillTint="99"/>
          </w:tcPr>
          <w:p w14:paraId="37E7E492" w14:textId="77777777" w:rsidR="00C127C1" w:rsidRDefault="00C127C1" w:rsidP="00C127C1">
            <w:pPr>
              <w:pStyle w:val="NoSpacing"/>
              <w:rPr>
                <w:rFonts w:cs="Times New Roman"/>
              </w:rPr>
            </w:pPr>
          </w:p>
        </w:tc>
        <w:tc>
          <w:tcPr>
            <w:tcW w:w="5714" w:type="dxa"/>
            <w:shd w:val="clear" w:color="auto" w:fill="E2EFD9" w:themeFill="accent6" w:themeFillTint="33"/>
          </w:tcPr>
          <w:p w14:paraId="65C2724F" w14:textId="07A52DC6" w:rsidR="00C127C1" w:rsidRPr="00DA098E" w:rsidRDefault="002C1CD9" w:rsidP="00D130E6">
            <w:pPr>
              <w:pStyle w:val="NoSpacing"/>
              <w:rPr>
                <w:rFonts w:cs="Times New Roman"/>
                <w:sz w:val="20"/>
                <w:szCs w:val="20"/>
              </w:rPr>
            </w:pPr>
            <w:r w:rsidRPr="00DA098E">
              <w:rPr>
                <w:rFonts w:cs="Times New Roman"/>
                <w:sz w:val="20"/>
                <w:szCs w:val="20"/>
              </w:rPr>
              <w:t>If</w:t>
            </w:r>
            <w:r w:rsidR="00C127C1" w:rsidRPr="00DA098E">
              <w:rPr>
                <w:rFonts w:cs="Times New Roman"/>
                <w:sz w:val="20"/>
                <w:szCs w:val="20"/>
              </w:rPr>
              <w:t xml:space="preserve"> necessary, verify the </w:t>
            </w:r>
            <w:proofErr w:type="spellStart"/>
            <w:r w:rsidRPr="00DA098E">
              <w:rPr>
                <w:rFonts w:cs="Times New Roman"/>
                <w:sz w:val="20"/>
                <w:szCs w:val="20"/>
              </w:rPr>
              <w:t>EBLL</w:t>
            </w:r>
            <w:proofErr w:type="spellEnd"/>
            <w:r w:rsidR="00C127C1" w:rsidRPr="00DA098E">
              <w:rPr>
                <w:rFonts w:cs="Times New Roman"/>
                <w:sz w:val="20"/>
                <w:szCs w:val="20"/>
              </w:rPr>
              <w:t xml:space="preserve"> </w:t>
            </w:r>
            <w:r w:rsidRPr="00DA098E">
              <w:rPr>
                <w:rFonts w:cs="Times New Roman"/>
                <w:sz w:val="20"/>
                <w:szCs w:val="20"/>
              </w:rPr>
              <w:t>case with</w:t>
            </w:r>
            <w:r w:rsidR="00C127C1" w:rsidRPr="00DA098E">
              <w:rPr>
                <w:rFonts w:cs="Times New Roman"/>
                <w:sz w:val="20"/>
                <w:szCs w:val="20"/>
              </w:rPr>
              <w:t xml:space="preserve"> </w:t>
            </w:r>
            <w:r w:rsidRPr="00DA098E">
              <w:rPr>
                <w:rFonts w:cs="Times New Roman"/>
                <w:sz w:val="20"/>
                <w:szCs w:val="20"/>
              </w:rPr>
              <w:t>the</w:t>
            </w:r>
            <w:r w:rsidR="00C127C1" w:rsidRPr="00DA098E">
              <w:rPr>
                <w:rFonts w:cs="Times New Roman"/>
                <w:sz w:val="20"/>
                <w:szCs w:val="20"/>
              </w:rPr>
              <w:t xml:space="preserve"> </w:t>
            </w:r>
            <w:r w:rsidRPr="00DA098E">
              <w:rPr>
                <w:rFonts w:cs="Times New Roman"/>
                <w:sz w:val="20"/>
                <w:szCs w:val="20"/>
              </w:rPr>
              <w:t>medical</w:t>
            </w:r>
            <w:r w:rsidR="00C127C1" w:rsidRPr="00DA098E">
              <w:rPr>
                <w:rFonts w:cs="Times New Roman"/>
                <w:sz w:val="20"/>
                <w:szCs w:val="20"/>
              </w:rPr>
              <w:t xml:space="preserve"> provider</w:t>
            </w:r>
          </w:p>
        </w:tc>
        <w:tc>
          <w:tcPr>
            <w:tcW w:w="6390" w:type="dxa"/>
            <w:shd w:val="clear" w:color="auto" w:fill="E2EFD9" w:themeFill="accent6" w:themeFillTint="33"/>
          </w:tcPr>
          <w:p w14:paraId="4991FB38" w14:textId="27BEDD2C" w:rsidR="00C127C1" w:rsidRPr="00DA098E" w:rsidRDefault="00C127C1" w:rsidP="00C127C1">
            <w:pPr>
              <w:pStyle w:val="NoSpacing"/>
              <w:rPr>
                <w:rFonts w:cs="Times New Roman"/>
                <w:sz w:val="20"/>
                <w:szCs w:val="20"/>
              </w:rPr>
            </w:pPr>
            <w:r w:rsidRPr="00DA098E">
              <w:rPr>
                <w:rFonts w:cs="Times New Roman"/>
                <w:sz w:val="20"/>
                <w:szCs w:val="20"/>
              </w:rPr>
              <w:t>-</w:t>
            </w:r>
          </w:p>
        </w:tc>
        <w:tc>
          <w:tcPr>
            <w:tcW w:w="836" w:type="dxa"/>
            <w:shd w:val="clear" w:color="auto" w:fill="E2EFD9" w:themeFill="accent6" w:themeFillTint="33"/>
          </w:tcPr>
          <w:p w14:paraId="005F6B50" w14:textId="77777777" w:rsidR="00C127C1" w:rsidRPr="00DA098E" w:rsidRDefault="00C127C1" w:rsidP="00DA098E">
            <w:pPr>
              <w:pStyle w:val="NoSpacing"/>
              <w:jc w:val="right"/>
              <w:rPr>
                <w:rFonts w:cs="Times New Roman"/>
                <w:sz w:val="20"/>
                <w:szCs w:val="20"/>
              </w:rPr>
            </w:pPr>
          </w:p>
        </w:tc>
        <w:tc>
          <w:tcPr>
            <w:tcW w:w="959" w:type="dxa"/>
            <w:shd w:val="clear" w:color="auto" w:fill="E2EFD9" w:themeFill="accent6" w:themeFillTint="33"/>
          </w:tcPr>
          <w:p w14:paraId="67A498FA" w14:textId="5BB9F074" w:rsidR="00C127C1" w:rsidRPr="00DA098E" w:rsidRDefault="00C127C1" w:rsidP="00DA098E">
            <w:pPr>
              <w:pStyle w:val="NoSpacing"/>
              <w:jc w:val="right"/>
              <w:rPr>
                <w:rFonts w:cs="Times New Roman"/>
                <w:sz w:val="20"/>
                <w:szCs w:val="20"/>
              </w:rPr>
            </w:pPr>
            <w:r w:rsidRPr="00DA098E">
              <w:rPr>
                <w:rFonts w:cs="Times New Roman"/>
                <w:sz w:val="20"/>
                <w:szCs w:val="20"/>
              </w:rPr>
              <w:sym w:font="Wingdings" w:char="F0FC"/>
            </w:r>
          </w:p>
        </w:tc>
      </w:tr>
      <w:tr w:rsidR="00D130E6" w14:paraId="6416F90A" w14:textId="77777777" w:rsidTr="00D130E6">
        <w:tc>
          <w:tcPr>
            <w:tcW w:w="0" w:type="auto"/>
            <w:vMerge/>
            <w:shd w:val="clear" w:color="auto" w:fill="A8D08D" w:themeFill="accent6" w:themeFillTint="99"/>
          </w:tcPr>
          <w:p w14:paraId="533E3A5E" w14:textId="77777777" w:rsidR="00C127C1" w:rsidRDefault="00C127C1" w:rsidP="00C127C1">
            <w:pPr>
              <w:pStyle w:val="NoSpacing"/>
              <w:rPr>
                <w:rFonts w:cs="Times New Roman"/>
              </w:rPr>
            </w:pPr>
          </w:p>
        </w:tc>
        <w:tc>
          <w:tcPr>
            <w:tcW w:w="5714" w:type="dxa"/>
            <w:shd w:val="clear" w:color="auto" w:fill="E2EFD9" w:themeFill="accent6" w:themeFillTint="33"/>
          </w:tcPr>
          <w:p w14:paraId="337D81DA" w14:textId="2ABC67CE" w:rsidR="00C127C1" w:rsidRPr="00DA098E" w:rsidRDefault="00C127C1" w:rsidP="00C127C1">
            <w:pPr>
              <w:pStyle w:val="NoSpacing"/>
              <w:rPr>
                <w:rFonts w:cs="Times New Roman"/>
                <w:sz w:val="20"/>
                <w:szCs w:val="20"/>
              </w:rPr>
            </w:pPr>
            <w:r w:rsidRPr="00DA098E">
              <w:rPr>
                <w:rFonts w:cs="Times New Roman"/>
                <w:sz w:val="20"/>
                <w:szCs w:val="20"/>
              </w:rPr>
              <w:t xml:space="preserve">Conduct an </w:t>
            </w:r>
            <w:hyperlink r:id="rId183" w:anchor="se24.1.35_1110" w:tooltip="See 24 CFR §35.110 for the definition of environmental investigation." w:history="1">
              <w:r w:rsidRPr="00DA098E">
                <w:rPr>
                  <w:rStyle w:val="Hyperlink"/>
                  <w:rFonts w:cs="Times New Roman"/>
                  <w:sz w:val="20"/>
                  <w:szCs w:val="20"/>
                </w:rPr>
                <w:t>environmental investigation</w:t>
              </w:r>
            </w:hyperlink>
            <w:r w:rsidRPr="00DA098E">
              <w:rPr>
                <w:rFonts w:cs="Times New Roman"/>
                <w:sz w:val="20"/>
                <w:szCs w:val="20"/>
              </w:rPr>
              <w:t xml:space="preserve"> </w:t>
            </w:r>
            <w:r w:rsidR="00E74F31" w:rsidRPr="00DA098E">
              <w:rPr>
                <w:rFonts w:cs="Times New Roman"/>
                <w:sz w:val="20"/>
                <w:szCs w:val="20"/>
              </w:rPr>
              <w:t xml:space="preserve">(EI) </w:t>
            </w:r>
            <w:r w:rsidRPr="00DA098E">
              <w:rPr>
                <w:rFonts w:cs="Times New Roman"/>
                <w:sz w:val="20"/>
                <w:szCs w:val="20"/>
              </w:rPr>
              <w:t>of the index unit</w:t>
            </w:r>
          </w:p>
        </w:tc>
        <w:tc>
          <w:tcPr>
            <w:tcW w:w="6390" w:type="dxa"/>
            <w:shd w:val="clear" w:color="auto" w:fill="E2EFD9" w:themeFill="accent6" w:themeFillTint="33"/>
          </w:tcPr>
          <w:p w14:paraId="0464D754" w14:textId="12B0C636" w:rsidR="00C127C1" w:rsidRPr="00DA098E" w:rsidRDefault="00C127C1" w:rsidP="00C127C1">
            <w:pPr>
              <w:pStyle w:val="NoSpacing"/>
              <w:rPr>
                <w:rFonts w:cs="Times New Roman"/>
                <w:sz w:val="20"/>
                <w:szCs w:val="20"/>
              </w:rPr>
            </w:pPr>
            <w:r w:rsidRPr="00DA098E">
              <w:rPr>
                <w:rFonts w:cs="Times New Roman"/>
                <w:sz w:val="20"/>
                <w:szCs w:val="20"/>
              </w:rPr>
              <w:t xml:space="preserve">Within 15 calendar days of verifying the </w:t>
            </w:r>
            <w:proofErr w:type="spellStart"/>
            <w:r w:rsidRPr="00DA098E">
              <w:rPr>
                <w:rFonts w:cs="Times New Roman"/>
                <w:sz w:val="20"/>
                <w:szCs w:val="20"/>
              </w:rPr>
              <w:t>EBLL</w:t>
            </w:r>
            <w:proofErr w:type="spellEnd"/>
          </w:p>
        </w:tc>
        <w:tc>
          <w:tcPr>
            <w:tcW w:w="836" w:type="dxa"/>
            <w:shd w:val="clear" w:color="auto" w:fill="E2EFD9" w:themeFill="accent6" w:themeFillTint="33"/>
          </w:tcPr>
          <w:p w14:paraId="2BA56CB6" w14:textId="77777777" w:rsidR="00C127C1" w:rsidRPr="00DA098E" w:rsidRDefault="00C127C1" w:rsidP="00DA098E">
            <w:pPr>
              <w:pStyle w:val="NoSpacing"/>
              <w:jc w:val="right"/>
              <w:rPr>
                <w:rFonts w:cs="Times New Roman"/>
                <w:sz w:val="20"/>
                <w:szCs w:val="20"/>
              </w:rPr>
            </w:pPr>
          </w:p>
        </w:tc>
        <w:tc>
          <w:tcPr>
            <w:tcW w:w="959" w:type="dxa"/>
            <w:shd w:val="clear" w:color="auto" w:fill="E2EFD9" w:themeFill="accent6" w:themeFillTint="33"/>
          </w:tcPr>
          <w:p w14:paraId="044848A1" w14:textId="58D89802" w:rsidR="00C127C1" w:rsidRPr="00DA098E" w:rsidRDefault="00C127C1" w:rsidP="00DA098E">
            <w:pPr>
              <w:pStyle w:val="NoSpacing"/>
              <w:jc w:val="right"/>
              <w:rPr>
                <w:rFonts w:cs="Times New Roman"/>
                <w:sz w:val="20"/>
                <w:szCs w:val="20"/>
              </w:rPr>
            </w:pPr>
            <w:r w:rsidRPr="00DA098E">
              <w:rPr>
                <w:rFonts w:cs="Times New Roman"/>
                <w:sz w:val="20"/>
                <w:szCs w:val="20"/>
              </w:rPr>
              <w:sym w:font="Wingdings" w:char="F0FC"/>
            </w:r>
          </w:p>
        </w:tc>
      </w:tr>
      <w:tr w:rsidR="00D130E6" w14:paraId="5352F125" w14:textId="77777777" w:rsidTr="00D130E6">
        <w:tc>
          <w:tcPr>
            <w:tcW w:w="0" w:type="auto"/>
            <w:vMerge/>
            <w:shd w:val="clear" w:color="auto" w:fill="A8D08D" w:themeFill="accent6" w:themeFillTint="99"/>
          </w:tcPr>
          <w:p w14:paraId="04FB05E8" w14:textId="77777777" w:rsidR="00C127C1" w:rsidRDefault="00C127C1" w:rsidP="00C127C1">
            <w:pPr>
              <w:pStyle w:val="NoSpacing"/>
              <w:rPr>
                <w:rFonts w:cs="Times New Roman"/>
              </w:rPr>
            </w:pPr>
          </w:p>
        </w:tc>
        <w:tc>
          <w:tcPr>
            <w:tcW w:w="5714" w:type="dxa"/>
            <w:shd w:val="clear" w:color="auto" w:fill="E2EFD9" w:themeFill="accent6" w:themeFillTint="33"/>
          </w:tcPr>
          <w:p w14:paraId="71274591" w14:textId="5B73F8CC" w:rsidR="00C127C1" w:rsidRPr="00DA098E" w:rsidRDefault="00C127C1" w:rsidP="00D130E6">
            <w:pPr>
              <w:pStyle w:val="NoSpacing"/>
              <w:rPr>
                <w:rFonts w:cs="Times New Roman"/>
                <w:sz w:val="20"/>
                <w:szCs w:val="20"/>
              </w:rPr>
            </w:pPr>
            <w:r w:rsidRPr="00DA098E">
              <w:rPr>
                <w:rFonts w:cs="Times New Roman"/>
                <w:sz w:val="20"/>
                <w:szCs w:val="20"/>
              </w:rPr>
              <w:t>Notify the local HUD field office</w:t>
            </w:r>
            <w:r w:rsidR="002A57C8">
              <w:rPr>
                <w:rFonts w:cs="Times New Roman"/>
                <w:sz w:val="20"/>
                <w:szCs w:val="20"/>
              </w:rPr>
              <w:t xml:space="preserve"> and </w:t>
            </w:r>
            <w:proofErr w:type="spellStart"/>
            <w:r w:rsidR="002A57C8">
              <w:rPr>
                <w:rFonts w:cs="Times New Roman"/>
                <w:sz w:val="20"/>
                <w:szCs w:val="20"/>
              </w:rPr>
              <w:t>OLHCHH</w:t>
            </w:r>
            <w:proofErr w:type="spellEnd"/>
            <w:r w:rsidRPr="00DA098E">
              <w:rPr>
                <w:rFonts w:cs="Times New Roman"/>
                <w:sz w:val="20"/>
                <w:szCs w:val="20"/>
              </w:rPr>
              <w:t xml:space="preserve"> of </w:t>
            </w:r>
            <w:r w:rsidR="00E74F31" w:rsidRPr="00DA098E">
              <w:rPr>
                <w:rFonts w:cs="Times New Roman"/>
                <w:sz w:val="20"/>
                <w:szCs w:val="20"/>
              </w:rPr>
              <w:t>EI</w:t>
            </w:r>
            <w:r w:rsidRPr="00DA098E">
              <w:rPr>
                <w:rFonts w:cs="Times New Roman"/>
                <w:sz w:val="20"/>
                <w:szCs w:val="20"/>
              </w:rPr>
              <w:t xml:space="preserve"> results</w:t>
            </w:r>
          </w:p>
        </w:tc>
        <w:tc>
          <w:tcPr>
            <w:tcW w:w="6390" w:type="dxa"/>
            <w:shd w:val="clear" w:color="auto" w:fill="E2EFD9" w:themeFill="accent6" w:themeFillTint="33"/>
          </w:tcPr>
          <w:p w14:paraId="0AA4CEE1" w14:textId="4AFD017A" w:rsidR="00C127C1" w:rsidRPr="00DA098E" w:rsidRDefault="00C127C1">
            <w:pPr>
              <w:pStyle w:val="NoSpacing"/>
              <w:rPr>
                <w:rFonts w:cs="Times New Roman"/>
                <w:sz w:val="20"/>
                <w:szCs w:val="20"/>
              </w:rPr>
            </w:pPr>
            <w:r w:rsidRPr="00DA098E">
              <w:rPr>
                <w:rFonts w:cs="Times New Roman"/>
                <w:sz w:val="20"/>
                <w:szCs w:val="20"/>
              </w:rPr>
              <w:t xml:space="preserve">Within 10 business days of receiving the </w:t>
            </w:r>
            <w:r w:rsidR="00E74F31" w:rsidRPr="00DA098E">
              <w:rPr>
                <w:rFonts w:cs="Times New Roman"/>
                <w:sz w:val="20"/>
                <w:szCs w:val="20"/>
              </w:rPr>
              <w:t>EI</w:t>
            </w:r>
            <w:r w:rsidRPr="00DA098E">
              <w:rPr>
                <w:rFonts w:cs="Times New Roman"/>
                <w:sz w:val="20"/>
                <w:szCs w:val="20"/>
              </w:rPr>
              <w:t xml:space="preserve"> results</w:t>
            </w:r>
          </w:p>
        </w:tc>
        <w:tc>
          <w:tcPr>
            <w:tcW w:w="836" w:type="dxa"/>
            <w:shd w:val="clear" w:color="auto" w:fill="E2EFD9" w:themeFill="accent6" w:themeFillTint="33"/>
          </w:tcPr>
          <w:p w14:paraId="6FA1434F" w14:textId="77777777" w:rsidR="00C127C1" w:rsidRPr="00DA098E" w:rsidRDefault="00C127C1" w:rsidP="00C127C1">
            <w:pPr>
              <w:pStyle w:val="NoSpacing"/>
              <w:jc w:val="right"/>
              <w:rPr>
                <w:rFonts w:cs="Times New Roman"/>
                <w:sz w:val="20"/>
                <w:szCs w:val="20"/>
              </w:rPr>
            </w:pPr>
          </w:p>
        </w:tc>
        <w:tc>
          <w:tcPr>
            <w:tcW w:w="959" w:type="dxa"/>
            <w:shd w:val="clear" w:color="auto" w:fill="E2EFD9" w:themeFill="accent6" w:themeFillTint="33"/>
          </w:tcPr>
          <w:p w14:paraId="18A02909" w14:textId="77777777" w:rsidR="00C127C1" w:rsidRPr="00DA098E" w:rsidRDefault="00C127C1" w:rsidP="00C127C1">
            <w:pPr>
              <w:pStyle w:val="NoSpacing"/>
              <w:jc w:val="right"/>
              <w:rPr>
                <w:rFonts w:cs="Times New Roman"/>
                <w:sz w:val="20"/>
                <w:szCs w:val="20"/>
              </w:rPr>
            </w:pPr>
          </w:p>
        </w:tc>
      </w:tr>
      <w:tr w:rsidR="00D130E6" w14:paraId="127FCC12" w14:textId="77777777" w:rsidTr="00D130E6">
        <w:tc>
          <w:tcPr>
            <w:tcW w:w="0" w:type="auto"/>
            <w:vMerge/>
            <w:shd w:val="clear" w:color="auto" w:fill="A8D08D" w:themeFill="accent6" w:themeFillTint="99"/>
          </w:tcPr>
          <w:p w14:paraId="7E27A8A7" w14:textId="77777777" w:rsidR="00C127C1" w:rsidRDefault="00C127C1" w:rsidP="00C127C1">
            <w:pPr>
              <w:pStyle w:val="NoSpacing"/>
              <w:rPr>
                <w:rFonts w:cs="Times New Roman"/>
              </w:rPr>
            </w:pPr>
          </w:p>
        </w:tc>
        <w:tc>
          <w:tcPr>
            <w:tcW w:w="5714" w:type="dxa"/>
            <w:shd w:val="clear" w:color="auto" w:fill="E2EFD9" w:themeFill="accent6" w:themeFillTint="33"/>
          </w:tcPr>
          <w:p w14:paraId="02D690E0" w14:textId="7BF9C972" w:rsidR="00C127C1" w:rsidRPr="00DA098E" w:rsidRDefault="00C127C1" w:rsidP="00C127C1">
            <w:pPr>
              <w:pStyle w:val="NoSpacing"/>
              <w:rPr>
                <w:rFonts w:cs="Times New Roman"/>
                <w:sz w:val="20"/>
                <w:szCs w:val="20"/>
              </w:rPr>
            </w:pPr>
            <w:r w:rsidRPr="00DA098E">
              <w:rPr>
                <w:rFonts w:cs="Times New Roman"/>
                <w:sz w:val="20"/>
                <w:szCs w:val="20"/>
              </w:rPr>
              <w:t xml:space="preserve">Conduct a </w:t>
            </w:r>
            <w:hyperlink r:id="rId184" w:anchor="se24.1.35_1110" w:tooltip="See 24 CFR §35.110 for the definition of risk assessment." w:history="1">
              <w:r w:rsidR="00E74F31" w:rsidRPr="00DA098E">
                <w:rPr>
                  <w:rStyle w:val="Hyperlink"/>
                  <w:rFonts w:cs="Times New Roman"/>
                  <w:sz w:val="20"/>
                  <w:szCs w:val="20"/>
                </w:rPr>
                <w:t>risk assessment</w:t>
              </w:r>
            </w:hyperlink>
            <w:r w:rsidRPr="00DA098E">
              <w:rPr>
                <w:rFonts w:cs="Times New Roman"/>
                <w:sz w:val="20"/>
                <w:szCs w:val="20"/>
              </w:rPr>
              <w:t xml:space="preserve"> </w:t>
            </w:r>
            <w:r w:rsidR="00E74F31" w:rsidRPr="00DA098E">
              <w:rPr>
                <w:rFonts w:cs="Times New Roman"/>
                <w:sz w:val="20"/>
                <w:szCs w:val="20"/>
              </w:rPr>
              <w:t>(RA) on other assisted units in which a child under age 6 is residing or expected to reside</w:t>
            </w:r>
          </w:p>
        </w:tc>
        <w:tc>
          <w:tcPr>
            <w:tcW w:w="6390" w:type="dxa"/>
            <w:shd w:val="clear" w:color="auto" w:fill="E2EFD9" w:themeFill="accent6" w:themeFillTint="33"/>
          </w:tcPr>
          <w:p w14:paraId="7C8081D1" w14:textId="37051270" w:rsidR="00C127C1" w:rsidRPr="00DA098E" w:rsidRDefault="009C6FC2" w:rsidP="00D130E6">
            <w:pPr>
              <w:pStyle w:val="NoSpacing"/>
              <w:rPr>
                <w:rFonts w:cs="Times New Roman"/>
                <w:sz w:val="20"/>
                <w:szCs w:val="20"/>
              </w:rPr>
            </w:pPr>
            <w:r w:rsidRPr="00DA098E">
              <w:rPr>
                <w:rFonts w:cs="Times New Roman"/>
                <w:sz w:val="20"/>
                <w:szCs w:val="20"/>
              </w:rPr>
              <w:t xml:space="preserve">a) </w:t>
            </w:r>
            <w:r w:rsidR="00C127C1" w:rsidRPr="00DA098E">
              <w:rPr>
                <w:rFonts w:cs="Times New Roman"/>
                <w:sz w:val="20"/>
                <w:szCs w:val="20"/>
              </w:rPr>
              <w:t>Within 30 calendar days for property with ≤ 20 covered units after EI results</w:t>
            </w:r>
            <w:r w:rsidRPr="00DA098E">
              <w:rPr>
                <w:rFonts w:cs="Times New Roman"/>
                <w:sz w:val="20"/>
                <w:szCs w:val="20"/>
              </w:rPr>
              <w:t xml:space="preserve"> or b) w</w:t>
            </w:r>
            <w:r w:rsidR="00C127C1" w:rsidRPr="00DA098E">
              <w:rPr>
                <w:rFonts w:cs="Times New Roman"/>
                <w:sz w:val="20"/>
                <w:szCs w:val="20"/>
              </w:rPr>
              <w:t>ithin 60 calendar days for property with &gt; 20 covered units after EI results</w:t>
            </w:r>
          </w:p>
        </w:tc>
        <w:tc>
          <w:tcPr>
            <w:tcW w:w="836" w:type="dxa"/>
            <w:shd w:val="clear" w:color="auto" w:fill="E2EFD9" w:themeFill="accent6" w:themeFillTint="33"/>
          </w:tcPr>
          <w:p w14:paraId="690138B6" w14:textId="1C28E4E3" w:rsidR="00C127C1" w:rsidRPr="00DA098E" w:rsidRDefault="00C127C1" w:rsidP="00C127C1">
            <w:pPr>
              <w:pStyle w:val="NoSpacing"/>
              <w:jc w:val="right"/>
              <w:rPr>
                <w:rFonts w:cs="Times New Roman"/>
                <w:sz w:val="20"/>
                <w:szCs w:val="20"/>
              </w:rPr>
            </w:pPr>
            <w:r w:rsidRPr="00DA098E">
              <w:rPr>
                <w:rFonts w:cs="Times New Roman"/>
                <w:sz w:val="20"/>
                <w:szCs w:val="20"/>
              </w:rPr>
              <w:sym w:font="Wingdings" w:char="F0FC"/>
            </w:r>
          </w:p>
        </w:tc>
        <w:tc>
          <w:tcPr>
            <w:tcW w:w="959" w:type="dxa"/>
            <w:shd w:val="clear" w:color="auto" w:fill="E2EFD9" w:themeFill="accent6" w:themeFillTint="33"/>
          </w:tcPr>
          <w:p w14:paraId="6EE9982C" w14:textId="77777777" w:rsidR="00C127C1" w:rsidRPr="00DA098E" w:rsidRDefault="00C127C1" w:rsidP="00C127C1">
            <w:pPr>
              <w:pStyle w:val="NoSpacing"/>
              <w:jc w:val="right"/>
              <w:rPr>
                <w:rFonts w:cs="Times New Roman"/>
                <w:sz w:val="20"/>
                <w:szCs w:val="20"/>
              </w:rPr>
            </w:pPr>
          </w:p>
        </w:tc>
      </w:tr>
      <w:tr w:rsidR="00D130E6" w14:paraId="4F088B7D" w14:textId="77777777" w:rsidTr="00D130E6">
        <w:tc>
          <w:tcPr>
            <w:tcW w:w="0" w:type="auto"/>
            <w:vMerge/>
            <w:shd w:val="clear" w:color="auto" w:fill="A8D08D" w:themeFill="accent6" w:themeFillTint="99"/>
          </w:tcPr>
          <w:p w14:paraId="498EACDD" w14:textId="77777777" w:rsidR="00C127C1" w:rsidRDefault="00C127C1" w:rsidP="00C127C1">
            <w:pPr>
              <w:pStyle w:val="NoSpacing"/>
              <w:rPr>
                <w:rFonts w:cs="Times New Roman"/>
              </w:rPr>
            </w:pPr>
          </w:p>
        </w:tc>
        <w:tc>
          <w:tcPr>
            <w:tcW w:w="5714" w:type="dxa"/>
            <w:shd w:val="clear" w:color="auto" w:fill="E2EFD9" w:themeFill="accent6" w:themeFillTint="33"/>
          </w:tcPr>
          <w:p w14:paraId="30CF8DE4" w14:textId="527E123E" w:rsidR="00C127C1" w:rsidRPr="00DA098E" w:rsidRDefault="00C127C1" w:rsidP="00C127C1">
            <w:pPr>
              <w:pStyle w:val="NoSpacing"/>
              <w:rPr>
                <w:rFonts w:cs="Times New Roman"/>
                <w:sz w:val="20"/>
                <w:szCs w:val="20"/>
              </w:rPr>
            </w:pPr>
            <w:r w:rsidRPr="00DA098E">
              <w:rPr>
                <w:rFonts w:cs="Times New Roman"/>
                <w:sz w:val="20"/>
                <w:szCs w:val="20"/>
              </w:rPr>
              <w:t>Complete lead hazard control work</w:t>
            </w:r>
          </w:p>
        </w:tc>
        <w:tc>
          <w:tcPr>
            <w:tcW w:w="6390" w:type="dxa"/>
            <w:shd w:val="clear" w:color="auto" w:fill="E2EFD9" w:themeFill="accent6" w:themeFillTint="33"/>
          </w:tcPr>
          <w:p w14:paraId="6E1188E7" w14:textId="0AF2CA7C" w:rsidR="00C127C1" w:rsidRPr="00DA098E" w:rsidRDefault="00C127C1" w:rsidP="00C127C1">
            <w:pPr>
              <w:pStyle w:val="NoSpacing"/>
              <w:rPr>
                <w:rFonts w:cs="Times New Roman"/>
                <w:sz w:val="20"/>
                <w:szCs w:val="20"/>
              </w:rPr>
            </w:pPr>
            <w:r w:rsidRPr="00DA098E">
              <w:rPr>
                <w:rFonts w:cs="Times New Roman"/>
                <w:sz w:val="20"/>
                <w:szCs w:val="20"/>
              </w:rPr>
              <w:t>Within 30 calendar days of receiving results of EI</w:t>
            </w:r>
          </w:p>
        </w:tc>
        <w:tc>
          <w:tcPr>
            <w:tcW w:w="836" w:type="dxa"/>
            <w:shd w:val="clear" w:color="auto" w:fill="E2EFD9" w:themeFill="accent6" w:themeFillTint="33"/>
          </w:tcPr>
          <w:p w14:paraId="31BDFFAD" w14:textId="66B61733" w:rsidR="00C127C1" w:rsidRPr="00DA098E" w:rsidRDefault="00C127C1" w:rsidP="00DA098E">
            <w:pPr>
              <w:pStyle w:val="NoSpacing"/>
              <w:jc w:val="right"/>
              <w:rPr>
                <w:rFonts w:cs="Times New Roman"/>
                <w:sz w:val="20"/>
                <w:szCs w:val="20"/>
              </w:rPr>
            </w:pPr>
            <w:r w:rsidRPr="00DA098E">
              <w:rPr>
                <w:rFonts w:cs="Times New Roman"/>
                <w:sz w:val="20"/>
                <w:szCs w:val="20"/>
              </w:rPr>
              <w:sym w:font="Wingdings" w:char="F0FC"/>
            </w:r>
          </w:p>
        </w:tc>
        <w:tc>
          <w:tcPr>
            <w:tcW w:w="959" w:type="dxa"/>
            <w:shd w:val="clear" w:color="auto" w:fill="E2EFD9" w:themeFill="accent6" w:themeFillTint="33"/>
          </w:tcPr>
          <w:p w14:paraId="61067021" w14:textId="77777777" w:rsidR="00C127C1" w:rsidRPr="00DA098E" w:rsidRDefault="00C127C1" w:rsidP="00DA098E">
            <w:pPr>
              <w:pStyle w:val="NoSpacing"/>
              <w:jc w:val="right"/>
              <w:rPr>
                <w:rFonts w:cs="Times New Roman"/>
                <w:sz w:val="20"/>
                <w:szCs w:val="20"/>
              </w:rPr>
            </w:pPr>
          </w:p>
        </w:tc>
      </w:tr>
      <w:tr w:rsidR="00D130E6" w14:paraId="28F9E3E9" w14:textId="77777777" w:rsidTr="00D130E6">
        <w:tc>
          <w:tcPr>
            <w:tcW w:w="0" w:type="auto"/>
            <w:vMerge/>
            <w:shd w:val="clear" w:color="auto" w:fill="A8D08D" w:themeFill="accent6" w:themeFillTint="99"/>
          </w:tcPr>
          <w:p w14:paraId="3878D715" w14:textId="77777777" w:rsidR="00C127C1" w:rsidRDefault="00C127C1" w:rsidP="00C127C1">
            <w:pPr>
              <w:pStyle w:val="NoSpacing"/>
              <w:rPr>
                <w:rFonts w:cs="Times New Roman"/>
              </w:rPr>
            </w:pPr>
          </w:p>
        </w:tc>
        <w:tc>
          <w:tcPr>
            <w:tcW w:w="5714" w:type="dxa"/>
            <w:shd w:val="clear" w:color="auto" w:fill="E2EFD9" w:themeFill="accent6" w:themeFillTint="33"/>
          </w:tcPr>
          <w:p w14:paraId="4DA63C66" w14:textId="4F0AF01B" w:rsidR="00C127C1" w:rsidRPr="00DA098E" w:rsidRDefault="00D130E6" w:rsidP="00D130E6">
            <w:pPr>
              <w:pStyle w:val="NoSpacing"/>
              <w:rPr>
                <w:rFonts w:cs="Times New Roman"/>
                <w:sz w:val="20"/>
                <w:szCs w:val="20"/>
              </w:rPr>
            </w:pPr>
            <w:r w:rsidRPr="00DA098E">
              <w:rPr>
                <w:rFonts w:cs="Times New Roman"/>
                <w:sz w:val="20"/>
                <w:szCs w:val="20"/>
              </w:rPr>
              <w:t>Complete l</w:t>
            </w:r>
            <w:r w:rsidR="00C127C1" w:rsidRPr="00DA098E">
              <w:rPr>
                <w:rFonts w:cs="Times New Roman"/>
                <w:sz w:val="20"/>
                <w:szCs w:val="20"/>
              </w:rPr>
              <w:t xml:space="preserve">ead hazard control </w:t>
            </w:r>
            <w:r w:rsidRPr="00DA098E">
              <w:rPr>
                <w:rFonts w:cs="Times New Roman"/>
                <w:sz w:val="20"/>
                <w:szCs w:val="20"/>
              </w:rPr>
              <w:t xml:space="preserve">work </w:t>
            </w:r>
            <w:r w:rsidR="00C127C1" w:rsidRPr="00DA098E">
              <w:rPr>
                <w:rFonts w:cs="Times New Roman"/>
                <w:sz w:val="20"/>
                <w:szCs w:val="20"/>
              </w:rPr>
              <w:t>on other covered units</w:t>
            </w:r>
          </w:p>
        </w:tc>
        <w:tc>
          <w:tcPr>
            <w:tcW w:w="6390" w:type="dxa"/>
            <w:shd w:val="clear" w:color="auto" w:fill="E2EFD9" w:themeFill="accent6" w:themeFillTint="33"/>
          </w:tcPr>
          <w:p w14:paraId="3F2A7AAC" w14:textId="30F9053E" w:rsidR="00C127C1" w:rsidRPr="00DA098E" w:rsidRDefault="009C6FC2">
            <w:pPr>
              <w:pStyle w:val="NoSpacing"/>
              <w:rPr>
                <w:rFonts w:cs="Times New Roman"/>
                <w:sz w:val="20"/>
                <w:szCs w:val="20"/>
              </w:rPr>
            </w:pPr>
            <w:r w:rsidRPr="00DA098E">
              <w:rPr>
                <w:rFonts w:cs="Times New Roman"/>
                <w:sz w:val="20"/>
                <w:szCs w:val="20"/>
              </w:rPr>
              <w:t xml:space="preserve">a) </w:t>
            </w:r>
            <w:r w:rsidR="00C127C1" w:rsidRPr="00DA098E">
              <w:rPr>
                <w:rFonts w:cs="Times New Roman"/>
                <w:sz w:val="20"/>
                <w:szCs w:val="20"/>
              </w:rPr>
              <w:t>Within 30 calendar days for property with ≤ 20 covered units w/ LBP hazards after RA results</w:t>
            </w:r>
            <w:r w:rsidRPr="00DA098E">
              <w:rPr>
                <w:rFonts w:cs="Times New Roman"/>
                <w:sz w:val="20"/>
                <w:szCs w:val="20"/>
              </w:rPr>
              <w:t xml:space="preserve"> or b) w</w:t>
            </w:r>
            <w:r w:rsidR="00C127C1" w:rsidRPr="00DA098E">
              <w:rPr>
                <w:rFonts w:cs="Times New Roman"/>
                <w:sz w:val="20"/>
                <w:szCs w:val="20"/>
              </w:rPr>
              <w:t xml:space="preserve">ithin 90 calendar days for property with &gt; 20 covered units </w:t>
            </w:r>
            <w:r w:rsidR="003B329F" w:rsidRPr="00DA098E">
              <w:rPr>
                <w:rFonts w:cs="Times New Roman"/>
                <w:sz w:val="20"/>
                <w:szCs w:val="20"/>
              </w:rPr>
              <w:t xml:space="preserve">w/ LBP hazards </w:t>
            </w:r>
            <w:r w:rsidR="00C127C1" w:rsidRPr="00DA098E">
              <w:rPr>
                <w:rFonts w:cs="Times New Roman"/>
                <w:sz w:val="20"/>
                <w:szCs w:val="20"/>
              </w:rPr>
              <w:t>after RA results</w:t>
            </w:r>
          </w:p>
        </w:tc>
        <w:tc>
          <w:tcPr>
            <w:tcW w:w="836" w:type="dxa"/>
            <w:shd w:val="clear" w:color="auto" w:fill="E2EFD9" w:themeFill="accent6" w:themeFillTint="33"/>
          </w:tcPr>
          <w:p w14:paraId="5BB0DE8A" w14:textId="479B5D5E" w:rsidR="00C127C1" w:rsidRPr="00DA098E" w:rsidRDefault="00C127C1" w:rsidP="00DA098E">
            <w:pPr>
              <w:pStyle w:val="NoSpacing"/>
              <w:jc w:val="right"/>
              <w:rPr>
                <w:rFonts w:cs="Times New Roman"/>
                <w:sz w:val="20"/>
                <w:szCs w:val="20"/>
              </w:rPr>
            </w:pPr>
            <w:r w:rsidRPr="00DA098E">
              <w:rPr>
                <w:rFonts w:cs="Times New Roman"/>
                <w:sz w:val="20"/>
                <w:szCs w:val="20"/>
              </w:rPr>
              <w:sym w:font="Wingdings" w:char="F0FC"/>
            </w:r>
          </w:p>
        </w:tc>
        <w:tc>
          <w:tcPr>
            <w:tcW w:w="959" w:type="dxa"/>
            <w:shd w:val="clear" w:color="auto" w:fill="E2EFD9" w:themeFill="accent6" w:themeFillTint="33"/>
          </w:tcPr>
          <w:p w14:paraId="2B564DF8" w14:textId="77777777" w:rsidR="00C127C1" w:rsidRPr="00DA098E" w:rsidRDefault="00C127C1" w:rsidP="00DA098E">
            <w:pPr>
              <w:pStyle w:val="NoSpacing"/>
              <w:jc w:val="right"/>
              <w:rPr>
                <w:rFonts w:cs="Times New Roman"/>
                <w:sz w:val="20"/>
                <w:szCs w:val="20"/>
              </w:rPr>
            </w:pPr>
          </w:p>
        </w:tc>
      </w:tr>
      <w:tr w:rsidR="00D130E6" w14:paraId="075E19B5" w14:textId="77777777" w:rsidTr="00D130E6">
        <w:tc>
          <w:tcPr>
            <w:tcW w:w="0" w:type="auto"/>
            <w:vMerge/>
            <w:shd w:val="clear" w:color="auto" w:fill="A8D08D" w:themeFill="accent6" w:themeFillTint="99"/>
          </w:tcPr>
          <w:p w14:paraId="43874BB5" w14:textId="77777777" w:rsidR="00C127C1" w:rsidRDefault="00C127C1" w:rsidP="00C127C1">
            <w:pPr>
              <w:pStyle w:val="NoSpacing"/>
              <w:rPr>
                <w:rFonts w:cs="Times New Roman"/>
              </w:rPr>
            </w:pPr>
          </w:p>
        </w:tc>
        <w:tc>
          <w:tcPr>
            <w:tcW w:w="5714" w:type="dxa"/>
            <w:shd w:val="clear" w:color="auto" w:fill="E2EFD9" w:themeFill="accent6" w:themeFillTint="33"/>
          </w:tcPr>
          <w:p w14:paraId="1BE9A7F3" w14:textId="6FDF522B" w:rsidR="00C127C1" w:rsidRPr="00DA098E" w:rsidRDefault="00D130E6" w:rsidP="00C127C1">
            <w:pPr>
              <w:pStyle w:val="NoSpacing"/>
              <w:rPr>
                <w:rFonts w:cs="Times New Roman"/>
                <w:sz w:val="20"/>
                <w:szCs w:val="20"/>
              </w:rPr>
            </w:pPr>
            <w:r w:rsidRPr="00DA098E">
              <w:rPr>
                <w:rFonts w:cs="Times New Roman"/>
                <w:sz w:val="20"/>
                <w:szCs w:val="20"/>
              </w:rPr>
              <w:t>Clear after work complet</w:t>
            </w:r>
            <w:r w:rsidR="003A4020">
              <w:rPr>
                <w:rFonts w:cs="Times New Roman"/>
                <w:sz w:val="20"/>
                <w:szCs w:val="20"/>
              </w:rPr>
              <w:t>es</w:t>
            </w:r>
          </w:p>
        </w:tc>
        <w:tc>
          <w:tcPr>
            <w:tcW w:w="6390" w:type="dxa"/>
            <w:shd w:val="clear" w:color="auto" w:fill="E2EFD9" w:themeFill="accent6" w:themeFillTint="33"/>
          </w:tcPr>
          <w:p w14:paraId="311F3683" w14:textId="6890FEED" w:rsidR="00C127C1" w:rsidRPr="00DA098E" w:rsidRDefault="00C127C1" w:rsidP="00C127C1">
            <w:pPr>
              <w:pStyle w:val="NoSpacing"/>
              <w:rPr>
                <w:rFonts w:cs="Times New Roman"/>
                <w:sz w:val="20"/>
                <w:szCs w:val="20"/>
              </w:rPr>
            </w:pPr>
            <w:r w:rsidRPr="00DA098E">
              <w:rPr>
                <w:rFonts w:cs="Times New Roman"/>
                <w:sz w:val="20"/>
                <w:szCs w:val="20"/>
              </w:rPr>
              <w:t>Within 30 calendar days of receiving results of EI</w:t>
            </w:r>
          </w:p>
        </w:tc>
        <w:tc>
          <w:tcPr>
            <w:tcW w:w="836" w:type="dxa"/>
            <w:shd w:val="clear" w:color="auto" w:fill="E2EFD9" w:themeFill="accent6" w:themeFillTint="33"/>
          </w:tcPr>
          <w:p w14:paraId="157B0C18" w14:textId="485C957F" w:rsidR="00C127C1" w:rsidRPr="00DA098E" w:rsidRDefault="00C127C1" w:rsidP="00DA098E">
            <w:pPr>
              <w:pStyle w:val="NoSpacing"/>
              <w:jc w:val="right"/>
              <w:rPr>
                <w:rFonts w:cs="Times New Roman"/>
                <w:sz w:val="20"/>
                <w:szCs w:val="20"/>
              </w:rPr>
            </w:pPr>
            <w:r w:rsidRPr="00DA098E">
              <w:rPr>
                <w:rFonts w:cs="Times New Roman"/>
                <w:sz w:val="20"/>
                <w:szCs w:val="20"/>
              </w:rPr>
              <w:sym w:font="Wingdings" w:char="F0FC"/>
            </w:r>
          </w:p>
        </w:tc>
        <w:tc>
          <w:tcPr>
            <w:tcW w:w="959" w:type="dxa"/>
            <w:shd w:val="clear" w:color="auto" w:fill="E2EFD9" w:themeFill="accent6" w:themeFillTint="33"/>
          </w:tcPr>
          <w:p w14:paraId="2C8BB9A7" w14:textId="77777777" w:rsidR="00C127C1" w:rsidRPr="00DA098E" w:rsidRDefault="00C127C1" w:rsidP="00DA098E">
            <w:pPr>
              <w:pStyle w:val="NoSpacing"/>
              <w:jc w:val="right"/>
              <w:rPr>
                <w:rFonts w:cs="Times New Roman"/>
                <w:sz w:val="20"/>
                <w:szCs w:val="20"/>
              </w:rPr>
            </w:pPr>
          </w:p>
        </w:tc>
      </w:tr>
      <w:tr w:rsidR="00D130E6" w14:paraId="6408393D" w14:textId="77777777" w:rsidTr="00D130E6">
        <w:tc>
          <w:tcPr>
            <w:tcW w:w="0" w:type="auto"/>
            <w:vMerge/>
            <w:shd w:val="clear" w:color="auto" w:fill="A8D08D" w:themeFill="accent6" w:themeFillTint="99"/>
          </w:tcPr>
          <w:p w14:paraId="4534E583" w14:textId="77777777" w:rsidR="00C127C1" w:rsidRPr="00AB7F96" w:rsidRDefault="00C127C1" w:rsidP="00C127C1">
            <w:pPr>
              <w:pStyle w:val="NoSpacing"/>
              <w:rPr>
                <w:rFonts w:cs="Times New Roman"/>
              </w:rPr>
            </w:pPr>
          </w:p>
        </w:tc>
        <w:tc>
          <w:tcPr>
            <w:tcW w:w="5714" w:type="dxa"/>
            <w:shd w:val="clear" w:color="auto" w:fill="E2EFD9" w:themeFill="accent6" w:themeFillTint="33"/>
          </w:tcPr>
          <w:p w14:paraId="387D6F1D" w14:textId="2259DFE4" w:rsidR="00C127C1" w:rsidRPr="00DA098E" w:rsidRDefault="00C127C1" w:rsidP="00C127C1">
            <w:pPr>
              <w:pStyle w:val="NoSpacing"/>
              <w:rPr>
                <w:rFonts w:cs="Times New Roman"/>
                <w:sz w:val="20"/>
                <w:szCs w:val="20"/>
              </w:rPr>
            </w:pPr>
            <w:r w:rsidRPr="00DA098E">
              <w:rPr>
                <w:rFonts w:cs="Times New Roman"/>
                <w:sz w:val="20"/>
                <w:szCs w:val="20"/>
              </w:rPr>
              <w:t xml:space="preserve">Notify </w:t>
            </w:r>
            <w:r w:rsidR="003B329F" w:rsidRPr="00DA098E">
              <w:rPr>
                <w:rFonts w:cs="Times New Roman"/>
                <w:sz w:val="20"/>
                <w:szCs w:val="20"/>
              </w:rPr>
              <w:t xml:space="preserve">local </w:t>
            </w:r>
            <w:r w:rsidRPr="00DA098E">
              <w:rPr>
                <w:rFonts w:cs="Times New Roman"/>
                <w:sz w:val="20"/>
                <w:szCs w:val="20"/>
              </w:rPr>
              <w:t>HUD field office</w:t>
            </w:r>
            <w:r w:rsidR="002A57C8">
              <w:rPr>
                <w:rFonts w:cs="Times New Roman"/>
                <w:sz w:val="20"/>
                <w:szCs w:val="20"/>
              </w:rPr>
              <w:t xml:space="preserve"> and </w:t>
            </w:r>
            <w:proofErr w:type="spellStart"/>
            <w:r w:rsidR="002A57C8">
              <w:rPr>
                <w:rFonts w:cs="Times New Roman"/>
                <w:sz w:val="20"/>
                <w:szCs w:val="20"/>
              </w:rPr>
              <w:t>OLHCHH</w:t>
            </w:r>
            <w:proofErr w:type="spellEnd"/>
            <w:r w:rsidRPr="00DA098E">
              <w:rPr>
                <w:rFonts w:cs="Times New Roman"/>
                <w:sz w:val="20"/>
                <w:szCs w:val="20"/>
              </w:rPr>
              <w:t xml:space="preserve"> of clearance</w:t>
            </w:r>
          </w:p>
        </w:tc>
        <w:tc>
          <w:tcPr>
            <w:tcW w:w="6390" w:type="dxa"/>
            <w:shd w:val="clear" w:color="auto" w:fill="E2EFD9" w:themeFill="accent6" w:themeFillTint="33"/>
          </w:tcPr>
          <w:p w14:paraId="3F1C6EBF" w14:textId="6C0D5A53" w:rsidR="00C127C1" w:rsidRPr="00DA098E" w:rsidRDefault="00C127C1" w:rsidP="00C127C1">
            <w:pPr>
              <w:pStyle w:val="NoSpacing"/>
              <w:rPr>
                <w:rFonts w:cs="Times New Roman"/>
                <w:sz w:val="20"/>
                <w:szCs w:val="20"/>
              </w:rPr>
            </w:pPr>
            <w:r w:rsidRPr="00DA098E">
              <w:rPr>
                <w:rFonts w:cs="Times New Roman"/>
                <w:sz w:val="20"/>
                <w:szCs w:val="20"/>
              </w:rPr>
              <w:t>Within 10 business days after clearance</w:t>
            </w:r>
          </w:p>
        </w:tc>
        <w:tc>
          <w:tcPr>
            <w:tcW w:w="836" w:type="dxa"/>
            <w:shd w:val="clear" w:color="auto" w:fill="E2EFD9" w:themeFill="accent6" w:themeFillTint="33"/>
          </w:tcPr>
          <w:p w14:paraId="40D16C9B" w14:textId="39119A5F" w:rsidR="00C127C1" w:rsidRPr="00DA098E" w:rsidRDefault="00C127C1" w:rsidP="00C127C1">
            <w:pPr>
              <w:pStyle w:val="NoSpacing"/>
              <w:jc w:val="right"/>
              <w:rPr>
                <w:rFonts w:cs="Times New Roman"/>
                <w:sz w:val="20"/>
                <w:szCs w:val="20"/>
              </w:rPr>
            </w:pPr>
            <w:r w:rsidRPr="00DA098E">
              <w:rPr>
                <w:rFonts w:cs="Times New Roman"/>
                <w:sz w:val="20"/>
                <w:szCs w:val="20"/>
              </w:rPr>
              <w:sym w:font="Wingdings" w:char="F0FC"/>
            </w:r>
          </w:p>
        </w:tc>
        <w:tc>
          <w:tcPr>
            <w:tcW w:w="959" w:type="dxa"/>
            <w:shd w:val="clear" w:color="auto" w:fill="E2EFD9" w:themeFill="accent6" w:themeFillTint="33"/>
          </w:tcPr>
          <w:p w14:paraId="3D403A45" w14:textId="77777777" w:rsidR="00C127C1" w:rsidRPr="00DA098E" w:rsidRDefault="00C127C1" w:rsidP="00C127C1">
            <w:pPr>
              <w:pStyle w:val="NoSpacing"/>
              <w:jc w:val="right"/>
              <w:rPr>
                <w:rFonts w:cs="Times New Roman"/>
                <w:sz w:val="20"/>
                <w:szCs w:val="20"/>
              </w:rPr>
            </w:pPr>
          </w:p>
        </w:tc>
      </w:tr>
      <w:tr w:rsidR="00D130E6" w14:paraId="5E727379" w14:textId="77777777" w:rsidTr="00D130E6">
        <w:tc>
          <w:tcPr>
            <w:tcW w:w="0" w:type="auto"/>
            <w:vMerge/>
            <w:shd w:val="clear" w:color="auto" w:fill="A8D08D" w:themeFill="accent6" w:themeFillTint="99"/>
          </w:tcPr>
          <w:p w14:paraId="0418A86B" w14:textId="77777777" w:rsidR="00C127C1" w:rsidRDefault="00C127C1" w:rsidP="00C127C1">
            <w:pPr>
              <w:pStyle w:val="NoSpacing"/>
              <w:rPr>
                <w:rFonts w:cs="Times New Roman"/>
              </w:rPr>
            </w:pPr>
          </w:p>
        </w:tc>
        <w:tc>
          <w:tcPr>
            <w:tcW w:w="5714" w:type="dxa"/>
            <w:shd w:val="clear" w:color="auto" w:fill="E2EFD9" w:themeFill="accent6" w:themeFillTint="33"/>
          </w:tcPr>
          <w:p w14:paraId="62B2C2F7" w14:textId="01DE80F7" w:rsidR="00C127C1" w:rsidRPr="00DA098E" w:rsidRDefault="00D130E6" w:rsidP="00D130E6">
            <w:pPr>
              <w:pStyle w:val="NoSpacing"/>
              <w:rPr>
                <w:rFonts w:cs="Times New Roman"/>
                <w:sz w:val="20"/>
                <w:szCs w:val="20"/>
              </w:rPr>
            </w:pPr>
            <w:r w:rsidRPr="00DA098E">
              <w:rPr>
                <w:rFonts w:cs="Times New Roman"/>
                <w:sz w:val="20"/>
                <w:szCs w:val="20"/>
              </w:rPr>
              <w:t xml:space="preserve">Notify </w:t>
            </w:r>
            <w:r w:rsidR="00C127C1" w:rsidRPr="00DA098E">
              <w:rPr>
                <w:rFonts w:cs="Times New Roman"/>
                <w:sz w:val="20"/>
                <w:szCs w:val="20"/>
              </w:rPr>
              <w:t>residents</w:t>
            </w:r>
            <w:r w:rsidRPr="00DA098E">
              <w:rPr>
                <w:rFonts w:cs="Times New Roman"/>
                <w:sz w:val="20"/>
                <w:szCs w:val="20"/>
              </w:rPr>
              <w:t xml:space="preserve"> of lead hazard reduction activities</w:t>
            </w:r>
          </w:p>
        </w:tc>
        <w:tc>
          <w:tcPr>
            <w:tcW w:w="6390" w:type="dxa"/>
            <w:shd w:val="clear" w:color="auto" w:fill="E2EFD9" w:themeFill="accent6" w:themeFillTint="33"/>
          </w:tcPr>
          <w:p w14:paraId="7712DB71" w14:textId="185139BB" w:rsidR="00C127C1" w:rsidRPr="00DA098E" w:rsidRDefault="00C127C1" w:rsidP="00C127C1">
            <w:pPr>
              <w:pStyle w:val="NoSpacing"/>
              <w:rPr>
                <w:rFonts w:cs="Times New Roman"/>
                <w:sz w:val="20"/>
                <w:szCs w:val="20"/>
              </w:rPr>
            </w:pPr>
            <w:r w:rsidRPr="00DA098E">
              <w:rPr>
                <w:rFonts w:cs="Times New Roman"/>
                <w:sz w:val="20"/>
                <w:szCs w:val="20"/>
              </w:rPr>
              <w:t>Within 15 calendar days after clearance</w:t>
            </w:r>
          </w:p>
        </w:tc>
        <w:tc>
          <w:tcPr>
            <w:tcW w:w="836" w:type="dxa"/>
            <w:shd w:val="clear" w:color="auto" w:fill="E2EFD9" w:themeFill="accent6" w:themeFillTint="33"/>
          </w:tcPr>
          <w:p w14:paraId="297988BF" w14:textId="618F0B69" w:rsidR="00C127C1" w:rsidRPr="00DA098E" w:rsidRDefault="00C127C1" w:rsidP="00DA098E">
            <w:pPr>
              <w:pStyle w:val="NoSpacing"/>
              <w:jc w:val="right"/>
              <w:rPr>
                <w:rFonts w:cs="Times New Roman"/>
                <w:sz w:val="20"/>
                <w:szCs w:val="20"/>
              </w:rPr>
            </w:pPr>
            <w:r w:rsidRPr="00DA098E">
              <w:rPr>
                <w:rFonts w:cs="Times New Roman"/>
                <w:sz w:val="20"/>
                <w:szCs w:val="20"/>
              </w:rPr>
              <w:sym w:font="Wingdings" w:char="F0FC"/>
            </w:r>
          </w:p>
        </w:tc>
        <w:tc>
          <w:tcPr>
            <w:tcW w:w="959" w:type="dxa"/>
            <w:shd w:val="clear" w:color="auto" w:fill="E2EFD9" w:themeFill="accent6" w:themeFillTint="33"/>
          </w:tcPr>
          <w:p w14:paraId="367FC341" w14:textId="77777777" w:rsidR="00C127C1" w:rsidRPr="00DA098E" w:rsidRDefault="00C127C1" w:rsidP="00DA098E">
            <w:pPr>
              <w:pStyle w:val="NoSpacing"/>
              <w:jc w:val="right"/>
              <w:rPr>
                <w:rFonts w:cs="Times New Roman"/>
                <w:sz w:val="20"/>
                <w:szCs w:val="20"/>
              </w:rPr>
            </w:pPr>
          </w:p>
        </w:tc>
      </w:tr>
      <w:tr w:rsidR="00D130E6" w14:paraId="33B98BE8" w14:textId="77777777" w:rsidTr="00D130E6">
        <w:tc>
          <w:tcPr>
            <w:tcW w:w="0" w:type="auto"/>
            <w:vMerge/>
            <w:shd w:val="clear" w:color="auto" w:fill="A8D08D" w:themeFill="accent6" w:themeFillTint="99"/>
          </w:tcPr>
          <w:p w14:paraId="7946F97D" w14:textId="77777777" w:rsidR="00C127C1" w:rsidRDefault="00C127C1" w:rsidP="00C127C1">
            <w:pPr>
              <w:pStyle w:val="NoSpacing"/>
              <w:rPr>
                <w:rFonts w:cs="Times New Roman"/>
              </w:rPr>
            </w:pPr>
          </w:p>
        </w:tc>
        <w:tc>
          <w:tcPr>
            <w:tcW w:w="5714" w:type="dxa"/>
            <w:shd w:val="clear" w:color="auto" w:fill="E2EFD9" w:themeFill="accent6" w:themeFillTint="33"/>
          </w:tcPr>
          <w:p w14:paraId="640EC652" w14:textId="41F76C34" w:rsidR="00C127C1" w:rsidRPr="00DA098E" w:rsidRDefault="00D130E6" w:rsidP="00D130E6">
            <w:pPr>
              <w:pStyle w:val="NoSpacing"/>
              <w:rPr>
                <w:rFonts w:cs="Times New Roman"/>
                <w:sz w:val="20"/>
                <w:szCs w:val="20"/>
              </w:rPr>
            </w:pPr>
            <w:r w:rsidRPr="00DA098E">
              <w:rPr>
                <w:rFonts w:cs="Times New Roman"/>
                <w:sz w:val="20"/>
                <w:szCs w:val="20"/>
              </w:rPr>
              <w:t>Conduct o</w:t>
            </w:r>
            <w:r w:rsidR="00C127C1" w:rsidRPr="00DA098E">
              <w:rPr>
                <w:rFonts w:cs="Times New Roman"/>
                <w:sz w:val="20"/>
                <w:szCs w:val="20"/>
              </w:rPr>
              <w:t>ngoing maintenance</w:t>
            </w:r>
          </w:p>
        </w:tc>
        <w:tc>
          <w:tcPr>
            <w:tcW w:w="6390" w:type="dxa"/>
            <w:shd w:val="clear" w:color="auto" w:fill="E2EFD9" w:themeFill="accent6" w:themeFillTint="33"/>
          </w:tcPr>
          <w:p w14:paraId="1D645662" w14:textId="20C19BE9" w:rsidR="00C127C1" w:rsidRPr="00DA098E" w:rsidRDefault="00C127C1" w:rsidP="00C127C1">
            <w:pPr>
              <w:pStyle w:val="NoSpacing"/>
              <w:rPr>
                <w:rFonts w:cs="Times New Roman"/>
                <w:sz w:val="20"/>
                <w:szCs w:val="20"/>
              </w:rPr>
            </w:pPr>
            <w:r w:rsidRPr="00DA098E">
              <w:rPr>
                <w:rFonts w:cs="Times New Roman"/>
                <w:sz w:val="20"/>
                <w:szCs w:val="20"/>
              </w:rPr>
              <w:t>-</w:t>
            </w:r>
          </w:p>
        </w:tc>
        <w:tc>
          <w:tcPr>
            <w:tcW w:w="836" w:type="dxa"/>
            <w:shd w:val="clear" w:color="auto" w:fill="E2EFD9" w:themeFill="accent6" w:themeFillTint="33"/>
          </w:tcPr>
          <w:p w14:paraId="2D52A0DB" w14:textId="452C18E4" w:rsidR="00C127C1" w:rsidRPr="00DA098E" w:rsidRDefault="00C127C1" w:rsidP="00DA098E">
            <w:pPr>
              <w:pStyle w:val="NoSpacing"/>
              <w:jc w:val="right"/>
              <w:rPr>
                <w:rFonts w:cs="Times New Roman"/>
                <w:sz w:val="20"/>
                <w:szCs w:val="20"/>
              </w:rPr>
            </w:pPr>
            <w:r w:rsidRPr="00DA098E">
              <w:rPr>
                <w:rFonts w:cs="Times New Roman"/>
                <w:sz w:val="20"/>
                <w:szCs w:val="20"/>
              </w:rPr>
              <w:sym w:font="Wingdings" w:char="F0FC"/>
            </w:r>
          </w:p>
        </w:tc>
        <w:tc>
          <w:tcPr>
            <w:tcW w:w="959" w:type="dxa"/>
            <w:shd w:val="clear" w:color="auto" w:fill="E2EFD9" w:themeFill="accent6" w:themeFillTint="33"/>
          </w:tcPr>
          <w:p w14:paraId="55F1AE53" w14:textId="77777777" w:rsidR="00C127C1" w:rsidRPr="00DA098E" w:rsidRDefault="00C127C1" w:rsidP="00DA098E">
            <w:pPr>
              <w:pStyle w:val="NoSpacing"/>
              <w:jc w:val="right"/>
              <w:rPr>
                <w:rFonts w:cs="Times New Roman"/>
                <w:sz w:val="20"/>
                <w:szCs w:val="20"/>
              </w:rPr>
            </w:pPr>
          </w:p>
        </w:tc>
      </w:tr>
      <w:tr w:rsidR="00D130E6" w14:paraId="0C4665C6" w14:textId="77777777" w:rsidTr="00D130E6">
        <w:tc>
          <w:tcPr>
            <w:tcW w:w="0" w:type="auto"/>
            <w:vMerge/>
            <w:shd w:val="clear" w:color="auto" w:fill="A8D08D" w:themeFill="accent6" w:themeFillTint="99"/>
          </w:tcPr>
          <w:p w14:paraId="0DFF2B30" w14:textId="77777777" w:rsidR="00C127C1" w:rsidRDefault="00C127C1" w:rsidP="00C127C1">
            <w:pPr>
              <w:pStyle w:val="NoSpacing"/>
              <w:rPr>
                <w:rFonts w:cs="Times New Roman"/>
              </w:rPr>
            </w:pPr>
          </w:p>
        </w:tc>
        <w:tc>
          <w:tcPr>
            <w:tcW w:w="5714" w:type="dxa"/>
            <w:shd w:val="clear" w:color="auto" w:fill="E2EFD9" w:themeFill="accent6" w:themeFillTint="33"/>
          </w:tcPr>
          <w:p w14:paraId="631B5C27" w14:textId="3983E13F" w:rsidR="00C127C1" w:rsidRPr="00DA098E" w:rsidRDefault="00D130E6" w:rsidP="00D130E6">
            <w:pPr>
              <w:pStyle w:val="NoSpacing"/>
              <w:rPr>
                <w:rFonts w:cs="Times New Roman"/>
                <w:sz w:val="20"/>
                <w:szCs w:val="20"/>
              </w:rPr>
            </w:pPr>
            <w:r w:rsidRPr="00DA098E">
              <w:rPr>
                <w:rFonts w:cs="Times New Roman"/>
                <w:sz w:val="20"/>
                <w:szCs w:val="20"/>
              </w:rPr>
              <w:t>Monitor</w:t>
            </w:r>
            <w:r w:rsidR="00C127C1" w:rsidRPr="00DA098E">
              <w:rPr>
                <w:rFonts w:cs="Times New Roman"/>
                <w:sz w:val="20"/>
                <w:szCs w:val="20"/>
              </w:rPr>
              <w:t xml:space="preserve"> owner compliance with the </w:t>
            </w:r>
            <w:proofErr w:type="spellStart"/>
            <w:r w:rsidR="00DA406D" w:rsidRPr="00DA098E">
              <w:rPr>
                <w:rFonts w:cs="Times New Roman"/>
                <w:sz w:val="20"/>
                <w:szCs w:val="20"/>
              </w:rPr>
              <w:t>LSHR</w:t>
            </w:r>
            <w:proofErr w:type="spellEnd"/>
            <w:r w:rsidR="00C127C1" w:rsidRPr="00DA098E">
              <w:rPr>
                <w:rFonts w:cs="Times New Roman"/>
                <w:sz w:val="20"/>
                <w:szCs w:val="20"/>
              </w:rPr>
              <w:t xml:space="preserve"> and </w:t>
            </w:r>
            <w:r w:rsidR="00DA406D" w:rsidRPr="00DA098E">
              <w:rPr>
                <w:rFonts w:cs="Times New Roman"/>
                <w:sz w:val="20"/>
                <w:szCs w:val="20"/>
              </w:rPr>
              <w:t>HQS</w:t>
            </w:r>
          </w:p>
        </w:tc>
        <w:tc>
          <w:tcPr>
            <w:tcW w:w="6390" w:type="dxa"/>
            <w:shd w:val="clear" w:color="auto" w:fill="E2EFD9" w:themeFill="accent6" w:themeFillTint="33"/>
          </w:tcPr>
          <w:p w14:paraId="11EB2BFF" w14:textId="0A6A6AB4" w:rsidR="00C127C1" w:rsidRPr="00DA098E" w:rsidRDefault="00C127C1" w:rsidP="00C127C1">
            <w:pPr>
              <w:pStyle w:val="NoSpacing"/>
              <w:rPr>
                <w:rFonts w:cs="Times New Roman"/>
                <w:sz w:val="20"/>
                <w:szCs w:val="20"/>
              </w:rPr>
            </w:pPr>
            <w:r w:rsidRPr="00DA098E">
              <w:rPr>
                <w:rFonts w:cs="Times New Roman"/>
                <w:sz w:val="20"/>
                <w:szCs w:val="20"/>
              </w:rPr>
              <w:t>-</w:t>
            </w:r>
          </w:p>
        </w:tc>
        <w:tc>
          <w:tcPr>
            <w:tcW w:w="836" w:type="dxa"/>
            <w:shd w:val="clear" w:color="auto" w:fill="E2EFD9" w:themeFill="accent6" w:themeFillTint="33"/>
          </w:tcPr>
          <w:p w14:paraId="06038E83" w14:textId="77777777" w:rsidR="00C127C1" w:rsidRPr="00DA098E" w:rsidRDefault="00C127C1" w:rsidP="00DA098E">
            <w:pPr>
              <w:pStyle w:val="NoSpacing"/>
              <w:jc w:val="right"/>
              <w:rPr>
                <w:rFonts w:cs="Times New Roman"/>
                <w:sz w:val="20"/>
                <w:szCs w:val="20"/>
              </w:rPr>
            </w:pPr>
          </w:p>
        </w:tc>
        <w:tc>
          <w:tcPr>
            <w:tcW w:w="959" w:type="dxa"/>
            <w:shd w:val="clear" w:color="auto" w:fill="E2EFD9" w:themeFill="accent6" w:themeFillTint="33"/>
          </w:tcPr>
          <w:p w14:paraId="517EE5E5" w14:textId="6549E68D" w:rsidR="00C127C1" w:rsidRPr="00DA098E" w:rsidRDefault="00C127C1" w:rsidP="00DA098E">
            <w:pPr>
              <w:pStyle w:val="NoSpacing"/>
              <w:jc w:val="right"/>
              <w:rPr>
                <w:rFonts w:cs="Times New Roman"/>
                <w:sz w:val="20"/>
                <w:szCs w:val="20"/>
              </w:rPr>
            </w:pPr>
            <w:r w:rsidRPr="00DA098E">
              <w:rPr>
                <w:rFonts w:cs="Times New Roman"/>
                <w:sz w:val="20"/>
                <w:szCs w:val="20"/>
              </w:rPr>
              <w:sym w:font="Wingdings" w:char="F0FC"/>
            </w:r>
          </w:p>
        </w:tc>
      </w:tr>
    </w:tbl>
    <w:p w14:paraId="00CC7130" w14:textId="52178730" w:rsidR="00BB0926" w:rsidRDefault="00BB0926">
      <w:pPr>
        <w:pStyle w:val="NoSpacing"/>
        <w:rPr>
          <w:rFonts w:cs="Times New Roman"/>
        </w:rPr>
      </w:pPr>
    </w:p>
    <w:p w14:paraId="6BAA14ED" w14:textId="77777777" w:rsidR="00BB0926" w:rsidRPr="00DA098E" w:rsidRDefault="00BB0926">
      <w:pPr>
        <w:rPr>
          <w:rFonts w:cs="Times New Roman"/>
          <w:sz w:val="2"/>
        </w:rPr>
      </w:pPr>
      <w:r w:rsidRPr="00DA098E">
        <w:rPr>
          <w:rFonts w:cs="Times New Roman"/>
          <w:sz w:val="2"/>
        </w:rPr>
        <w:br w:type="page"/>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98"/>
        <w:gridCol w:w="2449"/>
        <w:gridCol w:w="5667"/>
        <w:gridCol w:w="5668"/>
      </w:tblGrid>
      <w:tr w:rsidR="005847CA" w14:paraId="481354DC" w14:textId="77777777" w:rsidTr="004F1682">
        <w:tc>
          <w:tcPr>
            <w:tcW w:w="0" w:type="auto"/>
            <w:vMerge w:val="restart"/>
            <w:tcBorders>
              <w:right w:val="nil"/>
            </w:tcBorders>
            <w:shd w:val="clear" w:color="auto" w:fill="FFD966" w:themeFill="accent4" w:themeFillTint="99"/>
            <w:textDirection w:val="btLr"/>
          </w:tcPr>
          <w:p w14:paraId="6D2BBC1E" w14:textId="22304FDD" w:rsidR="005847CA" w:rsidRDefault="005847CA" w:rsidP="00C16332">
            <w:pPr>
              <w:pStyle w:val="NoSpacing"/>
              <w:ind w:left="113" w:right="113"/>
              <w:jc w:val="center"/>
              <w:rPr>
                <w:rFonts w:cs="Times New Roman"/>
                <w:b/>
              </w:rPr>
            </w:pPr>
            <w:proofErr w:type="spellStart"/>
            <w:r>
              <w:rPr>
                <w:rFonts w:cs="Times New Roman"/>
                <w:b/>
              </w:rPr>
              <w:lastRenderedPageBreak/>
              <w:t>PBRA</w:t>
            </w:r>
            <w:proofErr w:type="spellEnd"/>
            <w:r>
              <w:rPr>
                <w:rFonts w:cs="Times New Roman"/>
                <w:b/>
              </w:rPr>
              <w:t xml:space="preserve"> Lead Safe Housing Protocols</w:t>
            </w:r>
          </w:p>
        </w:tc>
        <w:tc>
          <w:tcPr>
            <w:tcW w:w="2449" w:type="dxa"/>
            <w:tcBorders>
              <w:top w:val="single" w:sz="4" w:space="0" w:color="FFFFFF" w:themeColor="background1"/>
              <w:left w:val="nil"/>
              <w:bottom w:val="single" w:sz="4" w:space="0" w:color="FFFFFF" w:themeColor="background1"/>
              <w:right w:val="single" w:sz="4" w:space="0" w:color="FFFFFF" w:themeColor="background1"/>
            </w:tcBorders>
            <w:shd w:val="clear" w:color="auto" w:fill="FFE599" w:themeFill="accent4" w:themeFillTint="66"/>
          </w:tcPr>
          <w:p w14:paraId="41DCB419" w14:textId="0688F325" w:rsidR="005847CA" w:rsidRPr="006F5A46" w:rsidRDefault="00E82198" w:rsidP="00C16332">
            <w:pPr>
              <w:pStyle w:val="NoSpacing"/>
              <w:rPr>
                <w:rFonts w:cs="Times New Roman"/>
                <w:sz w:val="20"/>
              </w:rPr>
            </w:pPr>
            <w:r>
              <w:rPr>
                <w:rFonts w:cs="Times New Roman"/>
                <w:sz w:val="20"/>
              </w:rPr>
              <w:t>Amount of assistance</w:t>
            </w:r>
          </w:p>
        </w:tc>
        <w:tc>
          <w:tcPr>
            <w:tcW w:w="5667" w:type="dxa"/>
            <w:tcBorders>
              <w:left w:val="single" w:sz="4" w:space="0" w:color="FFFFFF" w:themeColor="background1"/>
            </w:tcBorders>
            <w:shd w:val="clear" w:color="auto" w:fill="FFE599" w:themeFill="accent4" w:themeFillTint="66"/>
          </w:tcPr>
          <w:p w14:paraId="4AF5FDD2" w14:textId="0DECA982" w:rsidR="005847CA" w:rsidRPr="006F5A46" w:rsidRDefault="005847CA" w:rsidP="00DA098E">
            <w:pPr>
              <w:pStyle w:val="NoSpacing"/>
              <w:jc w:val="center"/>
              <w:rPr>
                <w:rFonts w:cs="Times New Roman"/>
                <w:sz w:val="20"/>
                <w:szCs w:val="20"/>
              </w:rPr>
            </w:pPr>
            <w:r>
              <w:rPr>
                <w:rFonts w:cs="Times New Roman"/>
                <w:sz w:val="20"/>
                <w:szCs w:val="20"/>
              </w:rPr>
              <w:t>M</w:t>
            </w:r>
            <w:r w:rsidR="00133717">
              <w:rPr>
                <w:rFonts w:cs="Times New Roman"/>
                <w:sz w:val="20"/>
                <w:szCs w:val="20"/>
              </w:rPr>
              <w:t xml:space="preserve">ultifamily </w:t>
            </w:r>
            <w:r w:rsidRPr="005847CA">
              <w:rPr>
                <w:rFonts w:cs="Times New Roman"/>
                <w:sz w:val="20"/>
                <w:szCs w:val="20"/>
              </w:rPr>
              <w:t>r</w:t>
            </w:r>
            <w:r>
              <w:rPr>
                <w:rFonts w:cs="Times New Roman"/>
                <w:sz w:val="20"/>
                <w:szCs w:val="20"/>
              </w:rPr>
              <w:t>eceiving up to $5,000 per unit per year</w:t>
            </w:r>
            <w:r w:rsidR="00133717">
              <w:rPr>
                <w:rFonts w:cs="Times New Roman"/>
                <w:sz w:val="20"/>
                <w:szCs w:val="20"/>
              </w:rPr>
              <w:t xml:space="preserve"> &amp; single family</w:t>
            </w:r>
          </w:p>
        </w:tc>
        <w:tc>
          <w:tcPr>
            <w:tcW w:w="5668" w:type="dxa"/>
            <w:shd w:val="clear" w:color="auto" w:fill="FFE599" w:themeFill="accent4" w:themeFillTint="66"/>
          </w:tcPr>
          <w:p w14:paraId="5A1739DA" w14:textId="44485026" w:rsidR="005847CA" w:rsidRPr="006F5A46" w:rsidRDefault="00133717" w:rsidP="00DA098E">
            <w:pPr>
              <w:pStyle w:val="NoSpacing"/>
              <w:jc w:val="center"/>
              <w:rPr>
                <w:rFonts w:cs="Times New Roman"/>
                <w:sz w:val="20"/>
                <w:szCs w:val="20"/>
              </w:rPr>
            </w:pPr>
            <w:r>
              <w:rPr>
                <w:rFonts w:cs="Times New Roman"/>
                <w:sz w:val="20"/>
                <w:szCs w:val="20"/>
              </w:rPr>
              <w:t>Multifamily</w:t>
            </w:r>
            <w:r w:rsidR="005847CA">
              <w:rPr>
                <w:rFonts w:cs="Times New Roman"/>
                <w:sz w:val="20"/>
                <w:szCs w:val="20"/>
              </w:rPr>
              <w:t xml:space="preserve"> receiving over $5,000 per unit per year</w:t>
            </w:r>
          </w:p>
        </w:tc>
      </w:tr>
      <w:tr w:rsidR="005847CA" w14:paraId="6A73428F" w14:textId="77777777" w:rsidTr="004F1682">
        <w:tc>
          <w:tcPr>
            <w:tcW w:w="0" w:type="auto"/>
            <w:vMerge/>
            <w:shd w:val="clear" w:color="auto" w:fill="FFD966" w:themeFill="accent4" w:themeFillTint="99"/>
            <w:textDirection w:val="btLr"/>
          </w:tcPr>
          <w:p w14:paraId="2961C521" w14:textId="24E28C62" w:rsidR="005847CA" w:rsidRDefault="005847CA" w:rsidP="00C16332">
            <w:pPr>
              <w:pStyle w:val="NoSpacing"/>
              <w:ind w:left="113" w:right="113"/>
              <w:jc w:val="center"/>
              <w:rPr>
                <w:rFonts w:cs="Times New Roman"/>
              </w:rPr>
            </w:pPr>
          </w:p>
        </w:tc>
        <w:tc>
          <w:tcPr>
            <w:tcW w:w="2449" w:type="dxa"/>
            <w:tcBorders>
              <w:top w:val="single" w:sz="4" w:space="0" w:color="FFFFFF" w:themeColor="background1"/>
            </w:tcBorders>
            <w:shd w:val="clear" w:color="auto" w:fill="FFE599" w:themeFill="accent4" w:themeFillTint="66"/>
          </w:tcPr>
          <w:p w14:paraId="26D43C76" w14:textId="77777777" w:rsidR="005847CA" w:rsidRPr="006F5A46" w:rsidRDefault="005847CA" w:rsidP="00C16332">
            <w:pPr>
              <w:pStyle w:val="NoSpacing"/>
              <w:rPr>
                <w:rFonts w:cs="Times New Roman"/>
                <w:sz w:val="20"/>
              </w:rPr>
            </w:pPr>
            <w:r w:rsidRPr="006F5A46">
              <w:rPr>
                <w:rFonts w:cs="Times New Roman"/>
                <w:sz w:val="20"/>
              </w:rPr>
              <w:t>Applicability</w:t>
            </w:r>
          </w:p>
        </w:tc>
        <w:tc>
          <w:tcPr>
            <w:tcW w:w="11335" w:type="dxa"/>
            <w:gridSpan w:val="2"/>
            <w:shd w:val="clear" w:color="auto" w:fill="FFF2CC" w:themeFill="accent4" w:themeFillTint="33"/>
          </w:tcPr>
          <w:p w14:paraId="37203A8F" w14:textId="2C5689A1" w:rsidR="005847CA" w:rsidRPr="006F5A46" w:rsidRDefault="005847CA">
            <w:pPr>
              <w:pStyle w:val="NoSpacing"/>
              <w:rPr>
                <w:rFonts w:cs="Times New Roman"/>
                <w:sz w:val="20"/>
                <w:szCs w:val="20"/>
              </w:rPr>
            </w:pPr>
            <w:r>
              <w:rPr>
                <w:rFonts w:cs="Times New Roman"/>
                <w:sz w:val="20"/>
                <w:szCs w:val="20"/>
              </w:rPr>
              <w:t>24 CFR §35, Subparts A, B, H</w:t>
            </w:r>
            <w:r w:rsidR="00EB051B">
              <w:rPr>
                <w:rFonts w:cs="Times New Roman"/>
                <w:sz w:val="20"/>
                <w:szCs w:val="20"/>
              </w:rPr>
              <w:t xml:space="preserve">, and R apply to </w:t>
            </w:r>
            <w:proofErr w:type="spellStart"/>
            <w:r w:rsidR="00EB051B">
              <w:rPr>
                <w:rFonts w:cs="Times New Roman"/>
                <w:sz w:val="20"/>
                <w:szCs w:val="20"/>
              </w:rPr>
              <w:t>PBRA</w:t>
            </w:r>
            <w:proofErr w:type="spellEnd"/>
            <w:r w:rsidRPr="006F5A46">
              <w:rPr>
                <w:rFonts w:cs="Times New Roman"/>
                <w:sz w:val="20"/>
                <w:szCs w:val="20"/>
              </w:rPr>
              <w:t xml:space="preserve">-assisted units and the common areas and exterior painted surfaces </w:t>
            </w:r>
            <w:r w:rsidR="000240E7">
              <w:rPr>
                <w:rFonts w:cs="Times New Roman"/>
                <w:sz w:val="20"/>
                <w:szCs w:val="20"/>
              </w:rPr>
              <w:t>of</w:t>
            </w:r>
            <w:r w:rsidRPr="006F5A46">
              <w:rPr>
                <w:rFonts w:cs="Times New Roman"/>
                <w:sz w:val="20"/>
                <w:szCs w:val="20"/>
              </w:rPr>
              <w:t xml:space="preserve"> these units.</w:t>
            </w:r>
          </w:p>
        </w:tc>
      </w:tr>
      <w:tr w:rsidR="005847CA" w14:paraId="791C165F" w14:textId="77777777" w:rsidTr="004F1682">
        <w:tc>
          <w:tcPr>
            <w:tcW w:w="0" w:type="auto"/>
            <w:vMerge/>
            <w:shd w:val="clear" w:color="auto" w:fill="FFD966" w:themeFill="accent4" w:themeFillTint="99"/>
          </w:tcPr>
          <w:p w14:paraId="62CD5425" w14:textId="77777777" w:rsidR="005847CA" w:rsidRDefault="005847CA" w:rsidP="00C16332">
            <w:pPr>
              <w:pStyle w:val="NoSpacing"/>
              <w:rPr>
                <w:rFonts w:cs="Times New Roman"/>
              </w:rPr>
            </w:pPr>
          </w:p>
        </w:tc>
        <w:tc>
          <w:tcPr>
            <w:tcW w:w="2449" w:type="dxa"/>
            <w:shd w:val="clear" w:color="auto" w:fill="FFE599" w:themeFill="accent4" w:themeFillTint="66"/>
          </w:tcPr>
          <w:p w14:paraId="7A21F45E" w14:textId="77777777" w:rsidR="005847CA" w:rsidRPr="006F5A46" w:rsidRDefault="005847CA" w:rsidP="00C16332">
            <w:pPr>
              <w:pStyle w:val="NoSpacing"/>
              <w:rPr>
                <w:rFonts w:cs="Times New Roman"/>
                <w:sz w:val="20"/>
              </w:rPr>
            </w:pPr>
            <w:r w:rsidRPr="006F5A46">
              <w:rPr>
                <w:rFonts w:cs="Times New Roman"/>
                <w:sz w:val="20"/>
              </w:rPr>
              <w:t>Disclosure</w:t>
            </w:r>
          </w:p>
        </w:tc>
        <w:tc>
          <w:tcPr>
            <w:tcW w:w="11335" w:type="dxa"/>
            <w:gridSpan w:val="2"/>
            <w:shd w:val="clear" w:color="auto" w:fill="FFF2CC" w:themeFill="accent4" w:themeFillTint="33"/>
          </w:tcPr>
          <w:p w14:paraId="03A8ADB1" w14:textId="19A7A595" w:rsidR="005847CA" w:rsidRPr="006F5A46" w:rsidRDefault="005847CA" w:rsidP="00C16332">
            <w:pPr>
              <w:pStyle w:val="NoSpacing"/>
              <w:rPr>
                <w:rFonts w:cs="Times New Roman"/>
                <w:sz w:val="20"/>
              </w:rPr>
            </w:pPr>
            <w:r w:rsidRPr="006F5A46">
              <w:rPr>
                <w:rFonts w:cs="Times New Roman"/>
                <w:sz w:val="20"/>
              </w:rPr>
              <w:t xml:space="preserve">If the structure was built or most recently rehabilitated prior to 1978, then the owner </w:t>
            </w:r>
            <w:r w:rsidR="003A4020">
              <w:rPr>
                <w:rFonts w:cs="Times New Roman"/>
                <w:sz w:val="20"/>
              </w:rPr>
              <w:t>must provide</w:t>
            </w:r>
            <w:r w:rsidRPr="006F5A46">
              <w:rPr>
                <w:rFonts w:cs="Times New Roman"/>
                <w:sz w:val="20"/>
              </w:rPr>
              <w:t xml:space="preserve"> a </w:t>
            </w:r>
            <w:hyperlink r:id="rId185" w:history="1">
              <w:r w:rsidRPr="006F5A46">
                <w:rPr>
                  <w:rStyle w:val="Hyperlink"/>
                  <w:rFonts w:cs="Times New Roman"/>
                  <w:sz w:val="20"/>
                </w:rPr>
                <w:t>“Protect Your Family from Lead in Your Home”</w:t>
              </w:r>
            </w:hyperlink>
            <w:r w:rsidRPr="006F5A46">
              <w:rPr>
                <w:rFonts w:cs="Times New Roman"/>
                <w:sz w:val="20"/>
              </w:rPr>
              <w:t xml:space="preserve"> pamphlet, “Disclosure of Information on Lead-Based Paint and/or Lead-Based Paint Hazards” form (</w:t>
            </w:r>
            <w:hyperlink r:id="rId186" w:history="1">
              <w:r w:rsidRPr="006F5A46">
                <w:rPr>
                  <w:rStyle w:val="Hyperlink"/>
                  <w:rFonts w:cs="Times New Roman"/>
                  <w:sz w:val="20"/>
                </w:rPr>
                <w:t>English</w:t>
              </w:r>
            </w:hyperlink>
            <w:r w:rsidRPr="006F5A46">
              <w:rPr>
                <w:rFonts w:cs="Times New Roman"/>
                <w:sz w:val="20"/>
              </w:rPr>
              <w:t xml:space="preserve"> | </w:t>
            </w:r>
            <w:hyperlink r:id="rId187" w:history="1">
              <w:r w:rsidRPr="006F5A46">
                <w:rPr>
                  <w:rStyle w:val="Hyperlink"/>
                  <w:rFonts w:cs="Times New Roman"/>
                  <w:sz w:val="20"/>
                </w:rPr>
                <w:t>Spanish</w:t>
              </w:r>
            </w:hyperlink>
            <w:r w:rsidRPr="006F5A46">
              <w:rPr>
                <w:rFonts w:cs="Times New Roman"/>
                <w:sz w:val="20"/>
              </w:rPr>
              <w:t>), and available records and reports to households at initial occupancy, when their lease renew</w:t>
            </w:r>
            <w:r w:rsidR="003A4020">
              <w:rPr>
                <w:rFonts w:cs="Times New Roman"/>
                <w:sz w:val="20"/>
              </w:rPr>
              <w:t>s</w:t>
            </w:r>
            <w:r w:rsidRPr="006F5A46">
              <w:rPr>
                <w:rFonts w:cs="Times New Roman"/>
                <w:sz w:val="20"/>
              </w:rPr>
              <w:t xml:space="preserve"> with changed terms, and/or when their lease renew</w:t>
            </w:r>
            <w:r w:rsidR="003A4020">
              <w:rPr>
                <w:rFonts w:cs="Times New Roman"/>
                <w:sz w:val="20"/>
              </w:rPr>
              <w:t>s</w:t>
            </w:r>
            <w:r w:rsidRPr="006F5A46">
              <w:rPr>
                <w:rFonts w:cs="Times New Roman"/>
                <w:sz w:val="20"/>
              </w:rPr>
              <w:t xml:space="preserve"> after new information on lead-based paint (LBP) or lead-based paint hazards becomes available. See </w:t>
            </w:r>
            <w:hyperlink r:id="rId188" w:anchor="se24.1.35_182" w:tooltip="See §35.82 for scope and applicability." w:history="1">
              <w:r w:rsidRPr="006F5A46">
                <w:rPr>
                  <w:rStyle w:val="Hyperlink"/>
                  <w:rFonts w:cs="Times New Roman"/>
                  <w:sz w:val="20"/>
                </w:rPr>
                <w:t>24 CFR §35.82</w:t>
              </w:r>
            </w:hyperlink>
            <w:r w:rsidRPr="006F5A46">
              <w:rPr>
                <w:rFonts w:cs="Times New Roman"/>
                <w:sz w:val="20"/>
              </w:rPr>
              <w:t xml:space="preserve"> for a list of transactions exempt from disclosure rules.</w:t>
            </w:r>
          </w:p>
        </w:tc>
      </w:tr>
      <w:tr w:rsidR="005847CA" w14:paraId="4AE2E9A8" w14:textId="77777777" w:rsidTr="004F1682">
        <w:tc>
          <w:tcPr>
            <w:tcW w:w="0" w:type="auto"/>
            <w:vMerge/>
            <w:shd w:val="clear" w:color="auto" w:fill="FFD966" w:themeFill="accent4" w:themeFillTint="99"/>
          </w:tcPr>
          <w:p w14:paraId="459327C2" w14:textId="77777777" w:rsidR="005847CA" w:rsidRPr="00714248" w:rsidRDefault="005847CA" w:rsidP="00C16332">
            <w:pPr>
              <w:pStyle w:val="NoSpacing"/>
              <w:rPr>
                <w:rFonts w:cs="Times New Roman"/>
              </w:rPr>
            </w:pPr>
          </w:p>
        </w:tc>
        <w:tc>
          <w:tcPr>
            <w:tcW w:w="2449" w:type="dxa"/>
            <w:shd w:val="clear" w:color="auto" w:fill="FFE599" w:themeFill="accent4" w:themeFillTint="66"/>
          </w:tcPr>
          <w:p w14:paraId="39691106" w14:textId="77777777" w:rsidR="005847CA" w:rsidRPr="006F5A46" w:rsidRDefault="005847CA" w:rsidP="00C16332">
            <w:pPr>
              <w:pStyle w:val="NoSpacing"/>
              <w:rPr>
                <w:rFonts w:cs="Times New Roman"/>
                <w:sz w:val="20"/>
              </w:rPr>
            </w:pPr>
            <w:r w:rsidRPr="006F5A46">
              <w:rPr>
                <w:rFonts w:cs="Times New Roman"/>
                <w:sz w:val="20"/>
              </w:rPr>
              <w:t>Exemptions</w:t>
            </w:r>
          </w:p>
        </w:tc>
        <w:tc>
          <w:tcPr>
            <w:tcW w:w="11335" w:type="dxa"/>
            <w:gridSpan w:val="2"/>
            <w:shd w:val="clear" w:color="auto" w:fill="FFF2CC" w:themeFill="accent4" w:themeFillTint="33"/>
          </w:tcPr>
          <w:p w14:paraId="0EBEDAF7" w14:textId="4750843D" w:rsidR="005847CA" w:rsidRPr="006F5A46" w:rsidRDefault="005847CA" w:rsidP="00C16332">
            <w:pPr>
              <w:pStyle w:val="NoSpacing"/>
              <w:rPr>
                <w:rFonts w:cs="Times New Roman"/>
                <w:sz w:val="20"/>
              </w:rPr>
            </w:pPr>
            <w:r w:rsidRPr="006F5A46">
              <w:rPr>
                <w:rFonts w:cs="Times New Roman"/>
                <w:sz w:val="20"/>
              </w:rPr>
              <w:t xml:space="preserve">See </w:t>
            </w:r>
            <w:hyperlink r:id="rId189" w:anchor="se24.1.35_1115" w:tooltip="See 24 CFR §35.115 for exemptions." w:history="1">
              <w:r w:rsidRPr="006F5A46">
                <w:rPr>
                  <w:rStyle w:val="Hyperlink"/>
                  <w:rFonts w:cs="Times New Roman"/>
                  <w:sz w:val="20"/>
                </w:rPr>
                <w:t>24 CFR §35.115</w:t>
              </w:r>
            </w:hyperlink>
            <w:r w:rsidRPr="006F5A46">
              <w:rPr>
                <w:rFonts w:cs="Times New Roman"/>
                <w:sz w:val="20"/>
              </w:rPr>
              <w:t xml:space="preserve"> for a list of property exemptions.</w:t>
            </w:r>
          </w:p>
        </w:tc>
      </w:tr>
      <w:tr w:rsidR="005847CA" w14:paraId="7050F20D" w14:textId="77777777" w:rsidTr="004F1682">
        <w:tc>
          <w:tcPr>
            <w:tcW w:w="0" w:type="auto"/>
            <w:vMerge/>
            <w:shd w:val="clear" w:color="auto" w:fill="FFD966" w:themeFill="accent4" w:themeFillTint="99"/>
          </w:tcPr>
          <w:p w14:paraId="7E2AA725" w14:textId="77777777" w:rsidR="005847CA" w:rsidRDefault="005847CA" w:rsidP="00C16332">
            <w:pPr>
              <w:pStyle w:val="NoSpacing"/>
              <w:rPr>
                <w:rFonts w:cs="Times New Roman"/>
              </w:rPr>
            </w:pPr>
          </w:p>
        </w:tc>
        <w:tc>
          <w:tcPr>
            <w:tcW w:w="2449" w:type="dxa"/>
            <w:shd w:val="clear" w:color="auto" w:fill="FFE599" w:themeFill="accent4" w:themeFillTint="66"/>
          </w:tcPr>
          <w:p w14:paraId="455B43D5" w14:textId="625C85A4" w:rsidR="005847CA" w:rsidRPr="006F5A46" w:rsidRDefault="00E82198" w:rsidP="00C16332">
            <w:pPr>
              <w:pStyle w:val="NoSpacing"/>
              <w:rPr>
                <w:rFonts w:cs="Times New Roman"/>
                <w:sz w:val="20"/>
              </w:rPr>
            </w:pPr>
            <w:r>
              <w:rPr>
                <w:rFonts w:cs="Times New Roman"/>
                <w:sz w:val="20"/>
              </w:rPr>
              <w:t>Lead hazard approach</w:t>
            </w:r>
          </w:p>
        </w:tc>
        <w:tc>
          <w:tcPr>
            <w:tcW w:w="5667" w:type="dxa"/>
            <w:shd w:val="clear" w:color="auto" w:fill="FFF2CC" w:themeFill="accent4" w:themeFillTint="33"/>
          </w:tcPr>
          <w:p w14:paraId="23CA2099" w14:textId="3A2770EE" w:rsidR="005847CA" w:rsidRPr="006F5A46" w:rsidRDefault="00E82198" w:rsidP="00C16332">
            <w:pPr>
              <w:pStyle w:val="NoSpacing"/>
              <w:rPr>
                <w:rFonts w:cs="Times New Roman"/>
                <w:sz w:val="20"/>
              </w:rPr>
            </w:pPr>
            <w:r>
              <w:rPr>
                <w:rFonts w:cs="Times New Roman"/>
                <w:sz w:val="20"/>
              </w:rPr>
              <w:t>I</w:t>
            </w:r>
            <w:r w:rsidR="005847CA" w:rsidRPr="006F5A46">
              <w:rPr>
                <w:rFonts w:cs="Times New Roman"/>
                <w:sz w:val="20"/>
              </w:rPr>
              <w:t xml:space="preserve">dentify and stabilize </w:t>
            </w:r>
            <w:hyperlink r:id="rId190" w:anchor="se24.1.35_1110" w:tooltip="See 24 CFR §35.110 for the definition of deteriorated paint." w:history="1">
              <w:r w:rsidR="005847CA" w:rsidRPr="006F5A46">
                <w:rPr>
                  <w:rStyle w:val="Hyperlink"/>
                  <w:rFonts w:cs="Times New Roman"/>
                  <w:sz w:val="20"/>
                </w:rPr>
                <w:t>deteriorated paint</w:t>
              </w:r>
            </w:hyperlink>
            <w:r w:rsidR="005847CA" w:rsidRPr="006F5A46">
              <w:rPr>
                <w:rFonts w:cs="Times New Roman"/>
                <w:sz w:val="20"/>
              </w:rPr>
              <w:t>.</w:t>
            </w:r>
          </w:p>
        </w:tc>
        <w:tc>
          <w:tcPr>
            <w:tcW w:w="5668" w:type="dxa"/>
            <w:shd w:val="clear" w:color="auto" w:fill="FFF2CC" w:themeFill="accent4" w:themeFillTint="33"/>
          </w:tcPr>
          <w:p w14:paraId="594612ED" w14:textId="51A1BFA6" w:rsidR="005847CA" w:rsidRPr="006F5A46" w:rsidRDefault="00A66919" w:rsidP="00C16332">
            <w:pPr>
              <w:pStyle w:val="NoSpacing"/>
              <w:rPr>
                <w:rFonts w:cs="Times New Roman"/>
                <w:sz w:val="20"/>
              </w:rPr>
            </w:pPr>
            <w:hyperlink r:id="rId191" w:anchor="se24.1.35_1110" w:tooltip="See 24 CFR §35.110 for the definition of risk assessment." w:history="1">
              <w:r w:rsidR="005907C3">
                <w:rPr>
                  <w:rStyle w:val="Hyperlink"/>
                  <w:rFonts w:cs="Times New Roman"/>
                  <w:sz w:val="20"/>
                  <w:szCs w:val="20"/>
                </w:rPr>
                <w:t>Risk assessment</w:t>
              </w:r>
            </w:hyperlink>
            <w:r w:rsidR="005907C3">
              <w:rPr>
                <w:rFonts w:cs="Times New Roman"/>
                <w:sz w:val="20"/>
                <w:szCs w:val="20"/>
              </w:rPr>
              <w:t xml:space="preserve"> </w:t>
            </w:r>
            <w:r w:rsidR="00E82198">
              <w:rPr>
                <w:rFonts w:cs="Times New Roman"/>
                <w:sz w:val="20"/>
              </w:rPr>
              <w:t xml:space="preserve">and </w:t>
            </w:r>
            <w:hyperlink r:id="rId192" w:anchor="se24.1.35_11330" w:tooltip="See §35.1330 for interim controls." w:history="1">
              <w:r w:rsidR="00DE723C" w:rsidRPr="006F5A46">
                <w:rPr>
                  <w:rStyle w:val="Hyperlink"/>
                  <w:rFonts w:cs="Times New Roman"/>
                  <w:sz w:val="20"/>
                </w:rPr>
                <w:t>interim controls</w:t>
              </w:r>
            </w:hyperlink>
            <w:r w:rsidR="00EB051B">
              <w:rPr>
                <w:rFonts w:cs="Times New Roman"/>
                <w:sz w:val="20"/>
              </w:rPr>
              <w:t xml:space="preserve"> in accordance with </w:t>
            </w:r>
            <w:hyperlink r:id="rId193" w:anchor="se24.1.35_1715" w:tooltip="See 24 §35.715(b) for interim control instructions for multifamily properties receiving over $5,000 per unit per year." w:history="1">
              <w:r w:rsidR="00EB051B" w:rsidRPr="00EB051B">
                <w:rPr>
                  <w:rStyle w:val="Hyperlink"/>
                  <w:rFonts w:cs="Times New Roman"/>
                  <w:sz w:val="20"/>
                </w:rPr>
                <w:t>Part H</w:t>
              </w:r>
            </w:hyperlink>
            <w:r w:rsidR="00EB051B">
              <w:rPr>
                <w:rFonts w:cs="Times New Roman"/>
                <w:sz w:val="20"/>
              </w:rPr>
              <w:t>.</w:t>
            </w:r>
          </w:p>
        </w:tc>
      </w:tr>
      <w:tr w:rsidR="005847CA" w14:paraId="42CE1636" w14:textId="77777777" w:rsidTr="004F1682">
        <w:tc>
          <w:tcPr>
            <w:tcW w:w="0" w:type="auto"/>
            <w:vMerge/>
            <w:shd w:val="clear" w:color="auto" w:fill="FFD966" w:themeFill="accent4" w:themeFillTint="99"/>
          </w:tcPr>
          <w:p w14:paraId="6C62C266" w14:textId="77777777" w:rsidR="005847CA" w:rsidRDefault="005847CA" w:rsidP="00C16332">
            <w:pPr>
              <w:pStyle w:val="NoSpacing"/>
              <w:rPr>
                <w:rFonts w:cs="Times New Roman"/>
              </w:rPr>
            </w:pPr>
          </w:p>
        </w:tc>
        <w:tc>
          <w:tcPr>
            <w:tcW w:w="2449" w:type="dxa"/>
            <w:shd w:val="clear" w:color="auto" w:fill="FFE599" w:themeFill="accent4" w:themeFillTint="66"/>
          </w:tcPr>
          <w:p w14:paraId="23C8AFA1" w14:textId="77777777" w:rsidR="005847CA" w:rsidRPr="006F5A46" w:rsidRDefault="005847CA" w:rsidP="00C16332">
            <w:pPr>
              <w:pStyle w:val="NoSpacing"/>
              <w:rPr>
                <w:rFonts w:cs="Times New Roman"/>
                <w:sz w:val="20"/>
              </w:rPr>
            </w:pPr>
            <w:r w:rsidRPr="006F5A46">
              <w:rPr>
                <w:rFonts w:cs="Times New Roman"/>
                <w:sz w:val="20"/>
              </w:rPr>
              <w:t>Identification method</w:t>
            </w:r>
          </w:p>
        </w:tc>
        <w:tc>
          <w:tcPr>
            <w:tcW w:w="5667" w:type="dxa"/>
            <w:shd w:val="clear" w:color="auto" w:fill="FFF2CC" w:themeFill="accent4" w:themeFillTint="33"/>
          </w:tcPr>
          <w:p w14:paraId="0B0C1E0E" w14:textId="77777777" w:rsidR="005847CA" w:rsidRPr="006F5A46" w:rsidRDefault="00A66919" w:rsidP="00C16332">
            <w:pPr>
              <w:pStyle w:val="NoSpacing"/>
              <w:rPr>
                <w:rFonts w:cs="Times New Roman"/>
                <w:sz w:val="20"/>
              </w:rPr>
            </w:pPr>
            <w:hyperlink r:id="rId194" w:anchor="se24.1.35_1110" w:tooltip="See 24 CFR §35.110 for the definition of visual assessment." w:history="1">
              <w:r w:rsidR="005847CA" w:rsidRPr="006F5A46">
                <w:rPr>
                  <w:rStyle w:val="Hyperlink"/>
                  <w:rFonts w:cs="Times New Roman"/>
                  <w:sz w:val="20"/>
                </w:rPr>
                <w:t>Visual assessment</w:t>
              </w:r>
            </w:hyperlink>
          </w:p>
        </w:tc>
        <w:tc>
          <w:tcPr>
            <w:tcW w:w="5668" w:type="dxa"/>
            <w:shd w:val="clear" w:color="auto" w:fill="FFF2CC" w:themeFill="accent4" w:themeFillTint="33"/>
          </w:tcPr>
          <w:p w14:paraId="65066E9B" w14:textId="27AF2FDE" w:rsidR="005847CA" w:rsidRPr="006F5A46" w:rsidRDefault="00F07469" w:rsidP="00C16332">
            <w:pPr>
              <w:pStyle w:val="NoSpacing"/>
              <w:rPr>
                <w:rFonts w:cs="Times New Roman"/>
                <w:sz w:val="20"/>
              </w:rPr>
            </w:pPr>
            <w:r>
              <w:rPr>
                <w:rFonts w:cs="Times New Roman"/>
                <w:sz w:val="20"/>
              </w:rPr>
              <w:t>Risk assessment and notification to residents describing results.</w:t>
            </w:r>
          </w:p>
        </w:tc>
      </w:tr>
      <w:tr w:rsidR="005847CA" w14:paraId="238D13DF" w14:textId="77777777" w:rsidTr="004F1682">
        <w:tc>
          <w:tcPr>
            <w:tcW w:w="0" w:type="auto"/>
            <w:vMerge/>
            <w:shd w:val="clear" w:color="auto" w:fill="FFD966" w:themeFill="accent4" w:themeFillTint="99"/>
          </w:tcPr>
          <w:p w14:paraId="7736F0A7" w14:textId="77777777" w:rsidR="005847CA" w:rsidRDefault="005847CA" w:rsidP="00C16332">
            <w:pPr>
              <w:pStyle w:val="NoSpacing"/>
              <w:rPr>
                <w:rFonts w:cs="Times New Roman"/>
              </w:rPr>
            </w:pPr>
          </w:p>
        </w:tc>
        <w:tc>
          <w:tcPr>
            <w:tcW w:w="2449" w:type="dxa"/>
            <w:shd w:val="clear" w:color="auto" w:fill="FFE599" w:themeFill="accent4" w:themeFillTint="66"/>
          </w:tcPr>
          <w:p w14:paraId="11BB2B1C" w14:textId="77777777" w:rsidR="005847CA" w:rsidRPr="006F5A46" w:rsidRDefault="005847CA" w:rsidP="00C16332">
            <w:pPr>
              <w:pStyle w:val="NoSpacing"/>
              <w:rPr>
                <w:rFonts w:cs="Times New Roman"/>
                <w:sz w:val="20"/>
              </w:rPr>
            </w:pPr>
            <w:r w:rsidRPr="006F5A46">
              <w:rPr>
                <w:rFonts w:cs="Times New Roman"/>
                <w:sz w:val="20"/>
              </w:rPr>
              <w:t>Pre-renovation education</w:t>
            </w:r>
          </w:p>
        </w:tc>
        <w:tc>
          <w:tcPr>
            <w:tcW w:w="11335" w:type="dxa"/>
            <w:gridSpan w:val="2"/>
            <w:shd w:val="clear" w:color="auto" w:fill="FFF2CC" w:themeFill="accent4" w:themeFillTint="33"/>
          </w:tcPr>
          <w:p w14:paraId="54718F23" w14:textId="2DD3B8E3" w:rsidR="005847CA" w:rsidRPr="006F5A46" w:rsidRDefault="005847CA" w:rsidP="00C16332">
            <w:pPr>
              <w:pStyle w:val="NoSpacing"/>
              <w:rPr>
                <w:rFonts w:cs="Times New Roman"/>
                <w:sz w:val="20"/>
              </w:rPr>
            </w:pPr>
            <w:r w:rsidRPr="006F5A46">
              <w:rPr>
                <w:rFonts w:cs="Times New Roman"/>
                <w:sz w:val="20"/>
              </w:rPr>
              <w:t xml:space="preserve">Before starting work, the entity performing any renovations must provide a </w:t>
            </w:r>
            <w:hyperlink r:id="rId195" w:history="1">
              <w:r w:rsidR="009C621C">
                <w:rPr>
                  <w:rStyle w:val="Hyperlink"/>
                  <w:rFonts w:cs="Times New Roman"/>
                  <w:sz w:val="20"/>
                </w:rPr>
                <w:t>"Renovate Right"</w:t>
              </w:r>
            </w:hyperlink>
            <w:r w:rsidRPr="006F5A46">
              <w:rPr>
                <w:rFonts w:cs="Times New Roman"/>
                <w:sz w:val="20"/>
              </w:rPr>
              <w:t xml:space="preserve"> pamphlet to households.</w:t>
            </w:r>
          </w:p>
        </w:tc>
      </w:tr>
      <w:tr w:rsidR="005847CA" w14:paraId="4E9E4196" w14:textId="77777777" w:rsidTr="004F1682">
        <w:tc>
          <w:tcPr>
            <w:tcW w:w="0" w:type="auto"/>
            <w:vMerge/>
            <w:shd w:val="clear" w:color="auto" w:fill="FFD966" w:themeFill="accent4" w:themeFillTint="99"/>
          </w:tcPr>
          <w:p w14:paraId="764029E6" w14:textId="77777777" w:rsidR="005847CA" w:rsidRDefault="005847CA" w:rsidP="00C16332">
            <w:pPr>
              <w:pStyle w:val="NoSpacing"/>
              <w:rPr>
                <w:rFonts w:cs="Times New Roman"/>
              </w:rPr>
            </w:pPr>
          </w:p>
        </w:tc>
        <w:tc>
          <w:tcPr>
            <w:tcW w:w="2449" w:type="dxa"/>
            <w:shd w:val="clear" w:color="auto" w:fill="FFE599" w:themeFill="accent4" w:themeFillTint="66"/>
          </w:tcPr>
          <w:p w14:paraId="16945F3C" w14:textId="77777777" w:rsidR="005847CA" w:rsidRPr="006F5A46" w:rsidRDefault="005847CA" w:rsidP="00C16332">
            <w:pPr>
              <w:pStyle w:val="NoSpacing"/>
              <w:rPr>
                <w:rFonts w:cs="Times New Roman"/>
                <w:sz w:val="20"/>
              </w:rPr>
            </w:pPr>
            <w:r w:rsidRPr="006F5A46">
              <w:rPr>
                <w:rFonts w:cs="Times New Roman"/>
                <w:sz w:val="20"/>
              </w:rPr>
              <w:t>Lead hazard reduction</w:t>
            </w:r>
          </w:p>
        </w:tc>
        <w:tc>
          <w:tcPr>
            <w:tcW w:w="5667" w:type="dxa"/>
            <w:shd w:val="clear" w:color="auto" w:fill="FFF2CC" w:themeFill="accent4" w:themeFillTint="33"/>
          </w:tcPr>
          <w:p w14:paraId="7441FECB" w14:textId="77777777" w:rsidR="005847CA" w:rsidRPr="006F5A46" w:rsidRDefault="00A66919" w:rsidP="00C16332">
            <w:pPr>
              <w:pStyle w:val="NoSpacing"/>
              <w:rPr>
                <w:rFonts w:cs="Times New Roman"/>
                <w:sz w:val="20"/>
              </w:rPr>
            </w:pPr>
            <w:hyperlink r:id="rId196" w:anchor="se24.1.35_11330" w:tooltip="See §35.1330(b) for paint stabilization." w:history="1">
              <w:r w:rsidR="005847CA" w:rsidRPr="006F5A46">
                <w:rPr>
                  <w:rStyle w:val="Hyperlink"/>
                  <w:rFonts w:cs="Times New Roman"/>
                  <w:sz w:val="20"/>
                </w:rPr>
                <w:t>Paint stabilization</w:t>
              </w:r>
            </w:hyperlink>
            <w:r w:rsidR="005847CA" w:rsidRPr="006F5A46">
              <w:rPr>
                <w:rFonts w:cs="Times New Roman"/>
                <w:sz w:val="20"/>
              </w:rPr>
              <w:t xml:space="preserve"> using </w:t>
            </w:r>
            <w:hyperlink r:id="rId197" w:anchor="se24.1.35_11350" w:tooltip="See §35.1350 for safe work practices." w:history="1">
              <w:r w:rsidR="005847CA" w:rsidRPr="006F5A46">
                <w:rPr>
                  <w:rStyle w:val="Hyperlink"/>
                  <w:rFonts w:cs="Times New Roman"/>
                  <w:sz w:val="20"/>
                </w:rPr>
                <w:t>safe work practices</w:t>
              </w:r>
            </w:hyperlink>
            <w:r w:rsidR="005847CA" w:rsidRPr="006F5A46">
              <w:rPr>
                <w:rFonts w:cs="Times New Roman"/>
                <w:sz w:val="20"/>
              </w:rPr>
              <w:t xml:space="preserve"> and </w:t>
            </w:r>
            <w:hyperlink r:id="rId198" w:anchor="se24.1.35_11345" w:tooltip="See §35.1345 for occupant protection and worksite preparation." w:history="1">
              <w:r w:rsidR="005847CA" w:rsidRPr="006F5A46">
                <w:rPr>
                  <w:rStyle w:val="Hyperlink"/>
                  <w:rFonts w:cs="Times New Roman"/>
                  <w:sz w:val="20"/>
                </w:rPr>
                <w:t>occupant protection</w:t>
              </w:r>
            </w:hyperlink>
            <w:r w:rsidR="005847CA" w:rsidRPr="006F5A46">
              <w:rPr>
                <w:rFonts w:cs="Times New Roman"/>
                <w:sz w:val="20"/>
              </w:rPr>
              <w:t xml:space="preserve"> performed with proper </w:t>
            </w:r>
            <w:hyperlink r:id="rId199" w:anchor="se24.1.35_11330" w:tooltip="See §35.1330(a)(4) for training requirements." w:history="1">
              <w:r w:rsidR="005847CA" w:rsidRPr="006F5A46">
                <w:rPr>
                  <w:rStyle w:val="Hyperlink"/>
                  <w:rFonts w:cs="Times New Roman"/>
                  <w:sz w:val="20"/>
                </w:rPr>
                <w:t>training</w:t>
              </w:r>
            </w:hyperlink>
            <w:r w:rsidR="005847CA" w:rsidRPr="006F5A46">
              <w:rPr>
                <w:rFonts w:cs="Times New Roman"/>
                <w:sz w:val="20"/>
              </w:rPr>
              <w:t xml:space="preserve"> or supervision.</w:t>
            </w:r>
          </w:p>
        </w:tc>
        <w:tc>
          <w:tcPr>
            <w:tcW w:w="5668" w:type="dxa"/>
            <w:shd w:val="clear" w:color="auto" w:fill="FFF2CC" w:themeFill="accent4" w:themeFillTint="33"/>
          </w:tcPr>
          <w:p w14:paraId="55162BE1" w14:textId="0DFA0B03" w:rsidR="005847CA" w:rsidRPr="006F5A46" w:rsidRDefault="00A66919" w:rsidP="00C16332">
            <w:pPr>
              <w:pStyle w:val="NoSpacing"/>
              <w:rPr>
                <w:rFonts w:cs="Times New Roman"/>
                <w:sz w:val="20"/>
              </w:rPr>
            </w:pPr>
            <w:hyperlink r:id="rId200" w:anchor="se24.1.35_11330" w:tooltip="See §35.1330 for interim controls." w:history="1">
              <w:r w:rsidR="00DE723C">
                <w:rPr>
                  <w:rStyle w:val="Hyperlink"/>
                  <w:rFonts w:cs="Times New Roman"/>
                  <w:sz w:val="20"/>
                </w:rPr>
                <w:t>Interim controls</w:t>
              </w:r>
            </w:hyperlink>
            <w:r w:rsidR="005907C3">
              <w:t xml:space="preserve"> </w:t>
            </w:r>
            <w:r w:rsidR="005907C3" w:rsidRPr="005907C3">
              <w:rPr>
                <w:rFonts w:cs="Times New Roman"/>
                <w:sz w:val="20"/>
              </w:rPr>
              <w:t>using safe work practices and occupant protection performed with proper training or supervision.</w:t>
            </w:r>
          </w:p>
        </w:tc>
      </w:tr>
      <w:tr w:rsidR="005847CA" w14:paraId="12247C4B" w14:textId="77777777" w:rsidTr="004F1682">
        <w:tc>
          <w:tcPr>
            <w:tcW w:w="0" w:type="auto"/>
            <w:vMerge/>
            <w:shd w:val="clear" w:color="auto" w:fill="FFD966" w:themeFill="accent4" w:themeFillTint="99"/>
          </w:tcPr>
          <w:p w14:paraId="2846F215" w14:textId="77777777" w:rsidR="005847CA" w:rsidRDefault="005847CA" w:rsidP="00C16332">
            <w:pPr>
              <w:pStyle w:val="NoSpacing"/>
              <w:rPr>
                <w:rFonts w:cs="Times New Roman"/>
              </w:rPr>
            </w:pPr>
          </w:p>
        </w:tc>
        <w:tc>
          <w:tcPr>
            <w:tcW w:w="2449" w:type="dxa"/>
            <w:shd w:val="clear" w:color="auto" w:fill="FFE599" w:themeFill="accent4" w:themeFillTint="66"/>
          </w:tcPr>
          <w:p w14:paraId="44C1DA42" w14:textId="77777777" w:rsidR="005847CA" w:rsidRPr="006F5A46" w:rsidRDefault="005847CA" w:rsidP="00C16332">
            <w:pPr>
              <w:pStyle w:val="NoSpacing"/>
              <w:rPr>
                <w:rFonts w:cs="Times New Roman"/>
                <w:sz w:val="20"/>
              </w:rPr>
            </w:pPr>
            <w:r w:rsidRPr="006F5A46">
              <w:rPr>
                <w:rFonts w:cs="Times New Roman"/>
                <w:sz w:val="20"/>
              </w:rPr>
              <w:t>Clearance and notification</w:t>
            </w:r>
          </w:p>
        </w:tc>
        <w:tc>
          <w:tcPr>
            <w:tcW w:w="11335" w:type="dxa"/>
            <w:gridSpan w:val="2"/>
            <w:shd w:val="clear" w:color="auto" w:fill="FFF2CC" w:themeFill="accent4" w:themeFillTint="33"/>
          </w:tcPr>
          <w:p w14:paraId="5BDEEC84" w14:textId="017936E4" w:rsidR="005847CA" w:rsidRPr="006F5A46" w:rsidRDefault="00A66919" w:rsidP="00C16332">
            <w:pPr>
              <w:pStyle w:val="NoSpacing"/>
              <w:rPr>
                <w:rFonts w:cs="Times New Roman"/>
                <w:sz w:val="20"/>
              </w:rPr>
            </w:pPr>
            <w:hyperlink r:id="rId201" w:anchor="se24.1.35_11340" w:tooltip="See §35.1340 for clearance." w:history="1">
              <w:r w:rsidR="005847CA" w:rsidRPr="006F5A46">
                <w:rPr>
                  <w:rStyle w:val="Hyperlink"/>
                  <w:rFonts w:cs="Times New Roman"/>
                  <w:sz w:val="20"/>
                </w:rPr>
                <w:t>Clearance</w:t>
              </w:r>
            </w:hyperlink>
            <w:r w:rsidR="005847CA" w:rsidRPr="006F5A46">
              <w:rPr>
                <w:rFonts w:cs="Times New Roman"/>
                <w:sz w:val="20"/>
              </w:rPr>
              <w:t xml:space="preserve"> </w:t>
            </w:r>
            <w:r w:rsidR="003A4020">
              <w:rPr>
                <w:rFonts w:cs="Times New Roman"/>
                <w:sz w:val="20"/>
              </w:rPr>
              <w:t>must occur following</w:t>
            </w:r>
            <w:r w:rsidR="005847CA" w:rsidRPr="006F5A46">
              <w:rPr>
                <w:rFonts w:cs="Times New Roman"/>
                <w:sz w:val="20"/>
              </w:rPr>
              <w:t xml:space="preserve"> </w:t>
            </w:r>
            <w:hyperlink r:id="rId202" w:anchor="se24.1.35_11325" w:tooltip="See §35.1325 for abatement." w:history="1">
              <w:r w:rsidR="005847CA" w:rsidRPr="006F5A46">
                <w:rPr>
                  <w:rStyle w:val="Hyperlink"/>
                  <w:rFonts w:cs="Times New Roman"/>
                  <w:sz w:val="20"/>
                </w:rPr>
                <w:t>abatement</w:t>
              </w:r>
            </w:hyperlink>
            <w:r w:rsidR="005847CA" w:rsidRPr="006F5A46">
              <w:rPr>
                <w:rFonts w:cs="Times New Roman"/>
                <w:sz w:val="20"/>
              </w:rPr>
              <w:t xml:space="preserve">, </w:t>
            </w:r>
            <w:hyperlink r:id="rId203" w:anchor="se24.1.35_11330" w:tooltip="See §35.1330 for interim controls." w:history="1">
              <w:r w:rsidR="005847CA" w:rsidRPr="006F5A46">
                <w:rPr>
                  <w:rStyle w:val="Hyperlink"/>
                  <w:rFonts w:cs="Times New Roman"/>
                  <w:sz w:val="20"/>
                </w:rPr>
                <w:t>interim controls</w:t>
              </w:r>
            </w:hyperlink>
            <w:r w:rsidR="005847CA" w:rsidRPr="006F5A46">
              <w:rPr>
                <w:rFonts w:cs="Times New Roman"/>
                <w:sz w:val="20"/>
              </w:rPr>
              <w:t xml:space="preserve">, and </w:t>
            </w:r>
            <w:hyperlink r:id="rId204" w:anchor="se24.1.35_11330" w:tooltip="See §35.1330(b) for paint stabilization." w:history="1">
              <w:r w:rsidR="005847CA" w:rsidRPr="006F5A46">
                <w:rPr>
                  <w:rStyle w:val="Hyperlink"/>
                  <w:rFonts w:cs="Times New Roman"/>
                  <w:sz w:val="20"/>
                </w:rPr>
                <w:t>paint stabilization</w:t>
              </w:r>
            </w:hyperlink>
            <w:r w:rsidR="005847CA" w:rsidRPr="006F5A46">
              <w:rPr>
                <w:rFonts w:cs="Times New Roman"/>
                <w:sz w:val="20"/>
              </w:rPr>
              <w:t xml:space="preserve"> (unless the area controlled or stabilized is less than the </w:t>
            </w:r>
            <w:hyperlink r:id="rId205" w:anchor="se24.1.35_11350" w:tooltip="See §35.1350(d) for the definition of de minimis levels." w:history="1">
              <w:r w:rsidR="005847CA" w:rsidRPr="006F5A46">
                <w:rPr>
                  <w:rStyle w:val="Hyperlink"/>
                  <w:rFonts w:cs="Times New Roman"/>
                  <w:sz w:val="20"/>
                </w:rPr>
                <w:t>de minimis</w:t>
              </w:r>
            </w:hyperlink>
            <w:r w:rsidR="005847CA" w:rsidRPr="006F5A46">
              <w:rPr>
                <w:rFonts w:cs="Times New Roman"/>
                <w:sz w:val="20"/>
              </w:rPr>
              <w:t xml:space="preserve"> level). Upon completion of the work, the owner must provide a notification to the household describing the hazard reduction activities and a copy of the clearance report.</w:t>
            </w:r>
          </w:p>
        </w:tc>
      </w:tr>
      <w:tr w:rsidR="005847CA" w14:paraId="4257F59C" w14:textId="77777777" w:rsidTr="004F1682">
        <w:tc>
          <w:tcPr>
            <w:tcW w:w="0" w:type="auto"/>
            <w:vMerge/>
            <w:shd w:val="clear" w:color="auto" w:fill="FFD966" w:themeFill="accent4" w:themeFillTint="99"/>
          </w:tcPr>
          <w:p w14:paraId="1CC0F1C9" w14:textId="77777777" w:rsidR="005847CA" w:rsidRPr="0053449D" w:rsidRDefault="005847CA" w:rsidP="00C16332">
            <w:pPr>
              <w:pStyle w:val="NoSpacing"/>
            </w:pPr>
          </w:p>
        </w:tc>
        <w:tc>
          <w:tcPr>
            <w:tcW w:w="2449" w:type="dxa"/>
            <w:shd w:val="clear" w:color="auto" w:fill="FFE599" w:themeFill="accent4" w:themeFillTint="66"/>
          </w:tcPr>
          <w:p w14:paraId="310869C3" w14:textId="77777777" w:rsidR="005847CA" w:rsidRPr="006F5A46" w:rsidRDefault="005847CA" w:rsidP="00C16332">
            <w:pPr>
              <w:pStyle w:val="NoSpacing"/>
              <w:rPr>
                <w:rFonts w:cs="Times New Roman"/>
                <w:sz w:val="20"/>
              </w:rPr>
            </w:pPr>
            <w:r w:rsidRPr="006F5A46">
              <w:rPr>
                <w:sz w:val="20"/>
              </w:rPr>
              <w:t>Ongoing maintenance</w:t>
            </w:r>
          </w:p>
        </w:tc>
        <w:tc>
          <w:tcPr>
            <w:tcW w:w="11335" w:type="dxa"/>
            <w:gridSpan w:val="2"/>
            <w:shd w:val="clear" w:color="auto" w:fill="FFF2CC" w:themeFill="accent4" w:themeFillTint="33"/>
          </w:tcPr>
          <w:p w14:paraId="2ACE2B18" w14:textId="5F09620B" w:rsidR="005847CA" w:rsidRPr="006F5A46" w:rsidRDefault="005847CA" w:rsidP="00C16332">
            <w:pPr>
              <w:pStyle w:val="NoSpacing"/>
              <w:rPr>
                <w:rFonts w:cs="Times New Roman"/>
                <w:sz w:val="20"/>
              </w:rPr>
            </w:pPr>
            <w:r w:rsidRPr="006F5A46">
              <w:rPr>
                <w:rFonts w:cs="Times New Roman"/>
                <w:sz w:val="20"/>
              </w:rPr>
              <w:t xml:space="preserve">If LBP is still present, </w:t>
            </w:r>
            <w:hyperlink r:id="rId206" w:anchor="se24.1.35_11355" w:tooltip="See §35.1355 for ongoing lead-based paint maintenance and reevaluation activities." w:history="1">
              <w:r w:rsidRPr="006F5A46">
                <w:rPr>
                  <w:rStyle w:val="Hyperlink"/>
                  <w:rFonts w:cs="Times New Roman"/>
                  <w:sz w:val="20"/>
                </w:rPr>
                <w:t>ongoing maintenance</w:t>
              </w:r>
            </w:hyperlink>
            <w:r w:rsidRPr="006F5A46">
              <w:rPr>
                <w:rFonts w:cs="Times New Roman"/>
                <w:sz w:val="20"/>
              </w:rPr>
              <w:t xml:space="preserve"> includes annual visual assessment</w:t>
            </w:r>
            <w:r>
              <w:rPr>
                <w:rFonts w:cs="Times New Roman"/>
                <w:sz w:val="20"/>
              </w:rPr>
              <w:t>s</w:t>
            </w:r>
            <w:r w:rsidRPr="006F5A46">
              <w:rPr>
                <w:rFonts w:cs="Times New Roman"/>
                <w:sz w:val="20"/>
              </w:rPr>
              <w:t xml:space="preserve"> to check for failed lead hazard reduction work or deteriorated paint. Owners must again undertake lead hazard reduction, pass clearance, and provide notice to residents.</w:t>
            </w:r>
          </w:p>
        </w:tc>
      </w:tr>
      <w:tr w:rsidR="00A83084" w14:paraId="50D0E2F6" w14:textId="77777777" w:rsidTr="004F1682">
        <w:tc>
          <w:tcPr>
            <w:tcW w:w="0" w:type="auto"/>
            <w:vMerge/>
            <w:shd w:val="clear" w:color="auto" w:fill="FFD966" w:themeFill="accent4" w:themeFillTint="99"/>
          </w:tcPr>
          <w:p w14:paraId="678FD323" w14:textId="77777777" w:rsidR="00A83084" w:rsidRPr="0053449D" w:rsidRDefault="00A83084" w:rsidP="00C16332">
            <w:pPr>
              <w:pStyle w:val="NoSpacing"/>
            </w:pPr>
          </w:p>
        </w:tc>
        <w:tc>
          <w:tcPr>
            <w:tcW w:w="2449" w:type="dxa"/>
            <w:shd w:val="clear" w:color="auto" w:fill="FFE599" w:themeFill="accent4" w:themeFillTint="66"/>
          </w:tcPr>
          <w:p w14:paraId="13A3C135" w14:textId="2DD0E4AA" w:rsidR="00A83084" w:rsidRPr="006F5A46" w:rsidRDefault="00A83084" w:rsidP="00C16332">
            <w:pPr>
              <w:pStyle w:val="NoSpacing"/>
              <w:rPr>
                <w:sz w:val="20"/>
              </w:rPr>
            </w:pPr>
            <w:r>
              <w:rPr>
                <w:sz w:val="20"/>
              </w:rPr>
              <w:t>Periodic reevaluation</w:t>
            </w:r>
          </w:p>
        </w:tc>
        <w:tc>
          <w:tcPr>
            <w:tcW w:w="5667" w:type="dxa"/>
            <w:shd w:val="clear" w:color="auto" w:fill="FFF2CC" w:themeFill="accent4" w:themeFillTint="33"/>
          </w:tcPr>
          <w:p w14:paraId="7D6121EB" w14:textId="55BA5C5D" w:rsidR="00A83084" w:rsidRPr="006F5A46" w:rsidRDefault="000240E7" w:rsidP="00C16332">
            <w:pPr>
              <w:pStyle w:val="NoSpacing"/>
              <w:rPr>
                <w:rFonts w:cs="Times New Roman"/>
                <w:sz w:val="20"/>
              </w:rPr>
            </w:pPr>
            <w:r>
              <w:rPr>
                <w:rFonts w:cs="Times New Roman"/>
                <w:sz w:val="20"/>
              </w:rPr>
              <w:t>No</w:t>
            </w:r>
            <w:r w:rsidR="00173969">
              <w:rPr>
                <w:rFonts w:cs="Times New Roman"/>
                <w:sz w:val="20"/>
              </w:rPr>
              <w:t>ne</w:t>
            </w:r>
          </w:p>
        </w:tc>
        <w:tc>
          <w:tcPr>
            <w:tcW w:w="5668" w:type="dxa"/>
            <w:shd w:val="clear" w:color="auto" w:fill="FFF2CC" w:themeFill="accent4" w:themeFillTint="33"/>
          </w:tcPr>
          <w:p w14:paraId="0C37B96B" w14:textId="6D421D29" w:rsidR="00A83084" w:rsidRPr="006F5A46" w:rsidRDefault="000240E7">
            <w:pPr>
              <w:pStyle w:val="NoSpacing"/>
              <w:rPr>
                <w:rFonts w:cs="Times New Roman"/>
                <w:sz w:val="20"/>
              </w:rPr>
            </w:pPr>
            <w:r>
              <w:rPr>
                <w:rFonts w:cs="Times New Roman"/>
                <w:sz w:val="20"/>
              </w:rPr>
              <w:t xml:space="preserve">Conducted </w:t>
            </w:r>
            <w:r w:rsidR="00ED7AB2">
              <w:rPr>
                <w:rFonts w:cs="Times New Roman"/>
                <w:sz w:val="20"/>
              </w:rPr>
              <w:t xml:space="preserve">by a certified risk assessor </w:t>
            </w:r>
            <w:r>
              <w:rPr>
                <w:rFonts w:cs="Times New Roman"/>
                <w:sz w:val="20"/>
              </w:rPr>
              <w:t>with</w:t>
            </w:r>
            <w:r w:rsidR="003C7A6E">
              <w:rPr>
                <w:rFonts w:cs="Times New Roman"/>
                <w:sz w:val="20"/>
              </w:rPr>
              <w:t>in 2 years of hazard reduction.</w:t>
            </w:r>
            <w:r>
              <w:rPr>
                <w:rFonts w:cs="Times New Roman"/>
                <w:sz w:val="20"/>
              </w:rPr>
              <w:t xml:space="preserve"> </w:t>
            </w:r>
            <w:r w:rsidR="003C7A6E">
              <w:rPr>
                <w:rFonts w:cs="Times New Roman"/>
                <w:sz w:val="20"/>
              </w:rPr>
              <w:t>R</w:t>
            </w:r>
            <w:r>
              <w:rPr>
                <w:rFonts w:cs="Times New Roman"/>
                <w:sz w:val="20"/>
              </w:rPr>
              <w:t xml:space="preserve">epeated 2 years later. End after </w:t>
            </w:r>
            <w:r w:rsidR="003C7A6E">
              <w:rPr>
                <w:rFonts w:cs="Times New Roman"/>
                <w:sz w:val="20"/>
              </w:rPr>
              <w:t>2</w:t>
            </w:r>
            <w:r>
              <w:rPr>
                <w:rFonts w:cs="Times New Roman"/>
                <w:sz w:val="20"/>
              </w:rPr>
              <w:t xml:space="preserve"> consecutive </w:t>
            </w:r>
            <w:r w:rsidR="00ED7AB2">
              <w:rPr>
                <w:rFonts w:cs="Times New Roman"/>
                <w:sz w:val="20"/>
              </w:rPr>
              <w:t>reviews</w:t>
            </w:r>
            <w:r>
              <w:rPr>
                <w:rFonts w:cs="Times New Roman"/>
                <w:sz w:val="20"/>
              </w:rPr>
              <w:t xml:space="preserve"> withou</w:t>
            </w:r>
            <w:r w:rsidR="003C7A6E">
              <w:rPr>
                <w:rFonts w:cs="Times New Roman"/>
                <w:sz w:val="20"/>
              </w:rPr>
              <w:t>t finding LBP hazards or failed hazard reduction</w:t>
            </w:r>
            <w:r w:rsidR="00ED7AB2">
              <w:rPr>
                <w:rFonts w:cs="Times New Roman"/>
                <w:sz w:val="20"/>
              </w:rPr>
              <w:t xml:space="preserve"> work.</w:t>
            </w:r>
          </w:p>
        </w:tc>
      </w:tr>
      <w:tr w:rsidR="005847CA" w14:paraId="50E10EA8" w14:textId="77777777" w:rsidTr="004F1682">
        <w:tc>
          <w:tcPr>
            <w:tcW w:w="0" w:type="auto"/>
            <w:vMerge/>
            <w:shd w:val="clear" w:color="auto" w:fill="FFD966" w:themeFill="accent4" w:themeFillTint="99"/>
          </w:tcPr>
          <w:p w14:paraId="36FBBE4A" w14:textId="77777777" w:rsidR="005847CA" w:rsidRPr="00714248" w:rsidRDefault="005847CA" w:rsidP="00C16332">
            <w:pPr>
              <w:pStyle w:val="NoSpacing"/>
              <w:rPr>
                <w:rFonts w:cs="Times New Roman"/>
              </w:rPr>
            </w:pPr>
          </w:p>
        </w:tc>
        <w:tc>
          <w:tcPr>
            <w:tcW w:w="2449" w:type="dxa"/>
            <w:shd w:val="clear" w:color="auto" w:fill="FFE599" w:themeFill="accent4" w:themeFillTint="66"/>
          </w:tcPr>
          <w:p w14:paraId="72BFF5AC" w14:textId="77777777" w:rsidR="005847CA" w:rsidRPr="006F5A46" w:rsidRDefault="005847CA" w:rsidP="00C16332">
            <w:pPr>
              <w:pStyle w:val="NoSpacing"/>
              <w:rPr>
                <w:rFonts w:cs="Times New Roman"/>
                <w:sz w:val="20"/>
              </w:rPr>
            </w:pPr>
            <w:r w:rsidRPr="006F5A46">
              <w:rPr>
                <w:rFonts w:cs="Times New Roman"/>
                <w:sz w:val="20"/>
              </w:rPr>
              <w:t>Options</w:t>
            </w:r>
          </w:p>
        </w:tc>
        <w:tc>
          <w:tcPr>
            <w:tcW w:w="5667" w:type="dxa"/>
            <w:shd w:val="clear" w:color="auto" w:fill="FFF2CC" w:themeFill="accent4" w:themeFillTint="33"/>
          </w:tcPr>
          <w:p w14:paraId="1F786383" w14:textId="77777777" w:rsidR="005847CA" w:rsidRPr="006F5A46" w:rsidRDefault="00A66919" w:rsidP="00C16332">
            <w:pPr>
              <w:pStyle w:val="NoSpacing"/>
              <w:rPr>
                <w:rFonts w:cs="Times New Roman"/>
                <w:sz w:val="20"/>
              </w:rPr>
            </w:pPr>
            <w:hyperlink r:id="rId207" w:anchor="se24.1.35_1120" w:tooltip="See §35.120(d) for the option to conduct paint testing." w:history="1">
              <w:r w:rsidR="005847CA" w:rsidRPr="006F5A46">
                <w:rPr>
                  <w:rStyle w:val="Hyperlink"/>
                  <w:rFonts w:cs="Times New Roman"/>
                  <w:sz w:val="20"/>
                </w:rPr>
                <w:t>Paint testing</w:t>
              </w:r>
            </w:hyperlink>
            <w:r w:rsidR="005847CA" w:rsidRPr="006F5A46">
              <w:rPr>
                <w:rFonts w:cs="Times New Roman"/>
                <w:sz w:val="20"/>
              </w:rPr>
              <w:t>. Use safe work practices only on LBP surfaces.</w:t>
            </w:r>
          </w:p>
        </w:tc>
        <w:tc>
          <w:tcPr>
            <w:tcW w:w="5668" w:type="dxa"/>
            <w:shd w:val="clear" w:color="auto" w:fill="FFF2CC" w:themeFill="accent4" w:themeFillTint="33"/>
          </w:tcPr>
          <w:p w14:paraId="4940AAB0" w14:textId="41B031EF" w:rsidR="005847CA" w:rsidRPr="006F5A46" w:rsidRDefault="005847CA" w:rsidP="00C16332">
            <w:pPr>
              <w:pStyle w:val="NoSpacing"/>
              <w:rPr>
                <w:rFonts w:cs="Times New Roman"/>
                <w:sz w:val="20"/>
              </w:rPr>
            </w:pPr>
          </w:p>
        </w:tc>
      </w:tr>
    </w:tbl>
    <w:p w14:paraId="77D56F30" w14:textId="01FD4BF0" w:rsidR="00AB7F96" w:rsidRPr="00DA098E" w:rsidRDefault="00AB7F96">
      <w:pPr>
        <w:pStyle w:val="NoSpacing"/>
        <w:rPr>
          <w:rFonts w:cs="Times New Roman"/>
          <w:sz w:val="16"/>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98"/>
        <w:gridCol w:w="5692"/>
        <w:gridCol w:w="6364"/>
        <w:gridCol w:w="877"/>
        <w:gridCol w:w="959"/>
      </w:tblGrid>
      <w:tr w:rsidR="00D75D0E" w14:paraId="37700D08" w14:textId="77777777" w:rsidTr="000E6CD2">
        <w:tc>
          <w:tcPr>
            <w:tcW w:w="0" w:type="auto"/>
            <w:vMerge w:val="restart"/>
            <w:shd w:val="clear" w:color="auto" w:fill="FFD966" w:themeFill="accent4" w:themeFillTint="99"/>
            <w:textDirection w:val="btLr"/>
          </w:tcPr>
          <w:p w14:paraId="0CF68C1E" w14:textId="68FF32A3" w:rsidR="00D75D0E" w:rsidRDefault="00D75D0E" w:rsidP="00C16332">
            <w:pPr>
              <w:pStyle w:val="NoSpacing"/>
              <w:ind w:left="113" w:right="113"/>
              <w:jc w:val="center"/>
              <w:rPr>
                <w:rFonts w:cs="Times New Roman"/>
                <w:b/>
              </w:rPr>
            </w:pPr>
            <w:proofErr w:type="spellStart"/>
            <w:r>
              <w:rPr>
                <w:rFonts w:cs="Times New Roman"/>
                <w:b/>
              </w:rPr>
              <w:t>PBRA</w:t>
            </w:r>
            <w:proofErr w:type="spellEnd"/>
            <w:r w:rsidRPr="00DA4FD4">
              <w:rPr>
                <w:rFonts w:cs="Times New Roman"/>
                <w:b/>
              </w:rPr>
              <w:t xml:space="preserve"> Protocols for Children with an </w:t>
            </w:r>
            <w:proofErr w:type="spellStart"/>
            <w:r>
              <w:rPr>
                <w:rFonts w:cs="Times New Roman"/>
                <w:b/>
              </w:rPr>
              <w:t>EBLL</w:t>
            </w:r>
            <w:proofErr w:type="spellEnd"/>
          </w:p>
        </w:tc>
        <w:tc>
          <w:tcPr>
            <w:tcW w:w="5695" w:type="dxa"/>
            <w:shd w:val="clear" w:color="auto" w:fill="FFE599" w:themeFill="accent4" w:themeFillTint="66"/>
          </w:tcPr>
          <w:p w14:paraId="696A16B0" w14:textId="77777777" w:rsidR="00D75D0E" w:rsidRPr="006F5A46" w:rsidRDefault="00D75D0E" w:rsidP="00C16332">
            <w:pPr>
              <w:pStyle w:val="NoSpacing"/>
              <w:rPr>
                <w:rFonts w:cs="Times New Roman"/>
                <w:sz w:val="20"/>
                <w:szCs w:val="20"/>
              </w:rPr>
            </w:pPr>
            <w:proofErr w:type="spellStart"/>
            <w:r w:rsidRPr="006F5A46">
              <w:rPr>
                <w:rFonts w:cs="Times New Roman"/>
                <w:sz w:val="20"/>
                <w:szCs w:val="20"/>
              </w:rPr>
              <w:t>EBLL</w:t>
            </w:r>
            <w:proofErr w:type="spellEnd"/>
            <w:r w:rsidRPr="006F5A46">
              <w:rPr>
                <w:rFonts w:cs="Times New Roman"/>
                <w:sz w:val="20"/>
                <w:szCs w:val="20"/>
              </w:rPr>
              <w:t xml:space="preserve"> Response Activity</w:t>
            </w:r>
          </w:p>
        </w:tc>
        <w:tc>
          <w:tcPr>
            <w:tcW w:w="6368" w:type="dxa"/>
            <w:shd w:val="clear" w:color="auto" w:fill="FFE599" w:themeFill="accent4" w:themeFillTint="66"/>
          </w:tcPr>
          <w:p w14:paraId="25F55C32" w14:textId="77777777" w:rsidR="00D75D0E" w:rsidRPr="006F5A46" w:rsidRDefault="00D75D0E" w:rsidP="00C16332">
            <w:pPr>
              <w:pStyle w:val="NoSpacing"/>
              <w:rPr>
                <w:rFonts w:cs="Times New Roman"/>
                <w:sz w:val="20"/>
                <w:szCs w:val="20"/>
              </w:rPr>
            </w:pPr>
            <w:r w:rsidRPr="006F5A46">
              <w:rPr>
                <w:rFonts w:cs="Times New Roman"/>
                <w:sz w:val="20"/>
                <w:szCs w:val="20"/>
              </w:rPr>
              <w:t>Timeframe</w:t>
            </w:r>
          </w:p>
        </w:tc>
        <w:tc>
          <w:tcPr>
            <w:tcW w:w="877" w:type="dxa"/>
            <w:shd w:val="clear" w:color="auto" w:fill="FFE599" w:themeFill="accent4" w:themeFillTint="66"/>
          </w:tcPr>
          <w:p w14:paraId="50DEA01D" w14:textId="5A7974FC" w:rsidR="00D75D0E" w:rsidRPr="006F5A46" w:rsidRDefault="00CB5BB3" w:rsidP="00C16332">
            <w:pPr>
              <w:pStyle w:val="NoSpacing"/>
              <w:jc w:val="right"/>
              <w:rPr>
                <w:rFonts w:cs="Times New Roman"/>
                <w:sz w:val="20"/>
                <w:szCs w:val="20"/>
              </w:rPr>
            </w:pPr>
            <w:r>
              <w:rPr>
                <w:rFonts w:cs="Times New Roman"/>
                <w:sz w:val="20"/>
                <w:szCs w:val="20"/>
              </w:rPr>
              <w:t>Owner</w:t>
            </w:r>
          </w:p>
        </w:tc>
        <w:tc>
          <w:tcPr>
            <w:tcW w:w="959" w:type="dxa"/>
            <w:shd w:val="clear" w:color="auto" w:fill="FFE599" w:themeFill="accent4" w:themeFillTint="66"/>
          </w:tcPr>
          <w:p w14:paraId="07B149FC" w14:textId="2043847E" w:rsidR="00D75D0E" w:rsidRPr="006F5A46" w:rsidRDefault="000E6CD2" w:rsidP="00C16332">
            <w:pPr>
              <w:pStyle w:val="NoSpacing"/>
              <w:jc w:val="right"/>
              <w:rPr>
                <w:rFonts w:cs="Times New Roman"/>
                <w:sz w:val="20"/>
                <w:szCs w:val="20"/>
              </w:rPr>
            </w:pPr>
            <w:r>
              <w:rPr>
                <w:rFonts w:cs="Times New Roman"/>
                <w:sz w:val="20"/>
                <w:szCs w:val="20"/>
              </w:rPr>
              <w:t>Grantee</w:t>
            </w:r>
          </w:p>
        </w:tc>
      </w:tr>
      <w:tr w:rsidR="00D75D0E" w14:paraId="5B5251C8" w14:textId="77777777" w:rsidTr="000E6CD2">
        <w:tc>
          <w:tcPr>
            <w:tcW w:w="0" w:type="auto"/>
            <w:vMerge/>
            <w:shd w:val="clear" w:color="auto" w:fill="FFD966" w:themeFill="accent4" w:themeFillTint="99"/>
          </w:tcPr>
          <w:p w14:paraId="60B0C67E" w14:textId="77777777" w:rsidR="00D75D0E" w:rsidRDefault="00D75D0E" w:rsidP="00C16332">
            <w:pPr>
              <w:pStyle w:val="NoSpacing"/>
              <w:rPr>
                <w:rFonts w:cs="Times New Roman"/>
              </w:rPr>
            </w:pPr>
          </w:p>
        </w:tc>
        <w:tc>
          <w:tcPr>
            <w:tcW w:w="5695" w:type="dxa"/>
            <w:shd w:val="clear" w:color="auto" w:fill="FFF2CC" w:themeFill="accent4" w:themeFillTint="33"/>
          </w:tcPr>
          <w:p w14:paraId="78BBC0C3" w14:textId="613B1C5F" w:rsidR="00D75D0E" w:rsidRPr="006F5A46" w:rsidRDefault="00D75D0E">
            <w:pPr>
              <w:pStyle w:val="NoSpacing"/>
              <w:rPr>
                <w:rFonts w:cs="Times New Roman"/>
                <w:sz w:val="20"/>
                <w:szCs w:val="20"/>
              </w:rPr>
            </w:pPr>
            <w:r w:rsidRPr="006F5A46">
              <w:rPr>
                <w:rFonts w:cs="Times New Roman"/>
                <w:sz w:val="20"/>
                <w:szCs w:val="20"/>
              </w:rPr>
              <w:t xml:space="preserve">If a child has an </w:t>
            </w:r>
            <w:hyperlink r:id="rId208" w:anchor="se24.1.35_11225" w:tooltip="See §35.1225 for TBRA EBLL requirements." w:history="1">
              <w:r w:rsidR="000240E7" w:rsidRPr="006F5A46">
                <w:rPr>
                  <w:rStyle w:val="Hyperlink"/>
                  <w:rFonts w:cs="Times New Roman"/>
                  <w:sz w:val="20"/>
                </w:rPr>
                <w:t>Elevated Blood Lead Level</w:t>
              </w:r>
            </w:hyperlink>
            <w:r w:rsidR="000240E7" w:rsidRPr="006F5A46">
              <w:rPr>
                <w:rFonts w:cs="Times New Roman"/>
                <w:sz w:val="20"/>
              </w:rPr>
              <w:t xml:space="preserve"> </w:t>
            </w:r>
            <w:r w:rsidR="000240E7">
              <w:rPr>
                <w:rFonts w:cs="Times New Roman"/>
                <w:sz w:val="20"/>
              </w:rPr>
              <w:t>(</w:t>
            </w:r>
            <w:proofErr w:type="spellStart"/>
            <w:r w:rsidRPr="006F5A46">
              <w:rPr>
                <w:rFonts w:cs="Times New Roman"/>
                <w:sz w:val="20"/>
                <w:szCs w:val="20"/>
              </w:rPr>
              <w:t>EBLL</w:t>
            </w:r>
            <w:proofErr w:type="spellEnd"/>
            <w:r w:rsidR="000240E7">
              <w:rPr>
                <w:rFonts w:cs="Times New Roman"/>
                <w:sz w:val="20"/>
                <w:szCs w:val="20"/>
              </w:rPr>
              <w:t>)</w:t>
            </w:r>
            <w:r w:rsidRPr="006F5A46">
              <w:rPr>
                <w:rFonts w:cs="Times New Roman"/>
                <w:sz w:val="20"/>
                <w:szCs w:val="20"/>
              </w:rPr>
              <w:t xml:space="preserve">, notify the </w:t>
            </w:r>
            <w:hyperlink r:id="rId209" w:anchor="fortworth" w:history="1">
              <w:r w:rsidRPr="006F5A46">
                <w:rPr>
                  <w:rStyle w:val="Hyperlink"/>
                  <w:sz w:val="20"/>
                  <w:szCs w:val="20"/>
                </w:rPr>
                <w:t>local HUD field office</w:t>
              </w:r>
            </w:hyperlink>
            <w:r>
              <w:rPr>
                <w:rFonts w:cs="Times New Roman"/>
                <w:sz w:val="20"/>
                <w:szCs w:val="20"/>
              </w:rPr>
              <w:t xml:space="preserve">, </w:t>
            </w:r>
            <w:hyperlink r:id="rId210" w:history="1">
              <w:r w:rsidRPr="002A57C8">
                <w:rPr>
                  <w:rStyle w:val="Hyperlink"/>
                  <w:rFonts w:cs="Times New Roman"/>
                  <w:sz w:val="20"/>
                  <w:szCs w:val="20"/>
                </w:rPr>
                <w:t>HUD’s Office of Lead Hazard Control and Healthy Homes (</w:t>
              </w:r>
              <w:proofErr w:type="spellStart"/>
              <w:r w:rsidRPr="002A57C8">
                <w:rPr>
                  <w:rStyle w:val="Hyperlink"/>
                  <w:rFonts w:cs="Times New Roman"/>
                  <w:sz w:val="20"/>
                  <w:szCs w:val="20"/>
                </w:rPr>
                <w:t>OLHCHH</w:t>
              </w:r>
              <w:proofErr w:type="spellEnd"/>
              <w:r w:rsidRPr="002A57C8">
                <w:rPr>
                  <w:rStyle w:val="Hyperlink"/>
                  <w:rFonts w:cs="Times New Roman"/>
                  <w:sz w:val="20"/>
                  <w:szCs w:val="20"/>
                </w:rPr>
                <w:t>)</w:t>
              </w:r>
            </w:hyperlink>
            <w:r>
              <w:rPr>
                <w:rFonts w:cs="Times New Roman"/>
                <w:sz w:val="20"/>
                <w:szCs w:val="20"/>
              </w:rPr>
              <w:t>,</w:t>
            </w:r>
            <w:r w:rsidRPr="006F5A46">
              <w:rPr>
                <w:rFonts w:cs="Times New Roman"/>
                <w:sz w:val="20"/>
                <w:szCs w:val="20"/>
              </w:rPr>
              <w:t xml:space="preserve"> and </w:t>
            </w:r>
            <w:hyperlink r:id="rId211" w:history="1">
              <w:r w:rsidRPr="006F5A46">
                <w:rPr>
                  <w:rStyle w:val="Hyperlink"/>
                  <w:sz w:val="20"/>
                  <w:szCs w:val="20"/>
                </w:rPr>
                <w:t>public health department</w:t>
              </w:r>
            </w:hyperlink>
            <w:r w:rsidRPr="006F5A46">
              <w:rPr>
                <w:rFonts w:cs="Times New Roman"/>
                <w:sz w:val="20"/>
                <w:szCs w:val="20"/>
              </w:rPr>
              <w:t xml:space="preserve"> of the </w:t>
            </w:r>
            <w:proofErr w:type="spellStart"/>
            <w:r w:rsidRPr="006F5A46">
              <w:rPr>
                <w:rFonts w:cs="Times New Roman"/>
                <w:sz w:val="20"/>
                <w:szCs w:val="20"/>
              </w:rPr>
              <w:t>EBLL</w:t>
            </w:r>
            <w:proofErr w:type="spellEnd"/>
            <w:r w:rsidRPr="006F5A46">
              <w:rPr>
                <w:rFonts w:cs="Times New Roman"/>
                <w:sz w:val="20"/>
                <w:szCs w:val="20"/>
              </w:rPr>
              <w:t xml:space="preserve"> case</w:t>
            </w:r>
          </w:p>
        </w:tc>
        <w:tc>
          <w:tcPr>
            <w:tcW w:w="6368" w:type="dxa"/>
            <w:shd w:val="clear" w:color="auto" w:fill="FFF2CC" w:themeFill="accent4" w:themeFillTint="33"/>
          </w:tcPr>
          <w:p w14:paraId="55DEF5BF" w14:textId="77777777" w:rsidR="00D75D0E" w:rsidRPr="006F5A46" w:rsidRDefault="00D75D0E" w:rsidP="00C16332">
            <w:pPr>
              <w:pStyle w:val="NoSpacing"/>
              <w:rPr>
                <w:rFonts w:cs="Times New Roman"/>
                <w:sz w:val="20"/>
                <w:szCs w:val="20"/>
              </w:rPr>
            </w:pPr>
            <w:r w:rsidRPr="006F5A46">
              <w:rPr>
                <w:rFonts w:cs="Times New Roman"/>
                <w:sz w:val="20"/>
                <w:szCs w:val="20"/>
              </w:rPr>
              <w:t xml:space="preserve">Within 5 business days of verifying the </w:t>
            </w:r>
            <w:proofErr w:type="spellStart"/>
            <w:r w:rsidRPr="006F5A46">
              <w:rPr>
                <w:rFonts w:cs="Times New Roman"/>
                <w:sz w:val="20"/>
                <w:szCs w:val="20"/>
              </w:rPr>
              <w:t>EBLL</w:t>
            </w:r>
            <w:proofErr w:type="spellEnd"/>
          </w:p>
        </w:tc>
        <w:tc>
          <w:tcPr>
            <w:tcW w:w="877" w:type="dxa"/>
            <w:shd w:val="clear" w:color="auto" w:fill="FFF2CC" w:themeFill="accent4" w:themeFillTint="33"/>
          </w:tcPr>
          <w:p w14:paraId="6586726E" w14:textId="77777777" w:rsidR="00D75D0E" w:rsidRPr="006F5A46" w:rsidRDefault="00D75D0E" w:rsidP="00C16332">
            <w:pPr>
              <w:pStyle w:val="NoSpacing"/>
              <w:jc w:val="right"/>
              <w:rPr>
                <w:rFonts w:cs="Times New Roman"/>
                <w:sz w:val="20"/>
                <w:szCs w:val="20"/>
              </w:rPr>
            </w:pPr>
            <w:r w:rsidRPr="006F5A46">
              <w:rPr>
                <w:rFonts w:cs="Times New Roman"/>
                <w:sz w:val="20"/>
                <w:szCs w:val="20"/>
              </w:rPr>
              <w:sym w:font="Wingdings" w:char="F0FC"/>
            </w:r>
          </w:p>
        </w:tc>
        <w:tc>
          <w:tcPr>
            <w:tcW w:w="959" w:type="dxa"/>
            <w:shd w:val="clear" w:color="auto" w:fill="FFF2CC" w:themeFill="accent4" w:themeFillTint="33"/>
          </w:tcPr>
          <w:p w14:paraId="71E0E230" w14:textId="77777777" w:rsidR="00D75D0E" w:rsidRPr="006F5A46" w:rsidRDefault="00D75D0E" w:rsidP="00C16332">
            <w:pPr>
              <w:pStyle w:val="NoSpacing"/>
              <w:jc w:val="right"/>
              <w:rPr>
                <w:rFonts w:cs="Times New Roman"/>
                <w:sz w:val="20"/>
                <w:szCs w:val="20"/>
              </w:rPr>
            </w:pPr>
          </w:p>
        </w:tc>
      </w:tr>
      <w:tr w:rsidR="000E6CD2" w14:paraId="0BA0C2F0" w14:textId="77777777" w:rsidTr="000E6CD2">
        <w:tc>
          <w:tcPr>
            <w:tcW w:w="0" w:type="auto"/>
            <w:vMerge/>
            <w:shd w:val="clear" w:color="auto" w:fill="FFD966" w:themeFill="accent4" w:themeFillTint="99"/>
          </w:tcPr>
          <w:p w14:paraId="001859B9" w14:textId="77777777" w:rsidR="000E6CD2" w:rsidRDefault="000E6CD2" w:rsidP="000E6CD2">
            <w:pPr>
              <w:pStyle w:val="NoSpacing"/>
              <w:rPr>
                <w:rFonts w:cs="Times New Roman"/>
              </w:rPr>
            </w:pPr>
          </w:p>
        </w:tc>
        <w:tc>
          <w:tcPr>
            <w:tcW w:w="5695" w:type="dxa"/>
            <w:shd w:val="clear" w:color="auto" w:fill="FFF2CC" w:themeFill="accent4" w:themeFillTint="33"/>
          </w:tcPr>
          <w:p w14:paraId="4136CF8B" w14:textId="77777777" w:rsidR="000E6CD2" w:rsidRPr="006F5A46" w:rsidRDefault="000E6CD2" w:rsidP="000E6CD2">
            <w:pPr>
              <w:pStyle w:val="NoSpacing"/>
              <w:rPr>
                <w:rFonts w:cs="Times New Roman"/>
                <w:sz w:val="20"/>
                <w:szCs w:val="20"/>
              </w:rPr>
            </w:pPr>
            <w:r w:rsidRPr="006F5A46">
              <w:rPr>
                <w:rFonts w:cs="Times New Roman"/>
                <w:sz w:val="20"/>
                <w:szCs w:val="20"/>
              </w:rPr>
              <w:t xml:space="preserve">If necessary, verify the </w:t>
            </w:r>
            <w:proofErr w:type="spellStart"/>
            <w:r w:rsidRPr="006F5A46">
              <w:rPr>
                <w:rFonts w:cs="Times New Roman"/>
                <w:sz w:val="20"/>
                <w:szCs w:val="20"/>
              </w:rPr>
              <w:t>EBLL</w:t>
            </w:r>
            <w:proofErr w:type="spellEnd"/>
            <w:r w:rsidRPr="006F5A46">
              <w:rPr>
                <w:rFonts w:cs="Times New Roman"/>
                <w:sz w:val="20"/>
                <w:szCs w:val="20"/>
              </w:rPr>
              <w:t xml:space="preserve"> case with the medical provider</w:t>
            </w:r>
          </w:p>
        </w:tc>
        <w:tc>
          <w:tcPr>
            <w:tcW w:w="6368" w:type="dxa"/>
            <w:shd w:val="clear" w:color="auto" w:fill="FFF2CC" w:themeFill="accent4" w:themeFillTint="33"/>
          </w:tcPr>
          <w:p w14:paraId="6EC4F052" w14:textId="77777777" w:rsidR="000E6CD2" w:rsidRPr="006F5A46" w:rsidRDefault="000E6CD2" w:rsidP="000E6CD2">
            <w:pPr>
              <w:pStyle w:val="NoSpacing"/>
              <w:rPr>
                <w:rFonts w:cs="Times New Roman"/>
                <w:sz w:val="20"/>
                <w:szCs w:val="20"/>
              </w:rPr>
            </w:pPr>
            <w:r w:rsidRPr="006F5A46">
              <w:rPr>
                <w:rFonts w:cs="Times New Roman"/>
                <w:sz w:val="20"/>
                <w:szCs w:val="20"/>
              </w:rPr>
              <w:t>-</w:t>
            </w:r>
          </w:p>
        </w:tc>
        <w:tc>
          <w:tcPr>
            <w:tcW w:w="877" w:type="dxa"/>
            <w:shd w:val="clear" w:color="auto" w:fill="FFF2CC" w:themeFill="accent4" w:themeFillTint="33"/>
          </w:tcPr>
          <w:p w14:paraId="144465B0" w14:textId="29A66D05" w:rsidR="000E6CD2" w:rsidRPr="006F5A46" w:rsidRDefault="000E6CD2" w:rsidP="000E6CD2">
            <w:pPr>
              <w:pStyle w:val="NoSpacing"/>
              <w:jc w:val="right"/>
              <w:rPr>
                <w:rFonts w:cs="Times New Roman"/>
                <w:sz w:val="20"/>
                <w:szCs w:val="20"/>
              </w:rPr>
            </w:pPr>
            <w:r w:rsidRPr="006F5A46">
              <w:rPr>
                <w:rFonts w:cs="Times New Roman"/>
                <w:sz w:val="20"/>
                <w:szCs w:val="20"/>
              </w:rPr>
              <w:sym w:font="Wingdings" w:char="F0FC"/>
            </w:r>
          </w:p>
        </w:tc>
        <w:tc>
          <w:tcPr>
            <w:tcW w:w="959" w:type="dxa"/>
            <w:shd w:val="clear" w:color="auto" w:fill="FFF2CC" w:themeFill="accent4" w:themeFillTint="33"/>
          </w:tcPr>
          <w:p w14:paraId="1EFDD9FF" w14:textId="33D5320B" w:rsidR="000E6CD2" w:rsidRPr="006F5A46" w:rsidRDefault="000E6CD2" w:rsidP="000E6CD2">
            <w:pPr>
              <w:pStyle w:val="NoSpacing"/>
              <w:jc w:val="right"/>
              <w:rPr>
                <w:rFonts w:cs="Times New Roman"/>
                <w:sz w:val="20"/>
                <w:szCs w:val="20"/>
              </w:rPr>
            </w:pPr>
          </w:p>
        </w:tc>
      </w:tr>
      <w:tr w:rsidR="000E6CD2" w14:paraId="550089F4" w14:textId="77777777" w:rsidTr="000E6CD2">
        <w:tc>
          <w:tcPr>
            <w:tcW w:w="0" w:type="auto"/>
            <w:vMerge/>
            <w:shd w:val="clear" w:color="auto" w:fill="FFD966" w:themeFill="accent4" w:themeFillTint="99"/>
          </w:tcPr>
          <w:p w14:paraId="3163269D" w14:textId="77777777" w:rsidR="000E6CD2" w:rsidRDefault="000E6CD2" w:rsidP="000E6CD2">
            <w:pPr>
              <w:pStyle w:val="NoSpacing"/>
              <w:rPr>
                <w:rFonts w:cs="Times New Roman"/>
              </w:rPr>
            </w:pPr>
          </w:p>
        </w:tc>
        <w:tc>
          <w:tcPr>
            <w:tcW w:w="5695" w:type="dxa"/>
            <w:shd w:val="clear" w:color="auto" w:fill="FFF2CC" w:themeFill="accent4" w:themeFillTint="33"/>
          </w:tcPr>
          <w:p w14:paraId="43CD1C11" w14:textId="77777777" w:rsidR="000E6CD2" w:rsidRPr="006F5A46" w:rsidRDefault="000E6CD2" w:rsidP="000E6CD2">
            <w:pPr>
              <w:pStyle w:val="NoSpacing"/>
              <w:rPr>
                <w:rFonts w:cs="Times New Roman"/>
                <w:sz w:val="20"/>
                <w:szCs w:val="20"/>
              </w:rPr>
            </w:pPr>
            <w:r w:rsidRPr="006F5A46">
              <w:rPr>
                <w:rFonts w:cs="Times New Roman"/>
                <w:sz w:val="20"/>
                <w:szCs w:val="20"/>
              </w:rPr>
              <w:t xml:space="preserve">Conduct an </w:t>
            </w:r>
            <w:hyperlink r:id="rId212" w:anchor="se24.1.35_1110" w:tooltip="See 24 CFR §35.110 for the definition of environmental investigation." w:history="1">
              <w:r w:rsidRPr="006F5A46">
                <w:rPr>
                  <w:rStyle w:val="Hyperlink"/>
                  <w:rFonts w:cs="Times New Roman"/>
                  <w:sz w:val="20"/>
                  <w:szCs w:val="20"/>
                </w:rPr>
                <w:t>environmental investigation</w:t>
              </w:r>
            </w:hyperlink>
            <w:r w:rsidRPr="006F5A46">
              <w:rPr>
                <w:rFonts w:cs="Times New Roman"/>
                <w:sz w:val="20"/>
                <w:szCs w:val="20"/>
              </w:rPr>
              <w:t xml:space="preserve"> (EI) of the index unit</w:t>
            </w:r>
          </w:p>
        </w:tc>
        <w:tc>
          <w:tcPr>
            <w:tcW w:w="6368" w:type="dxa"/>
            <w:shd w:val="clear" w:color="auto" w:fill="FFF2CC" w:themeFill="accent4" w:themeFillTint="33"/>
          </w:tcPr>
          <w:p w14:paraId="2EBA9982" w14:textId="77777777" w:rsidR="000E6CD2" w:rsidRPr="006F5A46" w:rsidRDefault="000E6CD2" w:rsidP="000E6CD2">
            <w:pPr>
              <w:pStyle w:val="NoSpacing"/>
              <w:rPr>
                <w:rFonts w:cs="Times New Roman"/>
                <w:sz w:val="20"/>
                <w:szCs w:val="20"/>
              </w:rPr>
            </w:pPr>
            <w:r w:rsidRPr="006F5A46">
              <w:rPr>
                <w:rFonts w:cs="Times New Roman"/>
                <w:sz w:val="20"/>
                <w:szCs w:val="20"/>
              </w:rPr>
              <w:t xml:space="preserve">Within 15 calendar days of verifying the </w:t>
            </w:r>
            <w:proofErr w:type="spellStart"/>
            <w:r w:rsidRPr="006F5A46">
              <w:rPr>
                <w:rFonts w:cs="Times New Roman"/>
                <w:sz w:val="20"/>
                <w:szCs w:val="20"/>
              </w:rPr>
              <w:t>EBLL</w:t>
            </w:r>
            <w:proofErr w:type="spellEnd"/>
          </w:p>
        </w:tc>
        <w:tc>
          <w:tcPr>
            <w:tcW w:w="877" w:type="dxa"/>
            <w:shd w:val="clear" w:color="auto" w:fill="FFF2CC" w:themeFill="accent4" w:themeFillTint="33"/>
          </w:tcPr>
          <w:p w14:paraId="479FE831" w14:textId="70B1150E" w:rsidR="000E6CD2" w:rsidRPr="006F5A46" w:rsidRDefault="000E6CD2" w:rsidP="000E6CD2">
            <w:pPr>
              <w:pStyle w:val="NoSpacing"/>
              <w:jc w:val="right"/>
              <w:rPr>
                <w:rFonts w:cs="Times New Roman"/>
                <w:sz w:val="20"/>
                <w:szCs w:val="20"/>
              </w:rPr>
            </w:pPr>
            <w:r w:rsidRPr="006F5A46">
              <w:rPr>
                <w:rFonts w:cs="Times New Roman"/>
                <w:sz w:val="20"/>
                <w:szCs w:val="20"/>
              </w:rPr>
              <w:sym w:font="Wingdings" w:char="F0FC"/>
            </w:r>
          </w:p>
        </w:tc>
        <w:tc>
          <w:tcPr>
            <w:tcW w:w="959" w:type="dxa"/>
            <w:shd w:val="clear" w:color="auto" w:fill="FFF2CC" w:themeFill="accent4" w:themeFillTint="33"/>
          </w:tcPr>
          <w:p w14:paraId="5C9B8314" w14:textId="14EDA9B0" w:rsidR="000E6CD2" w:rsidRPr="006F5A46" w:rsidRDefault="000E6CD2" w:rsidP="000E6CD2">
            <w:pPr>
              <w:pStyle w:val="NoSpacing"/>
              <w:jc w:val="right"/>
              <w:rPr>
                <w:rFonts w:cs="Times New Roman"/>
                <w:sz w:val="20"/>
                <w:szCs w:val="20"/>
              </w:rPr>
            </w:pPr>
          </w:p>
        </w:tc>
      </w:tr>
      <w:tr w:rsidR="000E6CD2" w14:paraId="74F1E02B" w14:textId="77777777" w:rsidTr="000E6CD2">
        <w:tc>
          <w:tcPr>
            <w:tcW w:w="0" w:type="auto"/>
            <w:vMerge/>
            <w:shd w:val="clear" w:color="auto" w:fill="FFD966" w:themeFill="accent4" w:themeFillTint="99"/>
          </w:tcPr>
          <w:p w14:paraId="10B940DE" w14:textId="77777777" w:rsidR="000E6CD2" w:rsidRDefault="000E6CD2" w:rsidP="000E6CD2">
            <w:pPr>
              <w:pStyle w:val="NoSpacing"/>
              <w:rPr>
                <w:rFonts w:cs="Times New Roman"/>
              </w:rPr>
            </w:pPr>
          </w:p>
        </w:tc>
        <w:tc>
          <w:tcPr>
            <w:tcW w:w="5695" w:type="dxa"/>
            <w:shd w:val="clear" w:color="auto" w:fill="FFF2CC" w:themeFill="accent4" w:themeFillTint="33"/>
          </w:tcPr>
          <w:p w14:paraId="2DFA355A" w14:textId="77777777" w:rsidR="000E6CD2" w:rsidRPr="006F5A46" w:rsidRDefault="000E6CD2" w:rsidP="000E6CD2">
            <w:pPr>
              <w:pStyle w:val="NoSpacing"/>
              <w:rPr>
                <w:rFonts w:cs="Times New Roman"/>
                <w:sz w:val="20"/>
                <w:szCs w:val="20"/>
              </w:rPr>
            </w:pPr>
            <w:r w:rsidRPr="006F5A46">
              <w:rPr>
                <w:rFonts w:cs="Times New Roman"/>
                <w:sz w:val="20"/>
                <w:szCs w:val="20"/>
              </w:rPr>
              <w:t>Notify the local HUD field office</w:t>
            </w:r>
            <w:r>
              <w:rPr>
                <w:rFonts w:cs="Times New Roman"/>
                <w:sz w:val="20"/>
                <w:szCs w:val="20"/>
              </w:rPr>
              <w:t xml:space="preserve"> and </w:t>
            </w:r>
            <w:proofErr w:type="spellStart"/>
            <w:r>
              <w:rPr>
                <w:rFonts w:cs="Times New Roman"/>
                <w:sz w:val="20"/>
                <w:szCs w:val="20"/>
              </w:rPr>
              <w:t>OLHCHH</w:t>
            </w:r>
            <w:proofErr w:type="spellEnd"/>
            <w:r w:rsidRPr="006F5A46">
              <w:rPr>
                <w:rFonts w:cs="Times New Roman"/>
                <w:sz w:val="20"/>
                <w:szCs w:val="20"/>
              </w:rPr>
              <w:t xml:space="preserve"> of EI results</w:t>
            </w:r>
          </w:p>
        </w:tc>
        <w:tc>
          <w:tcPr>
            <w:tcW w:w="6368" w:type="dxa"/>
            <w:shd w:val="clear" w:color="auto" w:fill="FFF2CC" w:themeFill="accent4" w:themeFillTint="33"/>
          </w:tcPr>
          <w:p w14:paraId="72DD9A14" w14:textId="77777777" w:rsidR="000E6CD2" w:rsidRPr="006F5A46" w:rsidRDefault="000E6CD2" w:rsidP="000E6CD2">
            <w:pPr>
              <w:pStyle w:val="NoSpacing"/>
              <w:rPr>
                <w:rFonts w:cs="Times New Roman"/>
                <w:sz w:val="20"/>
                <w:szCs w:val="20"/>
              </w:rPr>
            </w:pPr>
            <w:r w:rsidRPr="006F5A46">
              <w:rPr>
                <w:rFonts w:cs="Times New Roman"/>
                <w:sz w:val="20"/>
                <w:szCs w:val="20"/>
              </w:rPr>
              <w:t>Within 10 business days of receiving the EI results</w:t>
            </w:r>
          </w:p>
        </w:tc>
        <w:tc>
          <w:tcPr>
            <w:tcW w:w="877" w:type="dxa"/>
            <w:shd w:val="clear" w:color="auto" w:fill="FFF2CC" w:themeFill="accent4" w:themeFillTint="33"/>
          </w:tcPr>
          <w:p w14:paraId="3A6CF00C" w14:textId="5481BBC9" w:rsidR="000E6CD2" w:rsidRPr="006F5A46" w:rsidRDefault="000E6CD2" w:rsidP="000E6CD2">
            <w:pPr>
              <w:pStyle w:val="NoSpacing"/>
              <w:jc w:val="right"/>
              <w:rPr>
                <w:rFonts w:cs="Times New Roman"/>
                <w:sz w:val="20"/>
                <w:szCs w:val="20"/>
              </w:rPr>
            </w:pPr>
            <w:r w:rsidRPr="006F5A46">
              <w:rPr>
                <w:rFonts w:cs="Times New Roman"/>
                <w:sz w:val="20"/>
                <w:szCs w:val="20"/>
              </w:rPr>
              <w:sym w:font="Wingdings" w:char="F0FC"/>
            </w:r>
          </w:p>
        </w:tc>
        <w:tc>
          <w:tcPr>
            <w:tcW w:w="959" w:type="dxa"/>
            <w:shd w:val="clear" w:color="auto" w:fill="FFF2CC" w:themeFill="accent4" w:themeFillTint="33"/>
          </w:tcPr>
          <w:p w14:paraId="0041BCBA" w14:textId="77777777" w:rsidR="000E6CD2" w:rsidRPr="006F5A46" w:rsidRDefault="000E6CD2" w:rsidP="000E6CD2">
            <w:pPr>
              <w:pStyle w:val="NoSpacing"/>
              <w:jc w:val="right"/>
              <w:rPr>
                <w:rFonts w:cs="Times New Roman"/>
                <w:sz w:val="20"/>
                <w:szCs w:val="20"/>
              </w:rPr>
            </w:pPr>
          </w:p>
        </w:tc>
      </w:tr>
      <w:tr w:rsidR="000E6CD2" w14:paraId="46AD813A" w14:textId="77777777" w:rsidTr="000E6CD2">
        <w:tc>
          <w:tcPr>
            <w:tcW w:w="0" w:type="auto"/>
            <w:vMerge/>
            <w:shd w:val="clear" w:color="auto" w:fill="FFD966" w:themeFill="accent4" w:themeFillTint="99"/>
          </w:tcPr>
          <w:p w14:paraId="7E31BF17" w14:textId="77777777" w:rsidR="000E6CD2" w:rsidRDefault="000E6CD2" w:rsidP="000E6CD2">
            <w:pPr>
              <w:pStyle w:val="NoSpacing"/>
              <w:rPr>
                <w:rFonts w:cs="Times New Roman"/>
              </w:rPr>
            </w:pPr>
          </w:p>
        </w:tc>
        <w:tc>
          <w:tcPr>
            <w:tcW w:w="5695" w:type="dxa"/>
            <w:shd w:val="clear" w:color="auto" w:fill="FFF2CC" w:themeFill="accent4" w:themeFillTint="33"/>
          </w:tcPr>
          <w:p w14:paraId="557CCC1E" w14:textId="77777777" w:rsidR="000E6CD2" w:rsidRPr="006F5A46" w:rsidRDefault="000E6CD2" w:rsidP="000E6CD2">
            <w:pPr>
              <w:pStyle w:val="NoSpacing"/>
              <w:rPr>
                <w:rFonts w:cs="Times New Roman"/>
                <w:sz w:val="20"/>
                <w:szCs w:val="20"/>
              </w:rPr>
            </w:pPr>
            <w:r w:rsidRPr="006F5A46">
              <w:rPr>
                <w:rFonts w:cs="Times New Roman"/>
                <w:sz w:val="20"/>
                <w:szCs w:val="20"/>
              </w:rPr>
              <w:t xml:space="preserve">Conduct a </w:t>
            </w:r>
            <w:hyperlink r:id="rId213" w:anchor="se24.1.35_1110" w:tooltip="See 24 CFR §35.110 for the definition of risk assessment." w:history="1">
              <w:r w:rsidRPr="006F5A46">
                <w:rPr>
                  <w:rStyle w:val="Hyperlink"/>
                  <w:rFonts w:cs="Times New Roman"/>
                  <w:sz w:val="20"/>
                  <w:szCs w:val="20"/>
                </w:rPr>
                <w:t>risk assessment</w:t>
              </w:r>
            </w:hyperlink>
            <w:r w:rsidRPr="006F5A46">
              <w:rPr>
                <w:rFonts w:cs="Times New Roman"/>
                <w:sz w:val="20"/>
                <w:szCs w:val="20"/>
              </w:rPr>
              <w:t xml:space="preserve"> (RA) on other assisted units in which a child under age 6 is residing or expected to reside</w:t>
            </w:r>
          </w:p>
        </w:tc>
        <w:tc>
          <w:tcPr>
            <w:tcW w:w="6368" w:type="dxa"/>
            <w:shd w:val="clear" w:color="auto" w:fill="FFF2CC" w:themeFill="accent4" w:themeFillTint="33"/>
          </w:tcPr>
          <w:p w14:paraId="2FAF70FE" w14:textId="77777777" w:rsidR="000E6CD2" w:rsidRPr="006F5A46" w:rsidRDefault="000E6CD2" w:rsidP="000E6CD2">
            <w:pPr>
              <w:pStyle w:val="NoSpacing"/>
              <w:rPr>
                <w:rFonts w:cs="Times New Roman"/>
                <w:sz w:val="20"/>
                <w:szCs w:val="20"/>
              </w:rPr>
            </w:pPr>
            <w:r w:rsidRPr="006F5A46">
              <w:rPr>
                <w:rFonts w:cs="Times New Roman"/>
                <w:sz w:val="20"/>
                <w:szCs w:val="20"/>
              </w:rPr>
              <w:t>a) Within 30 calendar days for property with ≤ 20 covered units after EI results or b) within 60 calendar days for property with &gt; 20 covered units after EI results</w:t>
            </w:r>
          </w:p>
        </w:tc>
        <w:tc>
          <w:tcPr>
            <w:tcW w:w="877" w:type="dxa"/>
            <w:shd w:val="clear" w:color="auto" w:fill="FFF2CC" w:themeFill="accent4" w:themeFillTint="33"/>
          </w:tcPr>
          <w:p w14:paraId="788E8ECC" w14:textId="02F198AA" w:rsidR="000E6CD2" w:rsidRPr="006F5A46" w:rsidRDefault="000E6CD2" w:rsidP="000E6CD2">
            <w:pPr>
              <w:pStyle w:val="NoSpacing"/>
              <w:jc w:val="right"/>
              <w:rPr>
                <w:rFonts w:cs="Times New Roman"/>
                <w:sz w:val="20"/>
                <w:szCs w:val="20"/>
              </w:rPr>
            </w:pPr>
            <w:r w:rsidRPr="006F5A46">
              <w:rPr>
                <w:rFonts w:cs="Times New Roman"/>
                <w:sz w:val="20"/>
                <w:szCs w:val="20"/>
              </w:rPr>
              <w:sym w:font="Wingdings" w:char="F0FC"/>
            </w:r>
          </w:p>
        </w:tc>
        <w:tc>
          <w:tcPr>
            <w:tcW w:w="959" w:type="dxa"/>
            <w:shd w:val="clear" w:color="auto" w:fill="FFF2CC" w:themeFill="accent4" w:themeFillTint="33"/>
          </w:tcPr>
          <w:p w14:paraId="10090FBD" w14:textId="77777777" w:rsidR="000E6CD2" w:rsidRPr="006F5A46" w:rsidRDefault="000E6CD2" w:rsidP="000E6CD2">
            <w:pPr>
              <w:pStyle w:val="NoSpacing"/>
              <w:jc w:val="right"/>
              <w:rPr>
                <w:rFonts w:cs="Times New Roman"/>
                <w:sz w:val="20"/>
                <w:szCs w:val="20"/>
              </w:rPr>
            </w:pPr>
          </w:p>
        </w:tc>
      </w:tr>
      <w:tr w:rsidR="000E6CD2" w14:paraId="45205D58" w14:textId="77777777" w:rsidTr="000E6CD2">
        <w:tc>
          <w:tcPr>
            <w:tcW w:w="0" w:type="auto"/>
            <w:vMerge/>
            <w:shd w:val="clear" w:color="auto" w:fill="FFD966" w:themeFill="accent4" w:themeFillTint="99"/>
          </w:tcPr>
          <w:p w14:paraId="0943776C" w14:textId="77777777" w:rsidR="000E6CD2" w:rsidRDefault="000E6CD2" w:rsidP="000E6CD2">
            <w:pPr>
              <w:pStyle w:val="NoSpacing"/>
              <w:rPr>
                <w:rFonts w:cs="Times New Roman"/>
              </w:rPr>
            </w:pPr>
          </w:p>
        </w:tc>
        <w:tc>
          <w:tcPr>
            <w:tcW w:w="5695" w:type="dxa"/>
            <w:shd w:val="clear" w:color="auto" w:fill="FFF2CC" w:themeFill="accent4" w:themeFillTint="33"/>
          </w:tcPr>
          <w:p w14:paraId="7C492C8B" w14:textId="77777777" w:rsidR="000E6CD2" w:rsidRPr="006F5A46" w:rsidRDefault="000E6CD2" w:rsidP="000E6CD2">
            <w:pPr>
              <w:pStyle w:val="NoSpacing"/>
              <w:rPr>
                <w:rFonts w:cs="Times New Roman"/>
                <w:sz w:val="20"/>
                <w:szCs w:val="20"/>
              </w:rPr>
            </w:pPr>
            <w:r w:rsidRPr="006F5A46">
              <w:rPr>
                <w:rFonts w:cs="Times New Roman"/>
                <w:sz w:val="20"/>
                <w:szCs w:val="20"/>
              </w:rPr>
              <w:t>Complete lead hazard control work</w:t>
            </w:r>
          </w:p>
        </w:tc>
        <w:tc>
          <w:tcPr>
            <w:tcW w:w="6368" w:type="dxa"/>
            <w:shd w:val="clear" w:color="auto" w:fill="FFF2CC" w:themeFill="accent4" w:themeFillTint="33"/>
          </w:tcPr>
          <w:p w14:paraId="1E3EC72F" w14:textId="77777777" w:rsidR="000E6CD2" w:rsidRPr="006F5A46" w:rsidRDefault="000E6CD2" w:rsidP="000E6CD2">
            <w:pPr>
              <w:pStyle w:val="NoSpacing"/>
              <w:rPr>
                <w:rFonts w:cs="Times New Roman"/>
                <w:sz w:val="20"/>
                <w:szCs w:val="20"/>
              </w:rPr>
            </w:pPr>
            <w:r w:rsidRPr="006F5A46">
              <w:rPr>
                <w:rFonts w:cs="Times New Roman"/>
                <w:sz w:val="20"/>
                <w:szCs w:val="20"/>
              </w:rPr>
              <w:t>Within 30 calendar days of receiving results of EI</w:t>
            </w:r>
          </w:p>
        </w:tc>
        <w:tc>
          <w:tcPr>
            <w:tcW w:w="877" w:type="dxa"/>
            <w:shd w:val="clear" w:color="auto" w:fill="FFF2CC" w:themeFill="accent4" w:themeFillTint="33"/>
          </w:tcPr>
          <w:p w14:paraId="696C251F" w14:textId="364E4EB3" w:rsidR="000E6CD2" w:rsidRPr="006F5A46" w:rsidRDefault="000E6CD2" w:rsidP="000E6CD2">
            <w:pPr>
              <w:pStyle w:val="NoSpacing"/>
              <w:jc w:val="right"/>
              <w:rPr>
                <w:rFonts w:cs="Times New Roman"/>
                <w:sz w:val="20"/>
                <w:szCs w:val="20"/>
              </w:rPr>
            </w:pPr>
            <w:r w:rsidRPr="006F5A46">
              <w:rPr>
                <w:rFonts w:cs="Times New Roman"/>
                <w:sz w:val="20"/>
                <w:szCs w:val="20"/>
              </w:rPr>
              <w:sym w:font="Wingdings" w:char="F0FC"/>
            </w:r>
          </w:p>
        </w:tc>
        <w:tc>
          <w:tcPr>
            <w:tcW w:w="959" w:type="dxa"/>
            <w:shd w:val="clear" w:color="auto" w:fill="FFF2CC" w:themeFill="accent4" w:themeFillTint="33"/>
          </w:tcPr>
          <w:p w14:paraId="74D9084D" w14:textId="77777777" w:rsidR="000E6CD2" w:rsidRPr="006F5A46" w:rsidRDefault="000E6CD2" w:rsidP="000E6CD2">
            <w:pPr>
              <w:pStyle w:val="NoSpacing"/>
              <w:jc w:val="right"/>
              <w:rPr>
                <w:rFonts w:cs="Times New Roman"/>
                <w:sz w:val="20"/>
                <w:szCs w:val="20"/>
              </w:rPr>
            </w:pPr>
          </w:p>
        </w:tc>
      </w:tr>
      <w:tr w:rsidR="000E6CD2" w14:paraId="1601569D" w14:textId="77777777" w:rsidTr="000E6CD2">
        <w:tc>
          <w:tcPr>
            <w:tcW w:w="0" w:type="auto"/>
            <w:vMerge/>
            <w:shd w:val="clear" w:color="auto" w:fill="FFD966" w:themeFill="accent4" w:themeFillTint="99"/>
          </w:tcPr>
          <w:p w14:paraId="05A9DE0D" w14:textId="77777777" w:rsidR="000E6CD2" w:rsidRDefault="000E6CD2" w:rsidP="000E6CD2">
            <w:pPr>
              <w:pStyle w:val="NoSpacing"/>
              <w:rPr>
                <w:rFonts w:cs="Times New Roman"/>
              </w:rPr>
            </w:pPr>
          </w:p>
        </w:tc>
        <w:tc>
          <w:tcPr>
            <w:tcW w:w="5695" w:type="dxa"/>
            <w:shd w:val="clear" w:color="auto" w:fill="FFF2CC" w:themeFill="accent4" w:themeFillTint="33"/>
          </w:tcPr>
          <w:p w14:paraId="60B84D78" w14:textId="77777777" w:rsidR="000E6CD2" w:rsidRPr="006F5A46" w:rsidRDefault="000E6CD2" w:rsidP="000E6CD2">
            <w:pPr>
              <w:pStyle w:val="NoSpacing"/>
              <w:rPr>
                <w:rFonts w:cs="Times New Roman"/>
                <w:sz w:val="20"/>
                <w:szCs w:val="20"/>
              </w:rPr>
            </w:pPr>
            <w:r w:rsidRPr="006F5A46">
              <w:rPr>
                <w:rFonts w:cs="Times New Roman"/>
                <w:sz w:val="20"/>
                <w:szCs w:val="20"/>
              </w:rPr>
              <w:t>Complete lead hazard control work on other covered units</w:t>
            </w:r>
          </w:p>
        </w:tc>
        <w:tc>
          <w:tcPr>
            <w:tcW w:w="6368" w:type="dxa"/>
            <w:shd w:val="clear" w:color="auto" w:fill="FFF2CC" w:themeFill="accent4" w:themeFillTint="33"/>
          </w:tcPr>
          <w:p w14:paraId="1980F001" w14:textId="77777777" w:rsidR="000E6CD2" w:rsidRPr="006F5A46" w:rsidRDefault="000E6CD2" w:rsidP="000E6CD2">
            <w:pPr>
              <w:pStyle w:val="NoSpacing"/>
              <w:rPr>
                <w:rFonts w:cs="Times New Roman"/>
                <w:sz w:val="20"/>
                <w:szCs w:val="20"/>
              </w:rPr>
            </w:pPr>
            <w:r w:rsidRPr="006F5A46">
              <w:rPr>
                <w:rFonts w:cs="Times New Roman"/>
                <w:sz w:val="20"/>
                <w:szCs w:val="20"/>
              </w:rPr>
              <w:t>a) Within 30 calendar days for property with ≤ 20 covered units w/ LBP hazards after RA results or b) within 90 calendar days for property with &gt; 20 covered units w/ LBP hazards after RA results</w:t>
            </w:r>
          </w:p>
        </w:tc>
        <w:tc>
          <w:tcPr>
            <w:tcW w:w="877" w:type="dxa"/>
            <w:shd w:val="clear" w:color="auto" w:fill="FFF2CC" w:themeFill="accent4" w:themeFillTint="33"/>
          </w:tcPr>
          <w:p w14:paraId="02841010" w14:textId="7DC3BBC0" w:rsidR="000E6CD2" w:rsidRPr="006F5A46" w:rsidRDefault="000E6CD2" w:rsidP="000E6CD2">
            <w:pPr>
              <w:pStyle w:val="NoSpacing"/>
              <w:jc w:val="right"/>
              <w:rPr>
                <w:rFonts w:cs="Times New Roman"/>
                <w:sz w:val="20"/>
                <w:szCs w:val="20"/>
              </w:rPr>
            </w:pPr>
            <w:r w:rsidRPr="006F5A46">
              <w:rPr>
                <w:rFonts w:cs="Times New Roman"/>
                <w:sz w:val="20"/>
                <w:szCs w:val="20"/>
              </w:rPr>
              <w:sym w:font="Wingdings" w:char="F0FC"/>
            </w:r>
          </w:p>
        </w:tc>
        <w:tc>
          <w:tcPr>
            <w:tcW w:w="959" w:type="dxa"/>
            <w:shd w:val="clear" w:color="auto" w:fill="FFF2CC" w:themeFill="accent4" w:themeFillTint="33"/>
          </w:tcPr>
          <w:p w14:paraId="1F68E40C" w14:textId="77777777" w:rsidR="000E6CD2" w:rsidRPr="006F5A46" w:rsidRDefault="000E6CD2" w:rsidP="000E6CD2">
            <w:pPr>
              <w:pStyle w:val="NoSpacing"/>
              <w:jc w:val="right"/>
              <w:rPr>
                <w:rFonts w:cs="Times New Roman"/>
                <w:sz w:val="20"/>
                <w:szCs w:val="20"/>
              </w:rPr>
            </w:pPr>
          </w:p>
        </w:tc>
      </w:tr>
      <w:tr w:rsidR="000E6CD2" w14:paraId="18E21A4A" w14:textId="77777777" w:rsidTr="000E6CD2">
        <w:tc>
          <w:tcPr>
            <w:tcW w:w="0" w:type="auto"/>
            <w:vMerge/>
            <w:shd w:val="clear" w:color="auto" w:fill="FFD966" w:themeFill="accent4" w:themeFillTint="99"/>
          </w:tcPr>
          <w:p w14:paraId="4C647CA2" w14:textId="77777777" w:rsidR="000E6CD2" w:rsidRDefault="000E6CD2" w:rsidP="000E6CD2">
            <w:pPr>
              <w:pStyle w:val="NoSpacing"/>
              <w:rPr>
                <w:rFonts w:cs="Times New Roman"/>
              </w:rPr>
            </w:pPr>
          </w:p>
        </w:tc>
        <w:tc>
          <w:tcPr>
            <w:tcW w:w="5695" w:type="dxa"/>
            <w:shd w:val="clear" w:color="auto" w:fill="FFF2CC" w:themeFill="accent4" w:themeFillTint="33"/>
          </w:tcPr>
          <w:p w14:paraId="460E2426" w14:textId="5CB289D0" w:rsidR="000E6CD2" w:rsidRPr="006F5A46" w:rsidRDefault="000E6CD2" w:rsidP="000E6CD2">
            <w:pPr>
              <w:pStyle w:val="NoSpacing"/>
              <w:rPr>
                <w:rFonts w:cs="Times New Roman"/>
                <w:sz w:val="20"/>
                <w:szCs w:val="20"/>
              </w:rPr>
            </w:pPr>
            <w:r w:rsidRPr="006F5A46">
              <w:rPr>
                <w:rFonts w:cs="Times New Roman"/>
                <w:sz w:val="20"/>
                <w:szCs w:val="20"/>
              </w:rPr>
              <w:t>Clear after work complete</w:t>
            </w:r>
            <w:r w:rsidR="003A4020">
              <w:rPr>
                <w:rFonts w:cs="Times New Roman"/>
                <w:sz w:val="20"/>
                <w:szCs w:val="20"/>
              </w:rPr>
              <w:t>s</w:t>
            </w:r>
          </w:p>
        </w:tc>
        <w:tc>
          <w:tcPr>
            <w:tcW w:w="6368" w:type="dxa"/>
            <w:shd w:val="clear" w:color="auto" w:fill="FFF2CC" w:themeFill="accent4" w:themeFillTint="33"/>
          </w:tcPr>
          <w:p w14:paraId="278DA2B8" w14:textId="77777777" w:rsidR="000E6CD2" w:rsidRPr="006F5A46" w:rsidRDefault="000E6CD2" w:rsidP="000E6CD2">
            <w:pPr>
              <w:pStyle w:val="NoSpacing"/>
              <w:rPr>
                <w:rFonts w:cs="Times New Roman"/>
                <w:sz w:val="20"/>
                <w:szCs w:val="20"/>
              </w:rPr>
            </w:pPr>
            <w:r w:rsidRPr="006F5A46">
              <w:rPr>
                <w:rFonts w:cs="Times New Roman"/>
                <w:sz w:val="20"/>
                <w:szCs w:val="20"/>
              </w:rPr>
              <w:t>Within 30 calendar days of receiving results of EI</w:t>
            </w:r>
          </w:p>
        </w:tc>
        <w:tc>
          <w:tcPr>
            <w:tcW w:w="877" w:type="dxa"/>
            <w:shd w:val="clear" w:color="auto" w:fill="FFF2CC" w:themeFill="accent4" w:themeFillTint="33"/>
          </w:tcPr>
          <w:p w14:paraId="7FA8294F" w14:textId="6F9E1A4D" w:rsidR="000E6CD2" w:rsidRPr="006F5A46" w:rsidRDefault="000E6CD2" w:rsidP="000E6CD2">
            <w:pPr>
              <w:pStyle w:val="NoSpacing"/>
              <w:jc w:val="right"/>
              <w:rPr>
                <w:rFonts w:cs="Times New Roman"/>
                <w:sz w:val="20"/>
                <w:szCs w:val="20"/>
              </w:rPr>
            </w:pPr>
            <w:r w:rsidRPr="006F5A46">
              <w:rPr>
                <w:rFonts w:cs="Times New Roman"/>
                <w:sz w:val="20"/>
                <w:szCs w:val="20"/>
              </w:rPr>
              <w:sym w:font="Wingdings" w:char="F0FC"/>
            </w:r>
          </w:p>
        </w:tc>
        <w:tc>
          <w:tcPr>
            <w:tcW w:w="959" w:type="dxa"/>
            <w:shd w:val="clear" w:color="auto" w:fill="FFF2CC" w:themeFill="accent4" w:themeFillTint="33"/>
          </w:tcPr>
          <w:p w14:paraId="7145ABF0" w14:textId="77777777" w:rsidR="000E6CD2" w:rsidRPr="006F5A46" w:rsidRDefault="000E6CD2" w:rsidP="000E6CD2">
            <w:pPr>
              <w:pStyle w:val="NoSpacing"/>
              <w:jc w:val="right"/>
              <w:rPr>
                <w:rFonts w:cs="Times New Roman"/>
                <w:sz w:val="20"/>
                <w:szCs w:val="20"/>
              </w:rPr>
            </w:pPr>
          </w:p>
        </w:tc>
      </w:tr>
      <w:tr w:rsidR="000E6CD2" w14:paraId="66A9C2F3" w14:textId="77777777" w:rsidTr="000E6CD2">
        <w:tc>
          <w:tcPr>
            <w:tcW w:w="0" w:type="auto"/>
            <w:vMerge/>
            <w:shd w:val="clear" w:color="auto" w:fill="FFD966" w:themeFill="accent4" w:themeFillTint="99"/>
          </w:tcPr>
          <w:p w14:paraId="3517455A" w14:textId="77777777" w:rsidR="000E6CD2" w:rsidRPr="00AB7F96" w:rsidRDefault="000E6CD2" w:rsidP="000E6CD2">
            <w:pPr>
              <w:pStyle w:val="NoSpacing"/>
              <w:rPr>
                <w:rFonts w:cs="Times New Roman"/>
              </w:rPr>
            </w:pPr>
          </w:p>
        </w:tc>
        <w:tc>
          <w:tcPr>
            <w:tcW w:w="5695" w:type="dxa"/>
            <w:shd w:val="clear" w:color="auto" w:fill="FFF2CC" w:themeFill="accent4" w:themeFillTint="33"/>
          </w:tcPr>
          <w:p w14:paraId="58CC5793" w14:textId="77777777" w:rsidR="000E6CD2" w:rsidRPr="006F5A46" w:rsidRDefault="000E6CD2" w:rsidP="000E6CD2">
            <w:pPr>
              <w:pStyle w:val="NoSpacing"/>
              <w:rPr>
                <w:rFonts w:cs="Times New Roman"/>
                <w:sz w:val="20"/>
                <w:szCs w:val="20"/>
              </w:rPr>
            </w:pPr>
            <w:r w:rsidRPr="006F5A46">
              <w:rPr>
                <w:rFonts w:cs="Times New Roman"/>
                <w:sz w:val="20"/>
                <w:szCs w:val="20"/>
              </w:rPr>
              <w:t>Notify local HUD field office</w:t>
            </w:r>
            <w:r>
              <w:rPr>
                <w:rFonts w:cs="Times New Roman"/>
                <w:sz w:val="20"/>
                <w:szCs w:val="20"/>
              </w:rPr>
              <w:t xml:space="preserve"> and </w:t>
            </w:r>
            <w:proofErr w:type="spellStart"/>
            <w:r>
              <w:rPr>
                <w:rFonts w:cs="Times New Roman"/>
                <w:sz w:val="20"/>
                <w:szCs w:val="20"/>
              </w:rPr>
              <w:t>OLHCHH</w:t>
            </w:r>
            <w:proofErr w:type="spellEnd"/>
            <w:r w:rsidRPr="006F5A46">
              <w:rPr>
                <w:rFonts w:cs="Times New Roman"/>
                <w:sz w:val="20"/>
                <w:szCs w:val="20"/>
              </w:rPr>
              <w:t xml:space="preserve"> of clearance</w:t>
            </w:r>
          </w:p>
        </w:tc>
        <w:tc>
          <w:tcPr>
            <w:tcW w:w="6368" w:type="dxa"/>
            <w:shd w:val="clear" w:color="auto" w:fill="FFF2CC" w:themeFill="accent4" w:themeFillTint="33"/>
          </w:tcPr>
          <w:p w14:paraId="32487FFD" w14:textId="77777777" w:rsidR="000E6CD2" w:rsidRPr="006F5A46" w:rsidRDefault="000E6CD2" w:rsidP="000E6CD2">
            <w:pPr>
              <w:pStyle w:val="NoSpacing"/>
              <w:rPr>
                <w:rFonts w:cs="Times New Roman"/>
                <w:sz w:val="20"/>
                <w:szCs w:val="20"/>
              </w:rPr>
            </w:pPr>
            <w:r w:rsidRPr="006F5A46">
              <w:rPr>
                <w:rFonts w:cs="Times New Roman"/>
                <w:sz w:val="20"/>
                <w:szCs w:val="20"/>
              </w:rPr>
              <w:t>Within 10 business days after clearance</w:t>
            </w:r>
          </w:p>
        </w:tc>
        <w:tc>
          <w:tcPr>
            <w:tcW w:w="877" w:type="dxa"/>
            <w:shd w:val="clear" w:color="auto" w:fill="FFF2CC" w:themeFill="accent4" w:themeFillTint="33"/>
          </w:tcPr>
          <w:p w14:paraId="2262E1BB" w14:textId="58278F07" w:rsidR="000E6CD2" w:rsidRPr="006F5A46" w:rsidRDefault="000E6CD2" w:rsidP="000E6CD2">
            <w:pPr>
              <w:pStyle w:val="NoSpacing"/>
              <w:jc w:val="right"/>
              <w:rPr>
                <w:rFonts w:cs="Times New Roman"/>
                <w:sz w:val="20"/>
                <w:szCs w:val="20"/>
              </w:rPr>
            </w:pPr>
            <w:r w:rsidRPr="006F5A46">
              <w:rPr>
                <w:rFonts w:cs="Times New Roman"/>
                <w:sz w:val="20"/>
                <w:szCs w:val="20"/>
              </w:rPr>
              <w:sym w:font="Wingdings" w:char="F0FC"/>
            </w:r>
          </w:p>
        </w:tc>
        <w:tc>
          <w:tcPr>
            <w:tcW w:w="959" w:type="dxa"/>
            <w:shd w:val="clear" w:color="auto" w:fill="FFF2CC" w:themeFill="accent4" w:themeFillTint="33"/>
          </w:tcPr>
          <w:p w14:paraId="467A8E16" w14:textId="77777777" w:rsidR="000E6CD2" w:rsidRPr="006F5A46" w:rsidRDefault="000E6CD2" w:rsidP="000E6CD2">
            <w:pPr>
              <w:pStyle w:val="NoSpacing"/>
              <w:jc w:val="right"/>
              <w:rPr>
                <w:rFonts w:cs="Times New Roman"/>
                <w:sz w:val="20"/>
                <w:szCs w:val="20"/>
              </w:rPr>
            </w:pPr>
          </w:p>
        </w:tc>
      </w:tr>
      <w:tr w:rsidR="000E6CD2" w14:paraId="07A9087C" w14:textId="77777777" w:rsidTr="000E6CD2">
        <w:tc>
          <w:tcPr>
            <w:tcW w:w="0" w:type="auto"/>
            <w:vMerge/>
            <w:shd w:val="clear" w:color="auto" w:fill="FFD966" w:themeFill="accent4" w:themeFillTint="99"/>
          </w:tcPr>
          <w:p w14:paraId="19A8BFC4" w14:textId="77777777" w:rsidR="000E6CD2" w:rsidRDefault="000E6CD2" w:rsidP="000E6CD2">
            <w:pPr>
              <w:pStyle w:val="NoSpacing"/>
              <w:rPr>
                <w:rFonts w:cs="Times New Roman"/>
              </w:rPr>
            </w:pPr>
          </w:p>
        </w:tc>
        <w:tc>
          <w:tcPr>
            <w:tcW w:w="5695" w:type="dxa"/>
            <w:shd w:val="clear" w:color="auto" w:fill="FFF2CC" w:themeFill="accent4" w:themeFillTint="33"/>
          </w:tcPr>
          <w:p w14:paraId="79D193B9" w14:textId="77777777" w:rsidR="000E6CD2" w:rsidRPr="006F5A46" w:rsidRDefault="000E6CD2" w:rsidP="000E6CD2">
            <w:pPr>
              <w:pStyle w:val="NoSpacing"/>
              <w:rPr>
                <w:rFonts w:cs="Times New Roman"/>
                <w:sz w:val="20"/>
                <w:szCs w:val="20"/>
              </w:rPr>
            </w:pPr>
            <w:r w:rsidRPr="006F5A46">
              <w:rPr>
                <w:rFonts w:cs="Times New Roman"/>
                <w:sz w:val="20"/>
                <w:szCs w:val="20"/>
              </w:rPr>
              <w:t>Notify residents of lead hazard reduction activities</w:t>
            </w:r>
          </w:p>
        </w:tc>
        <w:tc>
          <w:tcPr>
            <w:tcW w:w="6368" w:type="dxa"/>
            <w:shd w:val="clear" w:color="auto" w:fill="FFF2CC" w:themeFill="accent4" w:themeFillTint="33"/>
          </w:tcPr>
          <w:p w14:paraId="781D1205" w14:textId="77777777" w:rsidR="000E6CD2" w:rsidRPr="006F5A46" w:rsidRDefault="000E6CD2" w:rsidP="000E6CD2">
            <w:pPr>
              <w:pStyle w:val="NoSpacing"/>
              <w:rPr>
                <w:rFonts w:cs="Times New Roman"/>
                <w:sz w:val="20"/>
                <w:szCs w:val="20"/>
              </w:rPr>
            </w:pPr>
            <w:r w:rsidRPr="006F5A46">
              <w:rPr>
                <w:rFonts w:cs="Times New Roman"/>
                <w:sz w:val="20"/>
                <w:szCs w:val="20"/>
              </w:rPr>
              <w:t>Within 15 calendar days after clearance</w:t>
            </w:r>
          </w:p>
        </w:tc>
        <w:tc>
          <w:tcPr>
            <w:tcW w:w="877" w:type="dxa"/>
            <w:shd w:val="clear" w:color="auto" w:fill="FFF2CC" w:themeFill="accent4" w:themeFillTint="33"/>
          </w:tcPr>
          <w:p w14:paraId="0E4946BA" w14:textId="206942AD" w:rsidR="000E6CD2" w:rsidRPr="006F5A46" w:rsidRDefault="000E6CD2" w:rsidP="000E6CD2">
            <w:pPr>
              <w:pStyle w:val="NoSpacing"/>
              <w:jc w:val="right"/>
              <w:rPr>
                <w:rFonts w:cs="Times New Roman"/>
                <w:sz w:val="20"/>
                <w:szCs w:val="20"/>
              </w:rPr>
            </w:pPr>
            <w:r w:rsidRPr="006F5A46">
              <w:rPr>
                <w:rFonts w:cs="Times New Roman"/>
                <w:sz w:val="20"/>
                <w:szCs w:val="20"/>
              </w:rPr>
              <w:sym w:font="Wingdings" w:char="F0FC"/>
            </w:r>
          </w:p>
        </w:tc>
        <w:tc>
          <w:tcPr>
            <w:tcW w:w="959" w:type="dxa"/>
            <w:shd w:val="clear" w:color="auto" w:fill="FFF2CC" w:themeFill="accent4" w:themeFillTint="33"/>
          </w:tcPr>
          <w:p w14:paraId="2C2AF941" w14:textId="77777777" w:rsidR="000E6CD2" w:rsidRPr="006F5A46" w:rsidRDefault="000E6CD2" w:rsidP="000E6CD2">
            <w:pPr>
              <w:pStyle w:val="NoSpacing"/>
              <w:jc w:val="right"/>
              <w:rPr>
                <w:rFonts w:cs="Times New Roman"/>
                <w:sz w:val="20"/>
                <w:szCs w:val="20"/>
              </w:rPr>
            </w:pPr>
          </w:p>
        </w:tc>
      </w:tr>
      <w:tr w:rsidR="000E6CD2" w14:paraId="326BB763" w14:textId="77777777" w:rsidTr="000E6CD2">
        <w:tc>
          <w:tcPr>
            <w:tcW w:w="0" w:type="auto"/>
            <w:vMerge/>
            <w:shd w:val="clear" w:color="auto" w:fill="FFD966" w:themeFill="accent4" w:themeFillTint="99"/>
          </w:tcPr>
          <w:p w14:paraId="7AB736AA" w14:textId="77777777" w:rsidR="000E6CD2" w:rsidRDefault="000E6CD2" w:rsidP="000E6CD2">
            <w:pPr>
              <w:pStyle w:val="NoSpacing"/>
              <w:rPr>
                <w:rFonts w:cs="Times New Roman"/>
              </w:rPr>
            </w:pPr>
          </w:p>
        </w:tc>
        <w:tc>
          <w:tcPr>
            <w:tcW w:w="5695" w:type="dxa"/>
            <w:shd w:val="clear" w:color="auto" w:fill="FFF2CC" w:themeFill="accent4" w:themeFillTint="33"/>
          </w:tcPr>
          <w:p w14:paraId="61B90BBF" w14:textId="77777777" w:rsidR="000E6CD2" w:rsidRPr="006F5A46" w:rsidRDefault="000E6CD2" w:rsidP="000E6CD2">
            <w:pPr>
              <w:pStyle w:val="NoSpacing"/>
              <w:rPr>
                <w:rFonts w:cs="Times New Roman"/>
                <w:sz w:val="20"/>
                <w:szCs w:val="20"/>
              </w:rPr>
            </w:pPr>
            <w:r w:rsidRPr="006F5A46">
              <w:rPr>
                <w:rFonts w:cs="Times New Roman"/>
                <w:sz w:val="20"/>
                <w:szCs w:val="20"/>
              </w:rPr>
              <w:t>Conduct ongoing maintenance</w:t>
            </w:r>
          </w:p>
        </w:tc>
        <w:tc>
          <w:tcPr>
            <w:tcW w:w="6368" w:type="dxa"/>
            <w:shd w:val="clear" w:color="auto" w:fill="FFF2CC" w:themeFill="accent4" w:themeFillTint="33"/>
          </w:tcPr>
          <w:p w14:paraId="13047F1F" w14:textId="77777777" w:rsidR="000E6CD2" w:rsidRPr="006F5A46" w:rsidRDefault="000E6CD2" w:rsidP="000E6CD2">
            <w:pPr>
              <w:pStyle w:val="NoSpacing"/>
              <w:rPr>
                <w:rFonts w:cs="Times New Roman"/>
                <w:sz w:val="20"/>
                <w:szCs w:val="20"/>
              </w:rPr>
            </w:pPr>
            <w:r w:rsidRPr="006F5A46">
              <w:rPr>
                <w:rFonts w:cs="Times New Roman"/>
                <w:sz w:val="20"/>
                <w:szCs w:val="20"/>
              </w:rPr>
              <w:t>-</w:t>
            </w:r>
          </w:p>
        </w:tc>
        <w:tc>
          <w:tcPr>
            <w:tcW w:w="877" w:type="dxa"/>
            <w:shd w:val="clear" w:color="auto" w:fill="FFF2CC" w:themeFill="accent4" w:themeFillTint="33"/>
          </w:tcPr>
          <w:p w14:paraId="2E8D8ED8" w14:textId="1AFB16EC" w:rsidR="000E6CD2" w:rsidRPr="006F5A46" w:rsidRDefault="000E6CD2" w:rsidP="000E6CD2">
            <w:pPr>
              <w:pStyle w:val="NoSpacing"/>
              <w:jc w:val="right"/>
              <w:rPr>
                <w:rFonts w:cs="Times New Roman"/>
                <w:sz w:val="20"/>
                <w:szCs w:val="20"/>
              </w:rPr>
            </w:pPr>
            <w:r w:rsidRPr="006F5A46">
              <w:rPr>
                <w:rFonts w:cs="Times New Roman"/>
                <w:sz w:val="20"/>
                <w:szCs w:val="20"/>
              </w:rPr>
              <w:sym w:font="Wingdings" w:char="F0FC"/>
            </w:r>
          </w:p>
        </w:tc>
        <w:tc>
          <w:tcPr>
            <w:tcW w:w="959" w:type="dxa"/>
            <w:shd w:val="clear" w:color="auto" w:fill="FFF2CC" w:themeFill="accent4" w:themeFillTint="33"/>
          </w:tcPr>
          <w:p w14:paraId="07ADD25C" w14:textId="77777777" w:rsidR="000E6CD2" w:rsidRPr="006F5A46" w:rsidRDefault="000E6CD2" w:rsidP="000E6CD2">
            <w:pPr>
              <w:pStyle w:val="NoSpacing"/>
              <w:jc w:val="right"/>
              <w:rPr>
                <w:rFonts w:cs="Times New Roman"/>
                <w:sz w:val="20"/>
                <w:szCs w:val="20"/>
              </w:rPr>
            </w:pPr>
          </w:p>
        </w:tc>
      </w:tr>
      <w:tr w:rsidR="000E6CD2" w14:paraId="41AAF4BC" w14:textId="77777777" w:rsidTr="000E6CD2">
        <w:tc>
          <w:tcPr>
            <w:tcW w:w="0" w:type="auto"/>
            <w:vMerge/>
            <w:shd w:val="clear" w:color="auto" w:fill="FFD966" w:themeFill="accent4" w:themeFillTint="99"/>
          </w:tcPr>
          <w:p w14:paraId="696731FF" w14:textId="77777777" w:rsidR="000E6CD2" w:rsidRDefault="000E6CD2" w:rsidP="000E6CD2">
            <w:pPr>
              <w:pStyle w:val="NoSpacing"/>
              <w:rPr>
                <w:rFonts w:cs="Times New Roman"/>
              </w:rPr>
            </w:pPr>
          </w:p>
        </w:tc>
        <w:tc>
          <w:tcPr>
            <w:tcW w:w="5695" w:type="dxa"/>
            <w:shd w:val="clear" w:color="auto" w:fill="FFF2CC" w:themeFill="accent4" w:themeFillTint="33"/>
          </w:tcPr>
          <w:p w14:paraId="36F5E618" w14:textId="77777777" w:rsidR="000E6CD2" w:rsidRPr="006F5A46" w:rsidRDefault="000E6CD2" w:rsidP="000E6CD2">
            <w:pPr>
              <w:pStyle w:val="NoSpacing"/>
              <w:rPr>
                <w:rFonts w:cs="Times New Roman"/>
                <w:sz w:val="20"/>
                <w:szCs w:val="20"/>
              </w:rPr>
            </w:pPr>
            <w:r w:rsidRPr="006F5A46">
              <w:rPr>
                <w:rFonts w:cs="Times New Roman"/>
                <w:sz w:val="20"/>
                <w:szCs w:val="20"/>
              </w:rPr>
              <w:t xml:space="preserve">Monitor owner compliance with the </w:t>
            </w:r>
            <w:proofErr w:type="spellStart"/>
            <w:r w:rsidRPr="006F5A46">
              <w:rPr>
                <w:rFonts w:cs="Times New Roman"/>
                <w:sz w:val="20"/>
                <w:szCs w:val="20"/>
              </w:rPr>
              <w:t>LSHR</w:t>
            </w:r>
            <w:proofErr w:type="spellEnd"/>
            <w:r w:rsidRPr="006F5A46">
              <w:rPr>
                <w:rFonts w:cs="Times New Roman"/>
                <w:sz w:val="20"/>
                <w:szCs w:val="20"/>
              </w:rPr>
              <w:t xml:space="preserve"> and HQS</w:t>
            </w:r>
          </w:p>
        </w:tc>
        <w:tc>
          <w:tcPr>
            <w:tcW w:w="6368" w:type="dxa"/>
            <w:shd w:val="clear" w:color="auto" w:fill="FFF2CC" w:themeFill="accent4" w:themeFillTint="33"/>
          </w:tcPr>
          <w:p w14:paraId="1288F41F" w14:textId="77777777" w:rsidR="000E6CD2" w:rsidRPr="006F5A46" w:rsidRDefault="000E6CD2" w:rsidP="000E6CD2">
            <w:pPr>
              <w:pStyle w:val="NoSpacing"/>
              <w:rPr>
                <w:rFonts w:cs="Times New Roman"/>
                <w:sz w:val="20"/>
                <w:szCs w:val="20"/>
              </w:rPr>
            </w:pPr>
            <w:r w:rsidRPr="006F5A46">
              <w:rPr>
                <w:rFonts w:cs="Times New Roman"/>
                <w:sz w:val="20"/>
                <w:szCs w:val="20"/>
              </w:rPr>
              <w:t>-</w:t>
            </w:r>
          </w:p>
        </w:tc>
        <w:tc>
          <w:tcPr>
            <w:tcW w:w="877" w:type="dxa"/>
            <w:shd w:val="clear" w:color="auto" w:fill="FFF2CC" w:themeFill="accent4" w:themeFillTint="33"/>
          </w:tcPr>
          <w:p w14:paraId="2B0A1517" w14:textId="2DAB1E16" w:rsidR="000E6CD2" w:rsidRPr="006F5A46" w:rsidRDefault="000E6CD2" w:rsidP="000E6CD2">
            <w:pPr>
              <w:pStyle w:val="NoSpacing"/>
              <w:jc w:val="right"/>
              <w:rPr>
                <w:rFonts w:cs="Times New Roman"/>
                <w:sz w:val="20"/>
                <w:szCs w:val="20"/>
              </w:rPr>
            </w:pPr>
            <w:r w:rsidRPr="006F5A46">
              <w:rPr>
                <w:rFonts w:cs="Times New Roman"/>
                <w:sz w:val="20"/>
                <w:szCs w:val="20"/>
              </w:rPr>
              <w:sym w:font="Wingdings" w:char="F0FC"/>
            </w:r>
          </w:p>
        </w:tc>
        <w:tc>
          <w:tcPr>
            <w:tcW w:w="959" w:type="dxa"/>
            <w:shd w:val="clear" w:color="auto" w:fill="FFF2CC" w:themeFill="accent4" w:themeFillTint="33"/>
          </w:tcPr>
          <w:p w14:paraId="3CD7E64D" w14:textId="7C9388AB" w:rsidR="000E6CD2" w:rsidRPr="006F5A46" w:rsidRDefault="000E6CD2" w:rsidP="000E6CD2">
            <w:pPr>
              <w:pStyle w:val="NoSpacing"/>
              <w:jc w:val="right"/>
              <w:rPr>
                <w:rFonts w:cs="Times New Roman"/>
                <w:sz w:val="20"/>
                <w:szCs w:val="20"/>
              </w:rPr>
            </w:pPr>
          </w:p>
        </w:tc>
      </w:tr>
      <w:tr w:rsidR="00D75D0E" w14:paraId="7E508695" w14:textId="77777777" w:rsidTr="000E6CD2">
        <w:tc>
          <w:tcPr>
            <w:tcW w:w="0" w:type="auto"/>
            <w:vMerge/>
            <w:shd w:val="clear" w:color="auto" w:fill="FFD966" w:themeFill="accent4" w:themeFillTint="99"/>
          </w:tcPr>
          <w:p w14:paraId="36F32B98" w14:textId="77777777" w:rsidR="00D75D0E" w:rsidRDefault="00D75D0E" w:rsidP="00D75D0E">
            <w:pPr>
              <w:pStyle w:val="NoSpacing"/>
              <w:rPr>
                <w:rFonts w:cs="Times New Roman"/>
              </w:rPr>
            </w:pPr>
          </w:p>
        </w:tc>
        <w:tc>
          <w:tcPr>
            <w:tcW w:w="5695" w:type="dxa"/>
            <w:shd w:val="clear" w:color="auto" w:fill="FFF2CC" w:themeFill="accent4" w:themeFillTint="33"/>
          </w:tcPr>
          <w:p w14:paraId="29DC4920" w14:textId="50761B4C" w:rsidR="00D75D0E" w:rsidRPr="006F5A46" w:rsidRDefault="00ED7AB2" w:rsidP="00D75D0E">
            <w:pPr>
              <w:pStyle w:val="NoSpacing"/>
              <w:rPr>
                <w:rFonts w:cs="Times New Roman"/>
                <w:sz w:val="20"/>
                <w:szCs w:val="20"/>
              </w:rPr>
            </w:pPr>
            <w:r>
              <w:rPr>
                <w:rFonts w:cs="Times New Roman"/>
                <w:sz w:val="20"/>
                <w:szCs w:val="20"/>
              </w:rPr>
              <w:t>Periodic re</w:t>
            </w:r>
            <w:r w:rsidR="00D75D0E">
              <w:rPr>
                <w:rFonts w:cs="Times New Roman"/>
                <w:sz w:val="20"/>
                <w:szCs w:val="20"/>
              </w:rPr>
              <w:t xml:space="preserve">evaluation and </w:t>
            </w:r>
            <w:r w:rsidR="00D75D0E" w:rsidRPr="003C7A6E">
              <w:rPr>
                <w:rFonts w:cs="Times New Roman"/>
                <w:sz w:val="20"/>
                <w:szCs w:val="20"/>
              </w:rPr>
              <w:t>response</w:t>
            </w:r>
            <w:r w:rsidR="003C7A6E" w:rsidRPr="003C7A6E">
              <w:rPr>
                <w:rFonts w:cs="Times New Roman"/>
                <w:sz w:val="20"/>
                <w:szCs w:val="20"/>
              </w:rPr>
              <w:t xml:space="preserve"> </w:t>
            </w:r>
            <w:r w:rsidR="003C7A6E" w:rsidRPr="00DA098E">
              <w:rPr>
                <w:rFonts w:cs="Times New Roman"/>
                <w:sz w:val="20"/>
                <w:szCs w:val="20"/>
              </w:rPr>
              <w:t>if &gt;$5,000 per unit per year</w:t>
            </w:r>
          </w:p>
        </w:tc>
        <w:tc>
          <w:tcPr>
            <w:tcW w:w="6368" w:type="dxa"/>
            <w:shd w:val="clear" w:color="auto" w:fill="FFF2CC" w:themeFill="accent4" w:themeFillTint="33"/>
          </w:tcPr>
          <w:p w14:paraId="02EE217A" w14:textId="63F0B7C2" w:rsidR="00D75D0E" w:rsidRPr="006F5A46" w:rsidRDefault="00ED7AB2" w:rsidP="00D75D0E">
            <w:pPr>
              <w:pStyle w:val="NoSpacing"/>
              <w:rPr>
                <w:rFonts w:cs="Times New Roman"/>
                <w:sz w:val="20"/>
                <w:szCs w:val="20"/>
              </w:rPr>
            </w:pPr>
            <w:r>
              <w:rPr>
                <w:rFonts w:cs="Times New Roman"/>
                <w:sz w:val="20"/>
                <w:szCs w:val="20"/>
              </w:rPr>
              <w:t>Within 2 years of hazard reduction. Repeated 2 years later (see above)</w:t>
            </w:r>
          </w:p>
        </w:tc>
        <w:tc>
          <w:tcPr>
            <w:tcW w:w="877" w:type="dxa"/>
            <w:shd w:val="clear" w:color="auto" w:fill="FFF2CC" w:themeFill="accent4" w:themeFillTint="33"/>
          </w:tcPr>
          <w:p w14:paraId="0486F86D" w14:textId="10DD480C" w:rsidR="00D75D0E" w:rsidRPr="006F5A46" w:rsidRDefault="00D75D0E" w:rsidP="00D75D0E">
            <w:pPr>
              <w:pStyle w:val="NoSpacing"/>
              <w:jc w:val="right"/>
              <w:rPr>
                <w:rFonts w:cs="Times New Roman"/>
                <w:sz w:val="20"/>
                <w:szCs w:val="20"/>
              </w:rPr>
            </w:pPr>
            <w:r w:rsidRPr="006F5A46">
              <w:rPr>
                <w:rFonts w:cs="Times New Roman"/>
                <w:sz w:val="20"/>
                <w:szCs w:val="20"/>
              </w:rPr>
              <w:sym w:font="Wingdings" w:char="F0FC"/>
            </w:r>
          </w:p>
        </w:tc>
        <w:tc>
          <w:tcPr>
            <w:tcW w:w="959" w:type="dxa"/>
            <w:shd w:val="clear" w:color="auto" w:fill="FFF2CC" w:themeFill="accent4" w:themeFillTint="33"/>
          </w:tcPr>
          <w:p w14:paraId="48F51C6E" w14:textId="50C392C5" w:rsidR="00D75D0E" w:rsidRPr="006F5A46" w:rsidRDefault="00D75D0E" w:rsidP="00D75D0E">
            <w:pPr>
              <w:pStyle w:val="NoSpacing"/>
              <w:jc w:val="right"/>
              <w:rPr>
                <w:rFonts w:cs="Times New Roman"/>
                <w:sz w:val="20"/>
                <w:szCs w:val="20"/>
              </w:rPr>
            </w:pPr>
            <w:r w:rsidRPr="006F5A46">
              <w:rPr>
                <w:rFonts w:cs="Times New Roman"/>
                <w:sz w:val="20"/>
                <w:szCs w:val="20"/>
              </w:rPr>
              <w:sym w:font="Wingdings" w:char="F0FC"/>
            </w:r>
          </w:p>
        </w:tc>
      </w:tr>
    </w:tbl>
    <w:p w14:paraId="1201BFDA" w14:textId="77777777" w:rsidR="00C05FFD" w:rsidRPr="004F1682" w:rsidRDefault="00C05FFD" w:rsidP="004F1682">
      <w:pPr>
        <w:spacing w:after="0"/>
        <w:rPr>
          <w:sz w:val="2"/>
        </w:rPr>
      </w:pPr>
      <w:r w:rsidRPr="004F1682">
        <w:rPr>
          <w:sz w:val="2"/>
        </w:rPr>
        <w:br w:type="page"/>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98"/>
        <w:gridCol w:w="2563"/>
        <w:gridCol w:w="11329"/>
      </w:tblGrid>
      <w:tr w:rsidR="00B91A9F" w14:paraId="2A243571" w14:textId="77777777" w:rsidTr="004F1682">
        <w:tc>
          <w:tcPr>
            <w:tcW w:w="0" w:type="auto"/>
            <w:vMerge w:val="restart"/>
            <w:shd w:val="clear" w:color="auto" w:fill="A48FBB"/>
            <w:textDirection w:val="btLr"/>
          </w:tcPr>
          <w:p w14:paraId="511349B8" w14:textId="708C0C35" w:rsidR="00B91A9F" w:rsidRDefault="0096436D" w:rsidP="00FE48F3">
            <w:pPr>
              <w:pStyle w:val="NoSpacing"/>
              <w:ind w:left="113" w:right="113"/>
              <w:jc w:val="center"/>
              <w:rPr>
                <w:rFonts w:cs="Times New Roman"/>
              </w:rPr>
            </w:pPr>
            <w:r w:rsidRPr="0096436D">
              <w:rPr>
                <w:rFonts w:cs="Times New Roman"/>
                <w:b/>
              </w:rPr>
              <w:lastRenderedPageBreak/>
              <w:t>Acquisition, Leasing, Support Services, and Operations</w:t>
            </w:r>
            <w:r>
              <w:rPr>
                <w:rFonts w:cs="Times New Roman"/>
                <w:b/>
              </w:rPr>
              <w:t xml:space="preserve"> </w:t>
            </w:r>
            <w:r w:rsidR="00B91A9F">
              <w:rPr>
                <w:rFonts w:cs="Times New Roman"/>
                <w:b/>
              </w:rPr>
              <w:t>Lead Safe Housing Protocols</w:t>
            </w:r>
          </w:p>
        </w:tc>
        <w:tc>
          <w:tcPr>
            <w:tcW w:w="2564" w:type="dxa"/>
            <w:shd w:val="clear" w:color="auto" w:fill="CCC0D9"/>
          </w:tcPr>
          <w:p w14:paraId="6BFFFD38" w14:textId="77777777" w:rsidR="00B91A9F" w:rsidRPr="00DA098E" w:rsidRDefault="00B91A9F" w:rsidP="00FE48F3">
            <w:pPr>
              <w:pStyle w:val="NoSpacing"/>
              <w:rPr>
                <w:rFonts w:cs="Times New Roman"/>
                <w:sz w:val="20"/>
              </w:rPr>
            </w:pPr>
            <w:r w:rsidRPr="00DA098E">
              <w:rPr>
                <w:rFonts w:cs="Times New Roman"/>
                <w:sz w:val="20"/>
              </w:rPr>
              <w:t>Applicability</w:t>
            </w:r>
          </w:p>
        </w:tc>
        <w:tc>
          <w:tcPr>
            <w:tcW w:w="11335" w:type="dxa"/>
            <w:shd w:val="clear" w:color="auto" w:fill="E5DFEC"/>
          </w:tcPr>
          <w:p w14:paraId="56A24454" w14:textId="101739CF" w:rsidR="00B91A9F" w:rsidRPr="00DA098E" w:rsidRDefault="00B91A9F">
            <w:pPr>
              <w:pStyle w:val="NoSpacing"/>
              <w:rPr>
                <w:rFonts w:cs="Times New Roman"/>
                <w:sz w:val="20"/>
                <w:szCs w:val="20"/>
              </w:rPr>
            </w:pPr>
            <w:r w:rsidRPr="00DA098E">
              <w:rPr>
                <w:rFonts w:cs="Times New Roman"/>
                <w:sz w:val="20"/>
                <w:szCs w:val="20"/>
              </w:rPr>
              <w:t xml:space="preserve">24 CFR §35, Subparts A, B, </w:t>
            </w:r>
            <w:r>
              <w:rPr>
                <w:rFonts w:cs="Times New Roman"/>
                <w:sz w:val="20"/>
                <w:szCs w:val="20"/>
              </w:rPr>
              <w:t>K</w:t>
            </w:r>
            <w:r w:rsidRPr="00DA098E">
              <w:rPr>
                <w:rFonts w:cs="Times New Roman"/>
                <w:sz w:val="20"/>
                <w:szCs w:val="20"/>
              </w:rPr>
              <w:t xml:space="preserve">, and R apply to </w:t>
            </w:r>
            <w:r w:rsidR="004378F9">
              <w:rPr>
                <w:rFonts w:cs="Times New Roman"/>
                <w:sz w:val="20"/>
                <w:szCs w:val="20"/>
              </w:rPr>
              <w:t>STRMU</w:t>
            </w:r>
            <w:r w:rsidRPr="00DA098E">
              <w:rPr>
                <w:rFonts w:cs="Times New Roman"/>
                <w:sz w:val="20"/>
                <w:szCs w:val="20"/>
              </w:rPr>
              <w:t xml:space="preserve">-assisted units in which a child under the age of six is </w:t>
            </w:r>
            <w:hyperlink r:id="rId214" w:anchor="se24.1.35_1110" w:tooltip="See 24 CFR §35.110 for the definition of expected to reside." w:history="1">
              <w:r w:rsidRPr="00DA098E">
                <w:rPr>
                  <w:rStyle w:val="Hyperlink"/>
                  <w:rFonts w:cs="Times New Roman"/>
                  <w:sz w:val="20"/>
                  <w:szCs w:val="20"/>
                </w:rPr>
                <w:t>expected to reside</w:t>
              </w:r>
            </w:hyperlink>
            <w:r w:rsidRPr="00DA098E">
              <w:rPr>
                <w:rFonts w:cs="Times New Roman"/>
                <w:sz w:val="20"/>
                <w:szCs w:val="20"/>
              </w:rPr>
              <w:t xml:space="preserve"> and the common areas and exterior painted surfaces </w:t>
            </w:r>
            <w:r>
              <w:rPr>
                <w:rFonts w:cs="Times New Roman"/>
                <w:sz w:val="20"/>
                <w:szCs w:val="20"/>
              </w:rPr>
              <w:t>of</w:t>
            </w:r>
            <w:r w:rsidRPr="00DA098E">
              <w:rPr>
                <w:rFonts w:cs="Times New Roman"/>
                <w:sz w:val="20"/>
                <w:szCs w:val="20"/>
              </w:rPr>
              <w:t xml:space="preserve"> these units.</w:t>
            </w:r>
          </w:p>
        </w:tc>
      </w:tr>
      <w:tr w:rsidR="00B91A9F" w14:paraId="3A966A1F" w14:textId="77777777" w:rsidTr="004F1682">
        <w:tc>
          <w:tcPr>
            <w:tcW w:w="0" w:type="auto"/>
            <w:vMerge/>
            <w:shd w:val="clear" w:color="auto" w:fill="A48FBB"/>
          </w:tcPr>
          <w:p w14:paraId="4A22EB3E" w14:textId="77777777" w:rsidR="00B91A9F" w:rsidRDefault="00B91A9F" w:rsidP="00FE48F3">
            <w:pPr>
              <w:pStyle w:val="NoSpacing"/>
              <w:rPr>
                <w:rFonts w:cs="Times New Roman"/>
              </w:rPr>
            </w:pPr>
          </w:p>
        </w:tc>
        <w:tc>
          <w:tcPr>
            <w:tcW w:w="2564" w:type="dxa"/>
            <w:shd w:val="clear" w:color="auto" w:fill="CCC0D9"/>
          </w:tcPr>
          <w:p w14:paraId="38A79665" w14:textId="77777777" w:rsidR="00B91A9F" w:rsidRPr="00DA098E" w:rsidRDefault="00B91A9F" w:rsidP="00FE48F3">
            <w:pPr>
              <w:pStyle w:val="NoSpacing"/>
              <w:rPr>
                <w:rFonts w:cs="Times New Roman"/>
                <w:sz w:val="20"/>
              </w:rPr>
            </w:pPr>
            <w:r w:rsidRPr="00DA098E">
              <w:rPr>
                <w:rFonts w:cs="Times New Roman"/>
                <w:sz w:val="20"/>
              </w:rPr>
              <w:t>Disclosure</w:t>
            </w:r>
          </w:p>
        </w:tc>
        <w:tc>
          <w:tcPr>
            <w:tcW w:w="11335" w:type="dxa"/>
            <w:shd w:val="clear" w:color="auto" w:fill="E5DFEC"/>
          </w:tcPr>
          <w:p w14:paraId="1041779D" w14:textId="0503E9CC" w:rsidR="00B91A9F" w:rsidRPr="00DA098E" w:rsidRDefault="00B91A9F">
            <w:pPr>
              <w:pStyle w:val="NoSpacing"/>
              <w:rPr>
                <w:rFonts w:cs="Times New Roman"/>
                <w:sz w:val="20"/>
              </w:rPr>
            </w:pPr>
            <w:r w:rsidRPr="00DA098E">
              <w:rPr>
                <w:rFonts w:cs="Times New Roman"/>
                <w:sz w:val="20"/>
              </w:rPr>
              <w:t>If the structure was built or most recently rehabilitated prior to 1978</w:t>
            </w:r>
            <w:r w:rsidR="009C2EBD">
              <w:rPr>
                <w:rFonts w:cs="Times New Roman"/>
                <w:sz w:val="20"/>
              </w:rPr>
              <w:t xml:space="preserve"> and the household will lease or sublease the housing from an owner</w:t>
            </w:r>
            <w:r w:rsidRPr="00DA098E">
              <w:rPr>
                <w:rFonts w:cs="Times New Roman"/>
                <w:sz w:val="20"/>
              </w:rPr>
              <w:t xml:space="preserve">, then the owner </w:t>
            </w:r>
            <w:r w:rsidR="003A4020">
              <w:rPr>
                <w:rFonts w:cs="Times New Roman"/>
                <w:sz w:val="20"/>
              </w:rPr>
              <w:t>must provide</w:t>
            </w:r>
            <w:r w:rsidRPr="00DA098E">
              <w:rPr>
                <w:rFonts w:cs="Times New Roman"/>
                <w:sz w:val="20"/>
              </w:rPr>
              <w:t xml:space="preserve"> a </w:t>
            </w:r>
            <w:hyperlink r:id="rId215" w:history="1">
              <w:r w:rsidRPr="00DA098E">
                <w:rPr>
                  <w:rStyle w:val="Hyperlink"/>
                  <w:rFonts w:cs="Times New Roman"/>
                  <w:sz w:val="20"/>
                </w:rPr>
                <w:t>“Protect Your Family from Lead in Your Home”</w:t>
              </w:r>
            </w:hyperlink>
            <w:r w:rsidRPr="00DA098E">
              <w:rPr>
                <w:rFonts w:cs="Times New Roman"/>
                <w:sz w:val="20"/>
              </w:rPr>
              <w:t xml:space="preserve"> pamphlet, “Disclosure of Information on Lead-Based Paint and/or Lead-Based Paint Hazards” form (</w:t>
            </w:r>
            <w:hyperlink r:id="rId216" w:history="1">
              <w:r w:rsidRPr="00DA098E">
                <w:rPr>
                  <w:rStyle w:val="Hyperlink"/>
                  <w:rFonts w:cs="Times New Roman"/>
                  <w:sz w:val="20"/>
                </w:rPr>
                <w:t>English</w:t>
              </w:r>
            </w:hyperlink>
            <w:r w:rsidRPr="00DA098E">
              <w:rPr>
                <w:rFonts w:cs="Times New Roman"/>
                <w:sz w:val="20"/>
              </w:rPr>
              <w:t xml:space="preserve"> | </w:t>
            </w:r>
            <w:hyperlink r:id="rId217" w:history="1">
              <w:r w:rsidRPr="00DA098E">
                <w:rPr>
                  <w:rStyle w:val="Hyperlink"/>
                  <w:rFonts w:cs="Times New Roman"/>
                  <w:sz w:val="20"/>
                </w:rPr>
                <w:t>Spanish</w:t>
              </w:r>
            </w:hyperlink>
            <w:r w:rsidRPr="00DA098E">
              <w:rPr>
                <w:rFonts w:cs="Times New Roman"/>
                <w:sz w:val="20"/>
              </w:rPr>
              <w:t>), and available records and reports to households at initial occupancy, when their lease renew</w:t>
            </w:r>
            <w:r w:rsidR="003A4020">
              <w:rPr>
                <w:rFonts w:cs="Times New Roman"/>
                <w:sz w:val="20"/>
              </w:rPr>
              <w:t>s</w:t>
            </w:r>
            <w:r w:rsidRPr="00DA098E">
              <w:rPr>
                <w:rFonts w:cs="Times New Roman"/>
                <w:sz w:val="20"/>
              </w:rPr>
              <w:t xml:space="preserve"> with changed terms, and/or when their lease renew</w:t>
            </w:r>
            <w:r w:rsidR="003A4020">
              <w:rPr>
                <w:rFonts w:cs="Times New Roman"/>
                <w:sz w:val="20"/>
              </w:rPr>
              <w:t>s</w:t>
            </w:r>
            <w:r w:rsidRPr="00DA098E">
              <w:rPr>
                <w:rFonts w:cs="Times New Roman"/>
                <w:sz w:val="20"/>
              </w:rPr>
              <w:t xml:space="preserve"> after new information on lead-based paint (LBP) or lead-based paint hazards becomes available. </w:t>
            </w:r>
            <w:r w:rsidR="009C2EBD" w:rsidRPr="009C2EBD">
              <w:rPr>
                <w:rFonts w:cs="Times New Roman"/>
                <w:sz w:val="20"/>
              </w:rPr>
              <w:t xml:space="preserve">If the structure was built or most recently rehabilitated prior to 1978 and the household </w:t>
            </w:r>
            <w:r w:rsidR="009C2EBD">
              <w:rPr>
                <w:rFonts w:cs="Times New Roman"/>
                <w:sz w:val="20"/>
              </w:rPr>
              <w:t>is the resident owner of the housing</w:t>
            </w:r>
            <w:r w:rsidR="009C2EBD" w:rsidRPr="009C2EBD">
              <w:rPr>
                <w:rFonts w:cs="Times New Roman"/>
                <w:sz w:val="20"/>
              </w:rPr>
              <w:t xml:space="preserve">, then the </w:t>
            </w:r>
            <w:r w:rsidR="009C2EBD">
              <w:rPr>
                <w:rFonts w:cs="Times New Roman"/>
                <w:sz w:val="20"/>
              </w:rPr>
              <w:t>Project Sponsor</w:t>
            </w:r>
            <w:r w:rsidR="009C2EBD" w:rsidRPr="009C2EBD">
              <w:rPr>
                <w:rFonts w:cs="Times New Roman"/>
                <w:sz w:val="20"/>
              </w:rPr>
              <w:t xml:space="preserve"> is responsible for providing a </w:t>
            </w:r>
            <w:hyperlink r:id="rId218" w:history="1">
              <w:r w:rsidR="009C2EBD" w:rsidRPr="009C2EBD">
                <w:rPr>
                  <w:rStyle w:val="Hyperlink"/>
                  <w:rFonts w:cs="Times New Roman"/>
                  <w:sz w:val="20"/>
                </w:rPr>
                <w:t>“Protect Your Family from Lead in Your Home”</w:t>
              </w:r>
            </w:hyperlink>
            <w:r w:rsidR="009C2EBD" w:rsidRPr="009C2EBD">
              <w:rPr>
                <w:rFonts w:cs="Times New Roman"/>
                <w:sz w:val="20"/>
              </w:rPr>
              <w:t xml:space="preserve"> pamphlet</w:t>
            </w:r>
            <w:r w:rsidR="009C2EBD">
              <w:rPr>
                <w:rFonts w:cs="Times New Roman"/>
                <w:sz w:val="20"/>
              </w:rPr>
              <w:t xml:space="preserve"> to the household. </w:t>
            </w:r>
            <w:r w:rsidRPr="00DA098E">
              <w:rPr>
                <w:rFonts w:cs="Times New Roman"/>
                <w:sz w:val="20"/>
              </w:rPr>
              <w:t xml:space="preserve">See </w:t>
            </w:r>
            <w:hyperlink r:id="rId219" w:anchor="se24.1.35_182" w:tooltip="See §35.82 for scope and applicability." w:history="1">
              <w:r w:rsidRPr="00DA098E">
                <w:rPr>
                  <w:rStyle w:val="Hyperlink"/>
                  <w:rFonts w:cs="Times New Roman"/>
                  <w:sz w:val="20"/>
                </w:rPr>
                <w:t>24 CFR §35.82</w:t>
              </w:r>
            </w:hyperlink>
            <w:r w:rsidRPr="00DA098E">
              <w:rPr>
                <w:rFonts w:cs="Times New Roman"/>
                <w:sz w:val="20"/>
              </w:rPr>
              <w:t xml:space="preserve"> for a list of transactions exempt from disclosure rules.</w:t>
            </w:r>
          </w:p>
        </w:tc>
      </w:tr>
      <w:tr w:rsidR="00B91A9F" w14:paraId="48D2138F" w14:textId="77777777" w:rsidTr="004F1682">
        <w:tc>
          <w:tcPr>
            <w:tcW w:w="0" w:type="auto"/>
            <w:vMerge/>
            <w:shd w:val="clear" w:color="auto" w:fill="A48FBB"/>
          </w:tcPr>
          <w:p w14:paraId="377207EC" w14:textId="77777777" w:rsidR="00B91A9F" w:rsidRPr="00714248" w:rsidRDefault="00B91A9F" w:rsidP="00FE48F3">
            <w:pPr>
              <w:pStyle w:val="NoSpacing"/>
              <w:rPr>
                <w:rFonts w:cs="Times New Roman"/>
              </w:rPr>
            </w:pPr>
          </w:p>
        </w:tc>
        <w:tc>
          <w:tcPr>
            <w:tcW w:w="2564" w:type="dxa"/>
            <w:shd w:val="clear" w:color="auto" w:fill="CCC0D9"/>
          </w:tcPr>
          <w:p w14:paraId="2CA6A85A" w14:textId="77777777" w:rsidR="00B91A9F" w:rsidRPr="00DA098E" w:rsidRDefault="00B91A9F" w:rsidP="00FE48F3">
            <w:pPr>
              <w:pStyle w:val="NoSpacing"/>
              <w:rPr>
                <w:rFonts w:cs="Times New Roman"/>
                <w:sz w:val="20"/>
              </w:rPr>
            </w:pPr>
            <w:r w:rsidRPr="00DA098E">
              <w:rPr>
                <w:rFonts w:cs="Times New Roman"/>
                <w:sz w:val="20"/>
              </w:rPr>
              <w:t>Exemptions</w:t>
            </w:r>
          </w:p>
        </w:tc>
        <w:tc>
          <w:tcPr>
            <w:tcW w:w="11335" w:type="dxa"/>
            <w:shd w:val="clear" w:color="auto" w:fill="E5DFEC"/>
          </w:tcPr>
          <w:p w14:paraId="10954057" w14:textId="77777777" w:rsidR="00B91A9F" w:rsidRPr="00DA098E" w:rsidRDefault="00B91A9F" w:rsidP="00FE48F3">
            <w:pPr>
              <w:pStyle w:val="NoSpacing"/>
              <w:rPr>
                <w:rFonts w:cs="Times New Roman"/>
                <w:sz w:val="20"/>
              </w:rPr>
            </w:pPr>
            <w:r w:rsidRPr="00DA098E">
              <w:rPr>
                <w:rFonts w:cs="Times New Roman"/>
                <w:sz w:val="20"/>
              </w:rPr>
              <w:t xml:space="preserve">See </w:t>
            </w:r>
            <w:hyperlink r:id="rId220" w:anchor="se24.1.35_1115" w:tooltip="See 24 CFR §35.115 for exemptions." w:history="1">
              <w:r w:rsidRPr="00DA098E">
                <w:rPr>
                  <w:rStyle w:val="Hyperlink"/>
                  <w:rFonts w:cs="Times New Roman"/>
                  <w:sz w:val="20"/>
                </w:rPr>
                <w:t>24 CFR §35.115</w:t>
              </w:r>
            </w:hyperlink>
            <w:r w:rsidRPr="00DA098E">
              <w:rPr>
                <w:rFonts w:cs="Times New Roman"/>
                <w:sz w:val="20"/>
              </w:rPr>
              <w:t xml:space="preserve"> for a list of property exemptions.</w:t>
            </w:r>
          </w:p>
        </w:tc>
      </w:tr>
      <w:tr w:rsidR="00B91A9F" w14:paraId="7A33C28A" w14:textId="77777777" w:rsidTr="004F1682">
        <w:tc>
          <w:tcPr>
            <w:tcW w:w="0" w:type="auto"/>
            <w:vMerge/>
            <w:shd w:val="clear" w:color="auto" w:fill="A48FBB"/>
          </w:tcPr>
          <w:p w14:paraId="3E453981" w14:textId="77777777" w:rsidR="00B91A9F" w:rsidRDefault="00B91A9F" w:rsidP="00FE48F3">
            <w:pPr>
              <w:pStyle w:val="NoSpacing"/>
              <w:rPr>
                <w:rFonts w:cs="Times New Roman"/>
              </w:rPr>
            </w:pPr>
          </w:p>
        </w:tc>
        <w:tc>
          <w:tcPr>
            <w:tcW w:w="2564" w:type="dxa"/>
            <w:shd w:val="clear" w:color="auto" w:fill="CCC0D9"/>
          </w:tcPr>
          <w:p w14:paraId="00BBDA91" w14:textId="77777777" w:rsidR="00B91A9F" w:rsidRPr="00DA098E" w:rsidRDefault="00B91A9F" w:rsidP="00FE48F3">
            <w:pPr>
              <w:pStyle w:val="NoSpacing"/>
              <w:rPr>
                <w:rFonts w:cs="Times New Roman"/>
                <w:sz w:val="20"/>
              </w:rPr>
            </w:pPr>
            <w:r>
              <w:rPr>
                <w:rFonts w:cs="Times New Roman"/>
                <w:sz w:val="20"/>
              </w:rPr>
              <w:t>Lead hazard a</w:t>
            </w:r>
            <w:r w:rsidRPr="00DA098E">
              <w:rPr>
                <w:rFonts w:cs="Times New Roman"/>
                <w:sz w:val="20"/>
              </w:rPr>
              <w:t>pproach</w:t>
            </w:r>
          </w:p>
        </w:tc>
        <w:tc>
          <w:tcPr>
            <w:tcW w:w="11335" w:type="dxa"/>
            <w:shd w:val="clear" w:color="auto" w:fill="E5DFEC"/>
          </w:tcPr>
          <w:p w14:paraId="41BC91D7" w14:textId="77777777" w:rsidR="00B91A9F" w:rsidRPr="00DA098E" w:rsidRDefault="00B91A9F" w:rsidP="00FE48F3">
            <w:pPr>
              <w:pStyle w:val="NoSpacing"/>
              <w:rPr>
                <w:rFonts w:cs="Times New Roman"/>
                <w:sz w:val="20"/>
              </w:rPr>
            </w:pPr>
            <w:r>
              <w:rPr>
                <w:rFonts w:cs="Times New Roman"/>
                <w:sz w:val="20"/>
              </w:rPr>
              <w:t>I</w:t>
            </w:r>
            <w:r w:rsidRPr="00DA098E">
              <w:rPr>
                <w:rFonts w:cs="Times New Roman"/>
                <w:sz w:val="20"/>
              </w:rPr>
              <w:t xml:space="preserve">dentify and stabilize </w:t>
            </w:r>
            <w:hyperlink r:id="rId221" w:anchor="se24.1.35_1110" w:tooltip="See 24 CFR §35.110 for the definition of deteriorated paint." w:history="1">
              <w:r w:rsidRPr="00DA098E">
                <w:rPr>
                  <w:rStyle w:val="Hyperlink"/>
                  <w:rFonts w:cs="Times New Roman"/>
                  <w:sz w:val="20"/>
                </w:rPr>
                <w:t>deteriorated paint</w:t>
              </w:r>
            </w:hyperlink>
            <w:r w:rsidRPr="00DA098E">
              <w:rPr>
                <w:rFonts w:cs="Times New Roman"/>
                <w:sz w:val="20"/>
              </w:rPr>
              <w:t>.</w:t>
            </w:r>
          </w:p>
        </w:tc>
      </w:tr>
      <w:tr w:rsidR="00B91A9F" w14:paraId="62B14AE4" w14:textId="77777777" w:rsidTr="004F1682">
        <w:tc>
          <w:tcPr>
            <w:tcW w:w="0" w:type="auto"/>
            <w:vMerge/>
            <w:shd w:val="clear" w:color="auto" w:fill="A48FBB"/>
          </w:tcPr>
          <w:p w14:paraId="2EBB20D8" w14:textId="77777777" w:rsidR="00B91A9F" w:rsidRDefault="00B91A9F" w:rsidP="00FE48F3">
            <w:pPr>
              <w:pStyle w:val="NoSpacing"/>
              <w:rPr>
                <w:rFonts w:cs="Times New Roman"/>
              </w:rPr>
            </w:pPr>
          </w:p>
        </w:tc>
        <w:tc>
          <w:tcPr>
            <w:tcW w:w="2564" w:type="dxa"/>
            <w:shd w:val="clear" w:color="auto" w:fill="CCC0D9"/>
          </w:tcPr>
          <w:p w14:paraId="5BE7C9EC" w14:textId="77777777" w:rsidR="00B91A9F" w:rsidRPr="00DA098E" w:rsidRDefault="00B91A9F" w:rsidP="00FE48F3">
            <w:pPr>
              <w:pStyle w:val="NoSpacing"/>
              <w:rPr>
                <w:rFonts w:cs="Times New Roman"/>
                <w:sz w:val="20"/>
              </w:rPr>
            </w:pPr>
            <w:r w:rsidRPr="00DA098E">
              <w:rPr>
                <w:rFonts w:cs="Times New Roman"/>
                <w:sz w:val="20"/>
              </w:rPr>
              <w:t>Identification method</w:t>
            </w:r>
          </w:p>
        </w:tc>
        <w:tc>
          <w:tcPr>
            <w:tcW w:w="11335" w:type="dxa"/>
            <w:shd w:val="clear" w:color="auto" w:fill="E5DFEC"/>
          </w:tcPr>
          <w:p w14:paraId="663A3933" w14:textId="77777777" w:rsidR="00B91A9F" w:rsidRPr="00DA098E" w:rsidRDefault="00A66919" w:rsidP="00FE48F3">
            <w:pPr>
              <w:pStyle w:val="NoSpacing"/>
              <w:rPr>
                <w:rFonts w:cs="Times New Roman"/>
                <w:sz w:val="20"/>
              </w:rPr>
            </w:pPr>
            <w:hyperlink r:id="rId222" w:anchor="se24.1.35_1110" w:tooltip="See 24 CFR §35.110 for the definition of visual assessment." w:history="1">
              <w:r w:rsidR="00B91A9F" w:rsidRPr="00DA098E">
                <w:rPr>
                  <w:rStyle w:val="Hyperlink"/>
                  <w:rFonts w:cs="Times New Roman"/>
                  <w:sz w:val="20"/>
                </w:rPr>
                <w:t>Visual assessment</w:t>
              </w:r>
            </w:hyperlink>
          </w:p>
        </w:tc>
      </w:tr>
      <w:tr w:rsidR="00B91A9F" w14:paraId="0AB23A4F" w14:textId="77777777" w:rsidTr="004F1682">
        <w:tc>
          <w:tcPr>
            <w:tcW w:w="0" w:type="auto"/>
            <w:vMerge/>
            <w:shd w:val="clear" w:color="auto" w:fill="A48FBB"/>
          </w:tcPr>
          <w:p w14:paraId="46930636" w14:textId="77777777" w:rsidR="00B91A9F" w:rsidRDefault="00B91A9F" w:rsidP="00FE48F3">
            <w:pPr>
              <w:pStyle w:val="NoSpacing"/>
              <w:rPr>
                <w:rFonts w:cs="Times New Roman"/>
              </w:rPr>
            </w:pPr>
          </w:p>
        </w:tc>
        <w:tc>
          <w:tcPr>
            <w:tcW w:w="2564" w:type="dxa"/>
            <w:shd w:val="clear" w:color="auto" w:fill="CCC0D9"/>
          </w:tcPr>
          <w:p w14:paraId="1162295A" w14:textId="77777777" w:rsidR="00B91A9F" w:rsidRPr="00DA098E" w:rsidRDefault="00B91A9F" w:rsidP="00FE48F3">
            <w:pPr>
              <w:pStyle w:val="NoSpacing"/>
              <w:rPr>
                <w:rFonts w:cs="Times New Roman"/>
                <w:sz w:val="20"/>
              </w:rPr>
            </w:pPr>
            <w:r w:rsidRPr="00DA098E">
              <w:rPr>
                <w:rFonts w:cs="Times New Roman"/>
                <w:sz w:val="20"/>
              </w:rPr>
              <w:t>Pre-renovation education</w:t>
            </w:r>
          </w:p>
        </w:tc>
        <w:tc>
          <w:tcPr>
            <w:tcW w:w="11335" w:type="dxa"/>
            <w:shd w:val="clear" w:color="auto" w:fill="E5DFEC"/>
          </w:tcPr>
          <w:p w14:paraId="7DD90C1A" w14:textId="18414E8E" w:rsidR="00B91A9F" w:rsidRPr="00DA098E" w:rsidRDefault="00B91A9F" w:rsidP="00FE48F3">
            <w:pPr>
              <w:pStyle w:val="NoSpacing"/>
              <w:rPr>
                <w:rFonts w:cs="Times New Roman"/>
                <w:sz w:val="20"/>
              </w:rPr>
            </w:pPr>
            <w:r w:rsidRPr="00DA098E">
              <w:rPr>
                <w:rFonts w:cs="Times New Roman"/>
                <w:sz w:val="20"/>
              </w:rPr>
              <w:t xml:space="preserve">Before starting work, the entity performing any renovations must provide a </w:t>
            </w:r>
            <w:hyperlink r:id="rId223" w:history="1">
              <w:r w:rsidRPr="00DA098E">
                <w:rPr>
                  <w:rStyle w:val="Hyperlink"/>
                  <w:rFonts w:cs="Times New Roman"/>
                  <w:sz w:val="20"/>
                </w:rPr>
                <w:t xml:space="preserve">"Renovate </w:t>
              </w:r>
              <w:r w:rsidR="009C621C" w:rsidRPr="00DA098E">
                <w:rPr>
                  <w:rStyle w:val="Hyperlink"/>
                  <w:rFonts w:cs="Times New Roman"/>
                  <w:sz w:val="20"/>
                </w:rPr>
                <w:t>Ri</w:t>
              </w:r>
              <w:r w:rsidR="009C621C">
                <w:rPr>
                  <w:rStyle w:val="Hyperlink"/>
                  <w:rFonts w:cs="Times New Roman"/>
                  <w:sz w:val="20"/>
                </w:rPr>
                <w:t>g</w:t>
              </w:r>
              <w:r w:rsidR="009C621C" w:rsidRPr="00DA098E">
                <w:rPr>
                  <w:rStyle w:val="Hyperlink"/>
                  <w:rFonts w:cs="Times New Roman"/>
                  <w:sz w:val="20"/>
                </w:rPr>
                <w:t>ht</w:t>
              </w:r>
              <w:r w:rsidRPr="00DA098E">
                <w:rPr>
                  <w:rStyle w:val="Hyperlink"/>
                  <w:rFonts w:cs="Times New Roman"/>
                  <w:sz w:val="20"/>
                </w:rPr>
                <w:t>"</w:t>
              </w:r>
            </w:hyperlink>
            <w:r w:rsidRPr="00DA098E">
              <w:rPr>
                <w:rFonts w:cs="Times New Roman"/>
                <w:sz w:val="20"/>
              </w:rPr>
              <w:t xml:space="preserve"> pamphlet to households.</w:t>
            </w:r>
          </w:p>
        </w:tc>
      </w:tr>
      <w:tr w:rsidR="00B91A9F" w14:paraId="25BF8F44" w14:textId="77777777" w:rsidTr="004F1682">
        <w:tc>
          <w:tcPr>
            <w:tcW w:w="0" w:type="auto"/>
            <w:vMerge/>
            <w:shd w:val="clear" w:color="auto" w:fill="A48FBB"/>
          </w:tcPr>
          <w:p w14:paraId="72739BB9" w14:textId="77777777" w:rsidR="00B91A9F" w:rsidRDefault="00B91A9F" w:rsidP="00FE48F3">
            <w:pPr>
              <w:pStyle w:val="NoSpacing"/>
              <w:rPr>
                <w:rFonts w:cs="Times New Roman"/>
              </w:rPr>
            </w:pPr>
          </w:p>
        </w:tc>
        <w:tc>
          <w:tcPr>
            <w:tcW w:w="2564" w:type="dxa"/>
            <w:shd w:val="clear" w:color="auto" w:fill="CCC0D9"/>
          </w:tcPr>
          <w:p w14:paraId="5829FCCB" w14:textId="77777777" w:rsidR="00B91A9F" w:rsidRPr="00DA098E" w:rsidRDefault="00B91A9F" w:rsidP="00FE48F3">
            <w:pPr>
              <w:pStyle w:val="NoSpacing"/>
              <w:rPr>
                <w:rFonts w:cs="Times New Roman"/>
                <w:sz w:val="20"/>
              </w:rPr>
            </w:pPr>
            <w:r w:rsidRPr="00DA098E">
              <w:rPr>
                <w:rFonts w:cs="Times New Roman"/>
                <w:sz w:val="20"/>
              </w:rPr>
              <w:t>Lead hazard reduction</w:t>
            </w:r>
          </w:p>
        </w:tc>
        <w:tc>
          <w:tcPr>
            <w:tcW w:w="11335" w:type="dxa"/>
            <w:shd w:val="clear" w:color="auto" w:fill="E5DFEC"/>
          </w:tcPr>
          <w:p w14:paraId="5DD3E9DC" w14:textId="77777777" w:rsidR="00B91A9F" w:rsidRPr="00DA098E" w:rsidRDefault="00A66919" w:rsidP="00FE48F3">
            <w:pPr>
              <w:pStyle w:val="NoSpacing"/>
              <w:rPr>
                <w:rFonts w:cs="Times New Roman"/>
                <w:sz w:val="20"/>
              </w:rPr>
            </w:pPr>
            <w:hyperlink r:id="rId224" w:anchor="se24.1.35_11330" w:tooltip="See §35.1330(b) for paint stabilization." w:history="1">
              <w:r w:rsidR="00B91A9F" w:rsidRPr="00DA098E">
                <w:rPr>
                  <w:rStyle w:val="Hyperlink"/>
                  <w:rFonts w:cs="Times New Roman"/>
                  <w:sz w:val="20"/>
                </w:rPr>
                <w:t>Paint stabilization</w:t>
              </w:r>
            </w:hyperlink>
            <w:r w:rsidR="00B91A9F" w:rsidRPr="00DA098E">
              <w:rPr>
                <w:rFonts w:cs="Times New Roman"/>
                <w:sz w:val="20"/>
              </w:rPr>
              <w:t xml:space="preserve"> using </w:t>
            </w:r>
            <w:hyperlink r:id="rId225" w:anchor="se24.1.35_11350" w:tooltip="See §35.1350 for safe work practices." w:history="1">
              <w:r w:rsidR="00B91A9F" w:rsidRPr="00DA098E">
                <w:rPr>
                  <w:rStyle w:val="Hyperlink"/>
                  <w:rFonts w:cs="Times New Roman"/>
                  <w:sz w:val="20"/>
                </w:rPr>
                <w:t>safe work practices</w:t>
              </w:r>
            </w:hyperlink>
            <w:r w:rsidR="00B91A9F" w:rsidRPr="00DA098E">
              <w:rPr>
                <w:rFonts w:cs="Times New Roman"/>
                <w:sz w:val="20"/>
              </w:rPr>
              <w:t xml:space="preserve"> and </w:t>
            </w:r>
            <w:hyperlink r:id="rId226" w:anchor="se24.1.35_11345" w:tooltip="See §35.1345 for occupant protection and worksite preparation." w:history="1">
              <w:r w:rsidR="00B91A9F" w:rsidRPr="00DA098E">
                <w:rPr>
                  <w:rStyle w:val="Hyperlink"/>
                  <w:rFonts w:cs="Times New Roman"/>
                  <w:sz w:val="20"/>
                </w:rPr>
                <w:t>occupant protection</w:t>
              </w:r>
            </w:hyperlink>
            <w:r w:rsidR="00B91A9F" w:rsidRPr="00DA098E">
              <w:rPr>
                <w:rFonts w:cs="Times New Roman"/>
                <w:sz w:val="20"/>
              </w:rPr>
              <w:t xml:space="preserve"> performed with proper </w:t>
            </w:r>
            <w:hyperlink r:id="rId227" w:anchor="se24.1.35_11330" w:tooltip="See §35.1330(a)(4) for training requirements." w:history="1">
              <w:r w:rsidR="00B91A9F" w:rsidRPr="00DA098E">
                <w:rPr>
                  <w:rStyle w:val="Hyperlink"/>
                  <w:rFonts w:cs="Times New Roman"/>
                  <w:sz w:val="20"/>
                </w:rPr>
                <w:t>training</w:t>
              </w:r>
            </w:hyperlink>
            <w:r w:rsidR="00B91A9F" w:rsidRPr="00DA098E">
              <w:rPr>
                <w:rFonts w:cs="Times New Roman"/>
                <w:sz w:val="20"/>
              </w:rPr>
              <w:t xml:space="preserve"> or supervision.</w:t>
            </w:r>
          </w:p>
        </w:tc>
      </w:tr>
      <w:tr w:rsidR="00B91A9F" w14:paraId="73BFD28E" w14:textId="77777777" w:rsidTr="004F1682">
        <w:tc>
          <w:tcPr>
            <w:tcW w:w="0" w:type="auto"/>
            <w:vMerge/>
            <w:shd w:val="clear" w:color="auto" w:fill="A48FBB"/>
          </w:tcPr>
          <w:p w14:paraId="40E7DE39" w14:textId="77777777" w:rsidR="00B91A9F" w:rsidRDefault="00B91A9F" w:rsidP="00FE48F3">
            <w:pPr>
              <w:pStyle w:val="NoSpacing"/>
              <w:rPr>
                <w:rFonts w:cs="Times New Roman"/>
              </w:rPr>
            </w:pPr>
          </w:p>
        </w:tc>
        <w:tc>
          <w:tcPr>
            <w:tcW w:w="2564" w:type="dxa"/>
            <w:shd w:val="clear" w:color="auto" w:fill="CCC0D9"/>
          </w:tcPr>
          <w:p w14:paraId="1A45053B" w14:textId="77777777" w:rsidR="00B91A9F" w:rsidRPr="00DA098E" w:rsidRDefault="00B91A9F" w:rsidP="00FE48F3">
            <w:pPr>
              <w:pStyle w:val="NoSpacing"/>
              <w:rPr>
                <w:rFonts w:cs="Times New Roman"/>
                <w:sz w:val="20"/>
              </w:rPr>
            </w:pPr>
            <w:r w:rsidRPr="00DA098E">
              <w:rPr>
                <w:rFonts w:cs="Times New Roman"/>
                <w:sz w:val="20"/>
              </w:rPr>
              <w:t>Clearance and notification</w:t>
            </w:r>
          </w:p>
        </w:tc>
        <w:tc>
          <w:tcPr>
            <w:tcW w:w="11335" w:type="dxa"/>
            <w:shd w:val="clear" w:color="auto" w:fill="E5DFEC"/>
          </w:tcPr>
          <w:p w14:paraId="64E657B6" w14:textId="38638404" w:rsidR="00B91A9F" w:rsidRPr="00DA098E" w:rsidRDefault="00A66919" w:rsidP="00FE48F3">
            <w:pPr>
              <w:pStyle w:val="NoSpacing"/>
              <w:rPr>
                <w:rFonts w:cs="Times New Roman"/>
                <w:sz w:val="20"/>
              </w:rPr>
            </w:pPr>
            <w:hyperlink r:id="rId228" w:anchor="se24.1.35_11340" w:tooltip="See §35.1340 for clearance." w:history="1">
              <w:r w:rsidR="00B91A9F" w:rsidRPr="00DA098E">
                <w:rPr>
                  <w:rStyle w:val="Hyperlink"/>
                  <w:rFonts w:cs="Times New Roman"/>
                  <w:sz w:val="20"/>
                </w:rPr>
                <w:t>Clearance</w:t>
              </w:r>
            </w:hyperlink>
            <w:r w:rsidR="00B91A9F" w:rsidRPr="00DA098E">
              <w:rPr>
                <w:rFonts w:cs="Times New Roman"/>
                <w:sz w:val="20"/>
              </w:rPr>
              <w:t xml:space="preserve"> </w:t>
            </w:r>
            <w:r w:rsidR="003A4020">
              <w:rPr>
                <w:rFonts w:cs="Times New Roman"/>
                <w:sz w:val="20"/>
              </w:rPr>
              <w:t>must occur</w:t>
            </w:r>
            <w:r w:rsidR="00B91A9F" w:rsidRPr="00DA098E">
              <w:rPr>
                <w:rFonts w:cs="Times New Roman"/>
                <w:sz w:val="20"/>
              </w:rPr>
              <w:t xml:space="preserve"> following </w:t>
            </w:r>
            <w:hyperlink r:id="rId229" w:anchor="se24.1.35_11325" w:tooltip="See §35.1325 for abatement." w:history="1">
              <w:r w:rsidR="00B91A9F" w:rsidRPr="00DA098E">
                <w:rPr>
                  <w:rStyle w:val="Hyperlink"/>
                  <w:rFonts w:cs="Times New Roman"/>
                  <w:sz w:val="20"/>
                </w:rPr>
                <w:t>abatement</w:t>
              </w:r>
            </w:hyperlink>
            <w:r w:rsidR="00B91A9F" w:rsidRPr="00DA098E">
              <w:rPr>
                <w:rFonts w:cs="Times New Roman"/>
                <w:sz w:val="20"/>
              </w:rPr>
              <w:t xml:space="preserve">, </w:t>
            </w:r>
            <w:hyperlink r:id="rId230" w:anchor="se24.1.35_11330" w:tooltip="See §35.1330 for interim controls." w:history="1">
              <w:r w:rsidR="00B91A9F" w:rsidRPr="00DA098E">
                <w:rPr>
                  <w:rStyle w:val="Hyperlink"/>
                  <w:rFonts w:cs="Times New Roman"/>
                  <w:sz w:val="20"/>
                </w:rPr>
                <w:t>interim controls</w:t>
              </w:r>
            </w:hyperlink>
            <w:r w:rsidR="00B91A9F" w:rsidRPr="00DA098E">
              <w:rPr>
                <w:rFonts w:cs="Times New Roman"/>
                <w:sz w:val="20"/>
              </w:rPr>
              <w:t xml:space="preserve">, and </w:t>
            </w:r>
            <w:hyperlink r:id="rId231" w:anchor="se24.1.35_11330" w:tooltip="See §35.1330(b) for paint stabilization." w:history="1">
              <w:r w:rsidR="00B91A9F" w:rsidRPr="00DA098E">
                <w:rPr>
                  <w:rStyle w:val="Hyperlink"/>
                  <w:rFonts w:cs="Times New Roman"/>
                  <w:sz w:val="20"/>
                </w:rPr>
                <w:t>paint stabilization</w:t>
              </w:r>
            </w:hyperlink>
            <w:r w:rsidR="00B91A9F" w:rsidRPr="00DA098E">
              <w:rPr>
                <w:rFonts w:cs="Times New Roman"/>
                <w:sz w:val="20"/>
              </w:rPr>
              <w:t xml:space="preserve"> (unless the area controlled or stabilized is less than the </w:t>
            </w:r>
            <w:hyperlink r:id="rId232" w:anchor="se24.1.35_11350" w:tooltip="See §35.1350(d) for the definition of de minimis levels." w:history="1">
              <w:r w:rsidR="00B91A9F" w:rsidRPr="00DA098E">
                <w:rPr>
                  <w:rStyle w:val="Hyperlink"/>
                  <w:rFonts w:cs="Times New Roman"/>
                  <w:sz w:val="20"/>
                </w:rPr>
                <w:t>de minimis</w:t>
              </w:r>
            </w:hyperlink>
            <w:r w:rsidR="00B91A9F" w:rsidRPr="00DA098E">
              <w:rPr>
                <w:rFonts w:cs="Times New Roman"/>
                <w:sz w:val="20"/>
              </w:rPr>
              <w:t xml:space="preserve"> level). Upon completion of the work, the owner must provide a notification to the household describing the hazard reduction activities and a copy of the clearance report.</w:t>
            </w:r>
          </w:p>
        </w:tc>
      </w:tr>
      <w:tr w:rsidR="00B91A9F" w14:paraId="2B63EED8" w14:textId="77777777" w:rsidTr="004F1682">
        <w:tc>
          <w:tcPr>
            <w:tcW w:w="0" w:type="auto"/>
            <w:vMerge/>
            <w:shd w:val="clear" w:color="auto" w:fill="A48FBB"/>
          </w:tcPr>
          <w:p w14:paraId="20FD91F1" w14:textId="77777777" w:rsidR="00B91A9F" w:rsidRPr="0053449D" w:rsidRDefault="00B91A9F" w:rsidP="00FE48F3">
            <w:pPr>
              <w:pStyle w:val="NoSpacing"/>
            </w:pPr>
          </w:p>
        </w:tc>
        <w:tc>
          <w:tcPr>
            <w:tcW w:w="2564" w:type="dxa"/>
            <w:shd w:val="clear" w:color="auto" w:fill="CCC0D9"/>
          </w:tcPr>
          <w:p w14:paraId="3AD483DF" w14:textId="77777777" w:rsidR="00B91A9F" w:rsidRPr="00DA098E" w:rsidRDefault="00B91A9F" w:rsidP="00FE48F3">
            <w:pPr>
              <w:pStyle w:val="NoSpacing"/>
              <w:rPr>
                <w:rFonts w:cs="Times New Roman"/>
                <w:sz w:val="20"/>
              </w:rPr>
            </w:pPr>
            <w:r w:rsidRPr="00DA098E">
              <w:rPr>
                <w:sz w:val="20"/>
              </w:rPr>
              <w:t>Ongoing maintenance</w:t>
            </w:r>
          </w:p>
        </w:tc>
        <w:tc>
          <w:tcPr>
            <w:tcW w:w="11335" w:type="dxa"/>
            <w:shd w:val="clear" w:color="auto" w:fill="E5DFEC"/>
          </w:tcPr>
          <w:p w14:paraId="05D3DA22" w14:textId="37600566" w:rsidR="00B91A9F" w:rsidRPr="00DA098E" w:rsidRDefault="00B91A9F" w:rsidP="00FE48F3">
            <w:pPr>
              <w:pStyle w:val="NoSpacing"/>
              <w:rPr>
                <w:rFonts w:cs="Times New Roman"/>
                <w:sz w:val="20"/>
              </w:rPr>
            </w:pPr>
            <w:r w:rsidRPr="00DA098E">
              <w:rPr>
                <w:rFonts w:cs="Times New Roman"/>
                <w:sz w:val="20"/>
              </w:rPr>
              <w:t xml:space="preserve">If </w:t>
            </w:r>
            <w:r w:rsidR="00172F54">
              <w:rPr>
                <w:rFonts w:cs="Times New Roman"/>
                <w:sz w:val="20"/>
              </w:rPr>
              <w:t xml:space="preserve">the program has an ongoing relationship with the property and </w:t>
            </w:r>
            <w:r w:rsidRPr="00DA098E">
              <w:rPr>
                <w:rFonts w:cs="Times New Roman"/>
                <w:sz w:val="20"/>
              </w:rPr>
              <w:t xml:space="preserve">LBP is still present, </w:t>
            </w:r>
            <w:hyperlink r:id="rId233" w:anchor="se24.1.35_11355" w:tooltip="See §35.1355 for ongoing lead-based paint maintenance and reevaluation activities." w:history="1">
              <w:r w:rsidRPr="00DA098E">
                <w:rPr>
                  <w:rStyle w:val="Hyperlink"/>
                  <w:rFonts w:cs="Times New Roman"/>
                  <w:sz w:val="20"/>
                </w:rPr>
                <w:t>ongoing maintenance</w:t>
              </w:r>
            </w:hyperlink>
            <w:r w:rsidRPr="00DA098E">
              <w:rPr>
                <w:rFonts w:cs="Times New Roman"/>
                <w:sz w:val="20"/>
              </w:rPr>
              <w:t xml:space="preserve"> includes annual visual assessment</w:t>
            </w:r>
            <w:r>
              <w:rPr>
                <w:rFonts w:cs="Times New Roman"/>
                <w:sz w:val="20"/>
              </w:rPr>
              <w:t>s</w:t>
            </w:r>
            <w:r w:rsidRPr="00DA098E">
              <w:rPr>
                <w:rFonts w:cs="Times New Roman"/>
                <w:sz w:val="20"/>
              </w:rPr>
              <w:t xml:space="preserve"> to check for failed lead hazard reduction work or deteriorated paint. Owners must again undertake lead hazard reduction, pass clearance, and provide notice to residents.</w:t>
            </w:r>
          </w:p>
        </w:tc>
      </w:tr>
      <w:tr w:rsidR="00B91A9F" w14:paraId="1EEE92FB" w14:textId="77777777" w:rsidTr="004F1682">
        <w:trPr>
          <w:trHeight w:val="2600"/>
        </w:trPr>
        <w:tc>
          <w:tcPr>
            <w:tcW w:w="0" w:type="auto"/>
            <w:vMerge/>
            <w:shd w:val="clear" w:color="auto" w:fill="A48FBB"/>
          </w:tcPr>
          <w:p w14:paraId="33CE998E" w14:textId="77777777" w:rsidR="00B91A9F" w:rsidRPr="00714248" w:rsidRDefault="00B91A9F" w:rsidP="00FE48F3">
            <w:pPr>
              <w:pStyle w:val="NoSpacing"/>
              <w:rPr>
                <w:rFonts w:cs="Times New Roman"/>
              </w:rPr>
            </w:pPr>
          </w:p>
        </w:tc>
        <w:tc>
          <w:tcPr>
            <w:tcW w:w="2564" w:type="dxa"/>
            <w:shd w:val="clear" w:color="auto" w:fill="CCC0D9"/>
          </w:tcPr>
          <w:p w14:paraId="17E5A232" w14:textId="77777777" w:rsidR="00B91A9F" w:rsidRPr="00DA098E" w:rsidRDefault="00B91A9F" w:rsidP="00FE48F3">
            <w:pPr>
              <w:pStyle w:val="NoSpacing"/>
              <w:rPr>
                <w:rFonts w:cs="Times New Roman"/>
                <w:sz w:val="20"/>
              </w:rPr>
            </w:pPr>
            <w:r w:rsidRPr="00DA098E">
              <w:rPr>
                <w:rFonts w:cs="Times New Roman"/>
                <w:sz w:val="20"/>
              </w:rPr>
              <w:t>Options</w:t>
            </w:r>
          </w:p>
        </w:tc>
        <w:tc>
          <w:tcPr>
            <w:tcW w:w="11335" w:type="dxa"/>
            <w:shd w:val="clear" w:color="auto" w:fill="E5DFEC"/>
          </w:tcPr>
          <w:p w14:paraId="5F8C2830" w14:textId="77777777" w:rsidR="00B91A9F" w:rsidRPr="00DA098E" w:rsidRDefault="00A66919" w:rsidP="00FE48F3">
            <w:pPr>
              <w:pStyle w:val="NoSpacing"/>
              <w:rPr>
                <w:rFonts w:cs="Times New Roman"/>
                <w:sz w:val="20"/>
              </w:rPr>
            </w:pPr>
            <w:hyperlink r:id="rId234" w:anchor="se24.1.35_1120" w:tooltip="See §35.120(d) for the option to conduct paint testing." w:history="1">
              <w:r w:rsidR="00B91A9F" w:rsidRPr="00DA098E">
                <w:rPr>
                  <w:rStyle w:val="Hyperlink"/>
                  <w:rFonts w:cs="Times New Roman"/>
                  <w:sz w:val="20"/>
                </w:rPr>
                <w:t>Paint testing</w:t>
              </w:r>
            </w:hyperlink>
            <w:r w:rsidR="00B91A9F" w:rsidRPr="00DA098E">
              <w:rPr>
                <w:rFonts w:cs="Times New Roman"/>
                <w:sz w:val="20"/>
              </w:rPr>
              <w:t>. Use safe work practices only on LBP surfaces.</w:t>
            </w:r>
          </w:p>
        </w:tc>
      </w:tr>
    </w:tbl>
    <w:p w14:paraId="01C35A81" w14:textId="3F19A2BF" w:rsidR="001720E4" w:rsidRPr="004F1682" w:rsidRDefault="001720E4">
      <w:pPr>
        <w:pStyle w:val="NoSpacing"/>
        <w:rPr>
          <w:rFonts w:cs="Times New Roman"/>
        </w:rPr>
      </w:pPr>
    </w:p>
    <w:p w14:paraId="558541C4" w14:textId="77777777" w:rsidR="00C05FFD" w:rsidRDefault="00C05FFD">
      <w:pPr>
        <w:pStyle w:val="NoSpacing"/>
        <w:rPr>
          <w:rFonts w:cs="Times New Roman"/>
          <w:sz w:val="2"/>
        </w:rPr>
      </w:pPr>
    </w:p>
    <w:p w14:paraId="5DEDE2F9" w14:textId="77777777" w:rsidR="001720E4" w:rsidRPr="00DA098E" w:rsidRDefault="001720E4">
      <w:pPr>
        <w:pStyle w:val="NoSpacing"/>
        <w:rPr>
          <w:rFonts w:cs="Times New Roman"/>
          <w:sz w:val="2"/>
        </w:rPr>
        <w:sectPr w:rsidR="001720E4" w:rsidRPr="00DA098E" w:rsidSect="00DA098E">
          <w:pgSz w:w="15840" w:h="12240" w:orient="landscape"/>
          <w:pgMar w:top="720" w:right="720" w:bottom="720" w:left="720" w:header="504" w:footer="504" w:gutter="0"/>
          <w:pgBorders w:offsetFrom="page">
            <w:top w:val="single" w:sz="4" w:space="24" w:color="BFBFBF" w:themeColor="background1" w:themeShade="BF"/>
            <w:left w:val="single" w:sz="4" w:space="24" w:color="BFBFBF" w:themeColor="background1" w:themeShade="BF"/>
            <w:bottom w:val="single" w:sz="4" w:space="24" w:color="BFBFBF" w:themeColor="background1" w:themeShade="BF"/>
            <w:right w:val="single" w:sz="4" w:space="24" w:color="BFBFBF" w:themeColor="background1" w:themeShade="BF"/>
          </w:pgBorders>
          <w:cols w:space="720"/>
          <w:docGrid w:linePitch="360"/>
        </w:sectPr>
      </w:pPr>
    </w:p>
    <w:p w14:paraId="3D035DF1" w14:textId="363DED7C" w:rsidR="002570ED" w:rsidRDefault="002570ED">
      <w:pPr>
        <w:pStyle w:val="NoSpacing"/>
        <w:rPr>
          <w:rFonts w:cs="Times New Roman"/>
        </w:rPr>
      </w:pPr>
    </w:p>
    <w:p w14:paraId="595A20FF" w14:textId="63F56678" w:rsidR="002570ED" w:rsidRDefault="0013550B">
      <w:pPr>
        <w:pStyle w:val="NoSpacing"/>
        <w:rPr>
          <w:rFonts w:cs="Times New Roman"/>
        </w:rPr>
      </w:pPr>
      <w:r>
        <w:rPr>
          <w:rFonts w:cs="Times New Roman"/>
        </w:rPr>
        <w:pict w14:anchorId="1C4CA2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697.5pt">
            <v:imagedata r:id="rId235" o:title="Subpart M EBLL Flowchart"/>
          </v:shape>
        </w:pict>
      </w:r>
    </w:p>
    <w:p w14:paraId="42C7C269" w14:textId="06497FBE" w:rsidR="00BD32EF" w:rsidRPr="00DA098E" w:rsidRDefault="00BD32EF" w:rsidP="00DA098E">
      <w:pPr>
        <w:pStyle w:val="NoSpacing"/>
        <w:rPr>
          <w:sz w:val="2"/>
        </w:rPr>
      </w:pPr>
      <w:r w:rsidRPr="00DA098E">
        <w:rPr>
          <w:sz w:val="2"/>
        </w:rPr>
        <w:br w:type="page"/>
      </w:r>
    </w:p>
    <w:p w14:paraId="54214161" w14:textId="498D7275" w:rsidR="009C0E78" w:rsidRPr="004D594B" w:rsidRDefault="009C0E78" w:rsidP="009C0E78">
      <w:pPr>
        <w:pStyle w:val="Heading2"/>
        <w:jc w:val="center"/>
        <w:rPr>
          <w:rFonts w:asciiTheme="minorHAnsi" w:hAnsiTheme="minorHAnsi"/>
          <w:color w:val="auto"/>
          <w:sz w:val="22"/>
          <w:szCs w:val="22"/>
        </w:rPr>
      </w:pPr>
      <w:bookmarkStart w:id="65" w:name="_Toc140755488"/>
      <w:r w:rsidRPr="004D594B">
        <w:rPr>
          <w:rStyle w:val="Strong"/>
          <w:rFonts w:asciiTheme="minorHAnsi" w:hAnsiTheme="minorHAnsi"/>
          <w:bCs/>
          <w:color w:val="auto"/>
          <w:sz w:val="22"/>
          <w:szCs w:val="22"/>
        </w:rPr>
        <w:lastRenderedPageBreak/>
        <w:t>Appendix C: Permanent Housing Placement Accounting Guidelines</w:t>
      </w:r>
      <w:bookmarkEnd w:id="65"/>
    </w:p>
    <w:p w14:paraId="0F739A8F" w14:textId="77777777" w:rsidR="009C0E78" w:rsidRPr="009C0E78" w:rsidRDefault="009C0E78" w:rsidP="002E7D64">
      <w:pPr>
        <w:pStyle w:val="NoSpacing"/>
        <w:rPr>
          <w:rFonts w:cs="Times New Roman"/>
          <w:sz w:val="16"/>
        </w:rPr>
      </w:pPr>
    </w:p>
    <w:p w14:paraId="18AE1F09" w14:textId="1C326389" w:rsidR="002E7D64" w:rsidRDefault="002E7D64" w:rsidP="002E7D64">
      <w:pPr>
        <w:pStyle w:val="NoSpacing"/>
        <w:rPr>
          <w:rFonts w:cs="Times New Roman"/>
          <w:b/>
          <w:u w:val="single"/>
        </w:rPr>
      </w:pPr>
      <w:r w:rsidRPr="00ED208F">
        <w:rPr>
          <w:rFonts w:cs="Times New Roman"/>
          <w:b/>
          <w:u w:val="single"/>
        </w:rPr>
        <w:t>Accounting Entries for Security</w:t>
      </w:r>
      <w:r w:rsidR="00A3153F">
        <w:rPr>
          <w:rFonts w:cs="Times New Roman"/>
          <w:b/>
          <w:u w:val="single"/>
        </w:rPr>
        <w:t xml:space="preserve"> and </w:t>
      </w:r>
      <w:r w:rsidR="001A296F">
        <w:rPr>
          <w:rFonts w:cs="Times New Roman"/>
          <w:b/>
          <w:u w:val="single"/>
        </w:rPr>
        <w:t xml:space="preserve">Utility </w:t>
      </w:r>
      <w:r w:rsidRPr="00ED208F">
        <w:rPr>
          <w:rFonts w:cs="Times New Roman"/>
          <w:b/>
          <w:u w:val="single"/>
        </w:rPr>
        <w:t>Deposit Payments and Refunds</w:t>
      </w:r>
    </w:p>
    <w:p w14:paraId="7D1C6AB3" w14:textId="28D0D7F1" w:rsidR="00961500" w:rsidRPr="00ED208F" w:rsidRDefault="00461AE2" w:rsidP="002E7D64">
      <w:pPr>
        <w:pStyle w:val="NoSpacing"/>
        <w:rPr>
          <w:rFonts w:cs="Times New Roman"/>
        </w:rPr>
      </w:pPr>
      <w:r>
        <w:rPr>
          <w:rFonts w:cs="Times New Roman"/>
        </w:rPr>
        <w:t>PHP can pay s</w:t>
      </w:r>
      <w:r w:rsidR="00961500" w:rsidRPr="00ED208F">
        <w:rPr>
          <w:rFonts w:cs="Times New Roman"/>
        </w:rPr>
        <w:t xml:space="preserve">ecurity </w:t>
      </w:r>
      <w:r w:rsidR="001A296F">
        <w:rPr>
          <w:rFonts w:cs="Times New Roman"/>
        </w:rPr>
        <w:t xml:space="preserve">and utility </w:t>
      </w:r>
      <w:r w:rsidR="00961500" w:rsidRPr="00ED208F">
        <w:rPr>
          <w:rFonts w:cs="Times New Roman"/>
        </w:rPr>
        <w:t xml:space="preserve">deposits to the extent the cost conforms to the general policies and principles stated in </w:t>
      </w:r>
      <w:hyperlink r:id="rId236" w:history="1">
        <w:r w:rsidR="00B513B7">
          <w:rPr>
            <w:rStyle w:val="Hyperlink"/>
          </w:rPr>
          <w:t>Texas Grant Management Standards</w:t>
        </w:r>
      </w:hyperlink>
      <w:r w:rsidR="004A4769">
        <w:rPr>
          <w:rFonts w:cs="Times New Roman"/>
        </w:rPr>
        <w:t xml:space="preserve">. </w:t>
      </w:r>
      <w:r w:rsidR="008E4842">
        <w:rPr>
          <w:rFonts w:cs="Times New Roman"/>
        </w:rPr>
        <w:t>Project Sponsors must maintain a</w:t>
      </w:r>
      <w:r w:rsidR="00961500" w:rsidRPr="00ED208F">
        <w:rPr>
          <w:rFonts w:cs="Times New Roman"/>
        </w:rPr>
        <w:t>dequate records and supporting documentation for all deposits. A record of individual deposits should be maintained in a subsidiary ledger that post</w:t>
      </w:r>
      <w:r w:rsidR="000A1556">
        <w:rPr>
          <w:rFonts w:cs="Times New Roman"/>
        </w:rPr>
        <w:t>s</w:t>
      </w:r>
      <w:r w:rsidR="00961500" w:rsidRPr="00ED208F">
        <w:rPr>
          <w:rFonts w:cs="Times New Roman"/>
        </w:rPr>
        <w:t xml:space="preserve"> to the general ledger. The subsidiary ledger should be reconciled </w:t>
      </w:r>
      <w:proofErr w:type="gramStart"/>
      <w:r w:rsidR="00961500" w:rsidRPr="00ED208F">
        <w:rPr>
          <w:rFonts w:cs="Times New Roman"/>
        </w:rPr>
        <w:t>on a monthly basis</w:t>
      </w:r>
      <w:proofErr w:type="gramEnd"/>
      <w:r w:rsidR="00961500" w:rsidRPr="00ED208F">
        <w:rPr>
          <w:rFonts w:cs="Times New Roman"/>
        </w:rPr>
        <w:t xml:space="preserve"> to the general ledger control account. Outlays for security deposits will be reflected as assets until returned to the </w:t>
      </w:r>
      <w:r w:rsidR="008E4842">
        <w:rPr>
          <w:rFonts w:cs="Times New Roman"/>
        </w:rPr>
        <w:t>Project Sponsor</w:t>
      </w:r>
      <w:r w:rsidR="00961500" w:rsidRPr="00ED208F">
        <w:rPr>
          <w:rFonts w:cs="Times New Roman"/>
        </w:rPr>
        <w:t xml:space="preserve">. Any funds returned to the </w:t>
      </w:r>
      <w:r w:rsidR="008E4842">
        <w:rPr>
          <w:rFonts w:cs="Times New Roman"/>
        </w:rPr>
        <w:t>Project Sponsor</w:t>
      </w:r>
      <w:r w:rsidR="008E4842" w:rsidRPr="00ED208F">
        <w:rPr>
          <w:rFonts w:cs="Times New Roman"/>
        </w:rPr>
        <w:t xml:space="preserve"> </w:t>
      </w:r>
      <w:r w:rsidR="00961500" w:rsidRPr="00ED208F">
        <w:rPr>
          <w:rFonts w:cs="Times New Roman"/>
        </w:rPr>
        <w:t>will be treated as applicable credits towards program expenses in the year recovered</w:t>
      </w:r>
      <w:r w:rsidR="00697CA7">
        <w:rPr>
          <w:rFonts w:cs="Times New Roman"/>
        </w:rPr>
        <w:t xml:space="preserve">. </w:t>
      </w:r>
      <w:r w:rsidR="00697CA7" w:rsidRPr="00CA332F">
        <w:rPr>
          <w:rFonts w:cs="Times New Roman"/>
        </w:rPr>
        <w:t xml:space="preserve">Deposit refunds (credits) should be reported on the Program Income line on Form </w:t>
      </w:r>
      <w:proofErr w:type="spellStart"/>
      <w:r w:rsidR="00697CA7" w:rsidRPr="00CA332F">
        <w:rPr>
          <w:rFonts w:cs="Times New Roman"/>
        </w:rPr>
        <w:t>269a</w:t>
      </w:r>
      <w:proofErr w:type="spellEnd"/>
      <w:r w:rsidR="00697CA7" w:rsidRPr="00CA332F">
        <w:rPr>
          <w:rFonts w:cs="Times New Roman"/>
        </w:rPr>
        <w:t>, Financial Status Report.</w:t>
      </w:r>
      <w:r w:rsidR="00697CA7">
        <w:rPr>
          <w:rFonts w:cs="Times New Roman"/>
        </w:rPr>
        <w:t xml:space="preserve"> </w:t>
      </w:r>
      <w:r w:rsidR="00697CA7" w:rsidRPr="00CA332F">
        <w:rPr>
          <w:rFonts w:cs="Times New Roman"/>
        </w:rPr>
        <w:t xml:space="preserve">Questions about accounting for security </w:t>
      </w:r>
      <w:r w:rsidR="00697CA7">
        <w:rPr>
          <w:rFonts w:cs="Times New Roman"/>
        </w:rPr>
        <w:t xml:space="preserve">and utility </w:t>
      </w:r>
      <w:r w:rsidR="00697CA7" w:rsidRPr="00CA332F">
        <w:rPr>
          <w:rFonts w:cs="Times New Roman"/>
        </w:rPr>
        <w:t xml:space="preserve">deposits should be addressed to the DSHS </w:t>
      </w:r>
      <w:r w:rsidR="0070665B">
        <w:rPr>
          <w:rFonts w:cs="Times New Roman"/>
        </w:rPr>
        <w:t>HOPWA Coordinator</w:t>
      </w:r>
      <w:r w:rsidR="00697CA7">
        <w:rPr>
          <w:rFonts w:cs="Times New Roman"/>
        </w:rPr>
        <w:t>.</w:t>
      </w:r>
    </w:p>
    <w:p w14:paraId="3C544141" w14:textId="77777777" w:rsidR="00961500" w:rsidRDefault="00961500">
      <w:pPr>
        <w:pStyle w:val="NoSpacing"/>
        <w:rPr>
          <w:rFonts w:cs="Times New Roman"/>
          <w:b/>
        </w:rPr>
      </w:pPr>
    </w:p>
    <w:p w14:paraId="5DBFD544" w14:textId="00D8C752" w:rsidR="002E7D64" w:rsidRPr="00ED208F" w:rsidRDefault="001A296F">
      <w:pPr>
        <w:pStyle w:val="NoSpacing"/>
        <w:rPr>
          <w:rFonts w:cs="Times New Roman"/>
          <w:b/>
        </w:rPr>
      </w:pPr>
      <w:r w:rsidRPr="001A296F">
        <w:rPr>
          <w:rFonts w:cs="Times New Roman"/>
          <w:b/>
        </w:rPr>
        <w:t>Security/Utility</w:t>
      </w:r>
      <w:r>
        <w:rPr>
          <w:rFonts w:cs="Times New Roman"/>
          <w:b/>
        </w:rPr>
        <w:t xml:space="preserve"> </w:t>
      </w:r>
      <w:r w:rsidR="002E7D64" w:rsidRPr="00ED208F">
        <w:rPr>
          <w:rFonts w:cs="Times New Roman"/>
          <w:b/>
        </w:rPr>
        <w:t>Deposit Payment Entries</w:t>
      </w:r>
    </w:p>
    <w:p w14:paraId="0F260AB0" w14:textId="31D11CF0" w:rsidR="002E7D64" w:rsidRDefault="002E7D64" w:rsidP="00ED208F">
      <w:pPr>
        <w:pStyle w:val="NoSpacing"/>
        <w:numPr>
          <w:ilvl w:val="0"/>
          <w:numId w:val="77"/>
        </w:numPr>
        <w:rPr>
          <w:rFonts w:cs="Times New Roman"/>
        </w:rPr>
      </w:pPr>
      <w:r w:rsidRPr="002E7D64">
        <w:rPr>
          <w:rFonts w:cs="Times New Roman"/>
        </w:rPr>
        <w:t>Recording the payment</w:t>
      </w:r>
    </w:p>
    <w:p w14:paraId="480F7954" w14:textId="32414C27" w:rsidR="002E7D64" w:rsidRDefault="001A296F" w:rsidP="00ED208F">
      <w:pPr>
        <w:pStyle w:val="NoSpacing"/>
        <w:numPr>
          <w:ilvl w:val="1"/>
          <w:numId w:val="77"/>
        </w:numPr>
        <w:rPr>
          <w:rFonts w:cs="Times New Roman"/>
        </w:rPr>
      </w:pPr>
      <w:r>
        <w:rPr>
          <w:rFonts w:cs="Times New Roman"/>
        </w:rPr>
        <w:t xml:space="preserve">Debit: Security/Utility </w:t>
      </w:r>
      <w:r w:rsidR="002E7D64" w:rsidRPr="00404FF0">
        <w:rPr>
          <w:rFonts w:cs="Times New Roman"/>
        </w:rPr>
        <w:t>Deposits Exp</w:t>
      </w:r>
      <w:r w:rsidR="00190771">
        <w:rPr>
          <w:rFonts w:cs="Times New Roman"/>
        </w:rPr>
        <w:t>ense (n</w:t>
      </w:r>
      <w:r w:rsidR="002E7D64" w:rsidRPr="00404FF0">
        <w:rPr>
          <w:rFonts w:cs="Times New Roman"/>
        </w:rPr>
        <w:t xml:space="preserve">ame of </w:t>
      </w:r>
      <w:r w:rsidR="00190771">
        <w:rPr>
          <w:rFonts w:cs="Times New Roman"/>
        </w:rPr>
        <w:t>p</w:t>
      </w:r>
      <w:r w:rsidR="002E7D64" w:rsidRPr="00404FF0">
        <w:rPr>
          <w:rFonts w:cs="Times New Roman"/>
        </w:rPr>
        <w:t>ayee</w:t>
      </w:r>
      <w:r w:rsidR="00A3153F">
        <w:rPr>
          <w:rFonts w:cs="Times New Roman"/>
        </w:rPr>
        <w:t xml:space="preserve"> and </w:t>
      </w:r>
      <w:r w:rsidR="00190771">
        <w:rPr>
          <w:rFonts w:cs="Times New Roman"/>
        </w:rPr>
        <w:t>c</w:t>
      </w:r>
      <w:r w:rsidR="002E7D64" w:rsidRPr="00404FF0">
        <w:rPr>
          <w:rFonts w:cs="Times New Roman"/>
        </w:rPr>
        <w:t>lient)</w:t>
      </w:r>
    </w:p>
    <w:p w14:paraId="76D1B300" w14:textId="13FFA9CB" w:rsidR="002E7D64" w:rsidRDefault="002E7D64" w:rsidP="00ED208F">
      <w:pPr>
        <w:pStyle w:val="NoSpacing"/>
        <w:numPr>
          <w:ilvl w:val="1"/>
          <w:numId w:val="77"/>
        </w:numPr>
        <w:rPr>
          <w:rFonts w:cs="Times New Roman"/>
        </w:rPr>
      </w:pPr>
      <w:r w:rsidRPr="002E7D64">
        <w:rPr>
          <w:rFonts w:cs="Times New Roman"/>
        </w:rPr>
        <w:t>Credit: Cash</w:t>
      </w:r>
    </w:p>
    <w:p w14:paraId="42B509B8" w14:textId="65AF6F8B" w:rsidR="002E7D64" w:rsidRDefault="001A296F" w:rsidP="00ED208F">
      <w:pPr>
        <w:pStyle w:val="NoSpacing"/>
        <w:numPr>
          <w:ilvl w:val="0"/>
          <w:numId w:val="77"/>
        </w:numPr>
        <w:rPr>
          <w:rFonts w:cs="Times New Roman"/>
        </w:rPr>
      </w:pPr>
      <w:r>
        <w:rPr>
          <w:rFonts w:cs="Times New Roman"/>
        </w:rPr>
        <w:t>Recording the r</w:t>
      </w:r>
      <w:r w:rsidR="002E7D64" w:rsidRPr="002E7D64">
        <w:rPr>
          <w:rFonts w:cs="Times New Roman"/>
        </w:rPr>
        <w:t xml:space="preserve">eceivable for </w:t>
      </w:r>
      <w:r>
        <w:rPr>
          <w:rFonts w:cs="Times New Roman"/>
        </w:rPr>
        <w:t>security/u</w:t>
      </w:r>
      <w:r w:rsidRPr="001A296F">
        <w:rPr>
          <w:rFonts w:cs="Times New Roman"/>
        </w:rPr>
        <w:t>tility</w:t>
      </w:r>
      <w:r w:rsidR="002E7D64" w:rsidRPr="002E7D64">
        <w:rPr>
          <w:rFonts w:cs="Times New Roman"/>
        </w:rPr>
        <w:t xml:space="preserve"> </w:t>
      </w:r>
      <w:r>
        <w:rPr>
          <w:rFonts w:cs="Times New Roman"/>
        </w:rPr>
        <w:t>d</w:t>
      </w:r>
      <w:r w:rsidR="002E7D64" w:rsidRPr="002E7D64">
        <w:rPr>
          <w:rFonts w:cs="Times New Roman"/>
        </w:rPr>
        <w:t>eposits</w:t>
      </w:r>
    </w:p>
    <w:p w14:paraId="5F48ACD0" w14:textId="101BAB9F" w:rsidR="002E7D64" w:rsidRPr="002E7D64" w:rsidRDefault="001A296F" w:rsidP="00ED208F">
      <w:pPr>
        <w:pStyle w:val="NoSpacing"/>
        <w:numPr>
          <w:ilvl w:val="1"/>
          <w:numId w:val="77"/>
        </w:numPr>
        <w:rPr>
          <w:rFonts w:cs="Times New Roman"/>
        </w:rPr>
      </w:pPr>
      <w:r>
        <w:rPr>
          <w:rFonts w:cs="Times New Roman"/>
        </w:rPr>
        <w:t xml:space="preserve">Debit (Asset): </w:t>
      </w:r>
      <w:r w:rsidR="002E7D64" w:rsidRPr="002E7D64">
        <w:rPr>
          <w:rFonts w:cs="Times New Roman"/>
        </w:rPr>
        <w:t xml:space="preserve">Refundable </w:t>
      </w:r>
      <w:r w:rsidRPr="001A296F">
        <w:rPr>
          <w:rFonts w:cs="Times New Roman"/>
        </w:rPr>
        <w:t>Security/Utility</w:t>
      </w:r>
      <w:r w:rsidRPr="002E7D64">
        <w:rPr>
          <w:rFonts w:cs="Times New Roman"/>
        </w:rPr>
        <w:t xml:space="preserve"> </w:t>
      </w:r>
      <w:r w:rsidR="00A3153F">
        <w:rPr>
          <w:rFonts w:cs="Times New Roman"/>
        </w:rPr>
        <w:t>Deposits (</w:t>
      </w:r>
      <w:r w:rsidR="00190771">
        <w:rPr>
          <w:rFonts w:cs="Times New Roman"/>
        </w:rPr>
        <w:t>n</w:t>
      </w:r>
      <w:r w:rsidR="00A3153F">
        <w:rPr>
          <w:rFonts w:cs="Times New Roman"/>
        </w:rPr>
        <w:t xml:space="preserve">ame of </w:t>
      </w:r>
      <w:r w:rsidR="00190771">
        <w:rPr>
          <w:rFonts w:cs="Times New Roman"/>
        </w:rPr>
        <w:t>p</w:t>
      </w:r>
      <w:r w:rsidR="00A3153F">
        <w:rPr>
          <w:rFonts w:cs="Times New Roman"/>
        </w:rPr>
        <w:t xml:space="preserve">ayee and </w:t>
      </w:r>
      <w:r w:rsidR="00190771">
        <w:rPr>
          <w:rFonts w:cs="Times New Roman"/>
        </w:rPr>
        <w:t>c</w:t>
      </w:r>
      <w:r w:rsidR="002E7D64" w:rsidRPr="002E7D64">
        <w:rPr>
          <w:rFonts w:cs="Times New Roman"/>
        </w:rPr>
        <w:t>lient)</w:t>
      </w:r>
    </w:p>
    <w:p w14:paraId="3AF181FA" w14:textId="0D17EFEB" w:rsidR="002E7D64" w:rsidRDefault="001A296F" w:rsidP="00ED208F">
      <w:pPr>
        <w:pStyle w:val="NoSpacing"/>
        <w:numPr>
          <w:ilvl w:val="1"/>
          <w:numId w:val="77"/>
        </w:numPr>
        <w:rPr>
          <w:rFonts w:cs="Times New Roman"/>
        </w:rPr>
      </w:pPr>
      <w:r>
        <w:rPr>
          <w:rFonts w:cs="Times New Roman"/>
        </w:rPr>
        <w:t>Credit (A</w:t>
      </w:r>
      <w:r w:rsidR="002E7D64" w:rsidRPr="002E7D64">
        <w:rPr>
          <w:rFonts w:cs="Times New Roman"/>
        </w:rPr>
        <w:t>sset):</w:t>
      </w:r>
      <w:r>
        <w:rPr>
          <w:rFonts w:cs="Times New Roman"/>
        </w:rPr>
        <w:t xml:space="preserve"> </w:t>
      </w:r>
      <w:r w:rsidRPr="001A296F">
        <w:rPr>
          <w:rFonts w:cs="Times New Roman"/>
        </w:rPr>
        <w:t>Security/Utility</w:t>
      </w:r>
      <w:r w:rsidRPr="002E7D64">
        <w:rPr>
          <w:rFonts w:cs="Times New Roman"/>
        </w:rPr>
        <w:t xml:space="preserve"> </w:t>
      </w:r>
      <w:r w:rsidR="00190771">
        <w:rPr>
          <w:rFonts w:cs="Times New Roman"/>
        </w:rPr>
        <w:t>Deposits Held (c</w:t>
      </w:r>
      <w:r w:rsidR="002E7D64" w:rsidRPr="002E7D64">
        <w:rPr>
          <w:rFonts w:cs="Times New Roman"/>
        </w:rPr>
        <w:t>ontra-account)</w:t>
      </w:r>
    </w:p>
    <w:p w14:paraId="6A4560B1" w14:textId="4C7BE6E0" w:rsidR="002E7D64" w:rsidRPr="00ED208F" w:rsidRDefault="001A296F">
      <w:pPr>
        <w:pStyle w:val="NoSpacing"/>
        <w:rPr>
          <w:rFonts w:cs="Times New Roman"/>
          <w:b/>
        </w:rPr>
      </w:pPr>
      <w:r w:rsidRPr="001A296F">
        <w:rPr>
          <w:rFonts w:cs="Times New Roman"/>
          <w:b/>
        </w:rPr>
        <w:t xml:space="preserve">Security/Utility </w:t>
      </w:r>
      <w:r w:rsidR="002E7D64" w:rsidRPr="00ED208F">
        <w:rPr>
          <w:rFonts w:cs="Times New Roman"/>
          <w:b/>
        </w:rPr>
        <w:t>Deposit Refund Entries</w:t>
      </w:r>
      <w:r w:rsidR="00697CA7">
        <w:rPr>
          <w:rFonts w:cs="Times New Roman"/>
          <w:b/>
        </w:rPr>
        <w:t xml:space="preserve">: </w:t>
      </w:r>
      <w:r w:rsidR="00697CA7" w:rsidRPr="00ED208F">
        <w:rPr>
          <w:rFonts w:cs="Times New Roman"/>
          <w:b/>
          <w:color w:val="BF8F00" w:themeColor="accent4" w:themeShade="BF"/>
        </w:rPr>
        <w:t>Fully Recovered</w:t>
      </w:r>
    </w:p>
    <w:p w14:paraId="451795DD" w14:textId="51EFBB8C" w:rsidR="002E7D64" w:rsidRDefault="002E7D64" w:rsidP="00ED208F">
      <w:pPr>
        <w:pStyle w:val="NoSpacing"/>
        <w:numPr>
          <w:ilvl w:val="0"/>
          <w:numId w:val="78"/>
        </w:numPr>
        <w:rPr>
          <w:rFonts w:cs="Times New Roman"/>
        </w:rPr>
      </w:pPr>
      <w:r w:rsidRPr="002E7D64">
        <w:rPr>
          <w:rFonts w:cs="Times New Roman"/>
        </w:rPr>
        <w:t xml:space="preserve">Recording </w:t>
      </w:r>
      <w:r w:rsidR="00114D19">
        <w:rPr>
          <w:rFonts w:cs="Times New Roman"/>
        </w:rPr>
        <w:t xml:space="preserve">the full </w:t>
      </w:r>
      <w:r w:rsidRPr="002E7D64">
        <w:rPr>
          <w:rFonts w:cs="Times New Roman"/>
        </w:rPr>
        <w:t xml:space="preserve">refund of </w:t>
      </w:r>
      <w:r w:rsidR="00114D19">
        <w:rPr>
          <w:rFonts w:cs="Times New Roman"/>
        </w:rPr>
        <w:t xml:space="preserve">a </w:t>
      </w:r>
      <w:r w:rsidR="001A296F">
        <w:rPr>
          <w:rFonts w:cs="Times New Roman"/>
        </w:rPr>
        <w:t>s</w:t>
      </w:r>
      <w:r w:rsidR="001A296F" w:rsidRPr="001A296F">
        <w:rPr>
          <w:rFonts w:cs="Times New Roman"/>
        </w:rPr>
        <w:t>ecurity/</w:t>
      </w:r>
      <w:r w:rsidR="001A296F">
        <w:rPr>
          <w:rFonts w:cs="Times New Roman"/>
        </w:rPr>
        <w:t>u</w:t>
      </w:r>
      <w:r w:rsidR="001A296F" w:rsidRPr="001A296F">
        <w:rPr>
          <w:rFonts w:cs="Times New Roman"/>
        </w:rPr>
        <w:t xml:space="preserve">tility </w:t>
      </w:r>
      <w:r w:rsidR="00114D19">
        <w:rPr>
          <w:rFonts w:cs="Times New Roman"/>
        </w:rPr>
        <w:t>deposit</w:t>
      </w:r>
      <w:r w:rsidRPr="002E7D64">
        <w:rPr>
          <w:rFonts w:cs="Times New Roman"/>
        </w:rPr>
        <w:t xml:space="preserve"> </w:t>
      </w:r>
      <w:r w:rsidRPr="00ED208F">
        <w:rPr>
          <w:rFonts w:cs="Times New Roman"/>
          <w:color w:val="C00000"/>
          <w:u w:val="single"/>
        </w:rPr>
        <w:t>during</w:t>
      </w:r>
      <w:r w:rsidRPr="00ED208F">
        <w:rPr>
          <w:rFonts w:cs="Times New Roman"/>
          <w:u w:val="single"/>
        </w:rPr>
        <w:t xml:space="preserve"> </w:t>
      </w:r>
      <w:r w:rsidR="00114D19" w:rsidRPr="00ED208F">
        <w:rPr>
          <w:rFonts w:cs="Times New Roman"/>
          <w:u w:val="single"/>
        </w:rPr>
        <w:t xml:space="preserve">the </w:t>
      </w:r>
      <w:r w:rsidRPr="00ED208F">
        <w:rPr>
          <w:rFonts w:cs="Times New Roman"/>
          <w:u w:val="single"/>
        </w:rPr>
        <w:t>grant period/term</w:t>
      </w:r>
    </w:p>
    <w:p w14:paraId="305685D7" w14:textId="560C8190" w:rsidR="002E7D64" w:rsidRPr="002E7D64" w:rsidRDefault="00190771" w:rsidP="00ED208F">
      <w:pPr>
        <w:pStyle w:val="NoSpacing"/>
        <w:numPr>
          <w:ilvl w:val="1"/>
          <w:numId w:val="78"/>
        </w:numPr>
        <w:rPr>
          <w:rFonts w:cs="Times New Roman"/>
        </w:rPr>
      </w:pPr>
      <w:r>
        <w:rPr>
          <w:rFonts w:cs="Times New Roman"/>
        </w:rPr>
        <w:t>Debit</w:t>
      </w:r>
      <w:r w:rsidR="001A296F">
        <w:rPr>
          <w:rFonts w:cs="Times New Roman"/>
        </w:rPr>
        <w:t xml:space="preserve"> (A</w:t>
      </w:r>
      <w:r w:rsidR="002E7D64" w:rsidRPr="002E7D64">
        <w:rPr>
          <w:rFonts w:cs="Times New Roman"/>
        </w:rPr>
        <w:t>sset): Cash</w:t>
      </w:r>
    </w:p>
    <w:p w14:paraId="2A26D2D0" w14:textId="5A785349" w:rsidR="002E7D64" w:rsidRDefault="00190771" w:rsidP="00ED208F">
      <w:pPr>
        <w:pStyle w:val="NoSpacing"/>
        <w:numPr>
          <w:ilvl w:val="1"/>
          <w:numId w:val="78"/>
        </w:numPr>
        <w:rPr>
          <w:rFonts w:cs="Times New Roman"/>
        </w:rPr>
      </w:pPr>
      <w:r>
        <w:rPr>
          <w:rFonts w:cs="Times New Roman"/>
        </w:rPr>
        <w:t>Credit</w:t>
      </w:r>
      <w:r w:rsidR="001A296F">
        <w:rPr>
          <w:rFonts w:cs="Times New Roman"/>
        </w:rPr>
        <w:t xml:space="preserve"> (E</w:t>
      </w:r>
      <w:r w:rsidR="002E7D64" w:rsidRPr="002E7D64">
        <w:rPr>
          <w:rFonts w:cs="Times New Roman"/>
        </w:rPr>
        <w:t xml:space="preserve">xpense): </w:t>
      </w:r>
      <w:r w:rsidR="001A296F" w:rsidRPr="001A296F">
        <w:rPr>
          <w:rFonts w:cs="Times New Roman"/>
        </w:rPr>
        <w:t xml:space="preserve">Security/Utility </w:t>
      </w:r>
      <w:r w:rsidR="002E7D64" w:rsidRPr="002E7D64">
        <w:rPr>
          <w:rFonts w:cs="Times New Roman"/>
        </w:rPr>
        <w:t>D</w:t>
      </w:r>
      <w:r>
        <w:rPr>
          <w:rFonts w:cs="Times New Roman"/>
        </w:rPr>
        <w:t>eposits Expense (n</w:t>
      </w:r>
      <w:r w:rsidR="008C4D94">
        <w:rPr>
          <w:rFonts w:cs="Times New Roman"/>
        </w:rPr>
        <w:t>ame of p</w:t>
      </w:r>
      <w:r w:rsidR="00A3153F">
        <w:rPr>
          <w:rFonts w:cs="Times New Roman"/>
        </w:rPr>
        <w:t xml:space="preserve">ayee and </w:t>
      </w:r>
      <w:r w:rsidR="008C4D94">
        <w:rPr>
          <w:rFonts w:cs="Times New Roman"/>
        </w:rPr>
        <w:t>c</w:t>
      </w:r>
      <w:r w:rsidR="002E7D64" w:rsidRPr="002E7D64">
        <w:rPr>
          <w:rFonts w:cs="Times New Roman"/>
        </w:rPr>
        <w:t>lient)</w:t>
      </w:r>
    </w:p>
    <w:p w14:paraId="196F682D" w14:textId="3C722DF3" w:rsidR="002E7D64" w:rsidRDefault="001A296F" w:rsidP="00ED208F">
      <w:pPr>
        <w:pStyle w:val="NoSpacing"/>
        <w:numPr>
          <w:ilvl w:val="0"/>
          <w:numId w:val="78"/>
        </w:numPr>
        <w:rPr>
          <w:rFonts w:cs="Times New Roman"/>
        </w:rPr>
      </w:pPr>
      <w:r>
        <w:rPr>
          <w:rFonts w:cs="Times New Roman"/>
        </w:rPr>
        <w:t>Clearing the r</w:t>
      </w:r>
      <w:r w:rsidR="00580C80">
        <w:rPr>
          <w:rFonts w:cs="Times New Roman"/>
        </w:rPr>
        <w:t xml:space="preserve">eceivable for </w:t>
      </w:r>
      <w:r w:rsidR="00114D19">
        <w:rPr>
          <w:rFonts w:cs="Times New Roman"/>
        </w:rPr>
        <w:t xml:space="preserve">a fully refunded </w:t>
      </w:r>
      <w:r w:rsidR="00580C80">
        <w:rPr>
          <w:rFonts w:cs="Times New Roman"/>
        </w:rPr>
        <w:t>security/u</w:t>
      </w:r>
      <w:r w:rsidR="00580C80" w:rsidRPr="00580C80">
        <w:rPr>
          <w:rFonts w:cs="Times New Roman"/>
        </w:rPr>
        <w:t xml:space="preserve">tility </w:t>
      </w:r>
      <w:r w:rsidR="00580C80">
        <w:rPr>
          <w:rFonts w:cs="Times New Roman"/>
        </w:rPr>
        <w:t>d</w:t>
      </w:r>
      <w:r w:rsidR="00114D19">
        <w:rPr>
          <w:rFonts w:cs="Times New Roman"/>
        </w:rPr>
        <w:t xml:space="preserve">eposit </w:t>
      </w:r>
      <w:r w:rsidR="00114D19" w:rsidRPr="00ED208F">
        <w:rPr>
          <w:rFonts w:cs="Times New Roman"/>
          <w:color w:val="C00000"/>
          <w:u w:val="single"/>
        </w:rPr>
        <w:t>during</w:t>
      </w:r>
      <w:r w:rsidR="00114D19" w:rsidRPr="00ED208F">
        <w:rPr>
          <w:rFonts w:cs="Times New Roman"/>
          <w:u w:val="single"/>
        </w:rPr>
        <w:t xml:space="preserve"> the grant period/term</w:t>
      </w:r>
    </w:p>
    <w:p w14:paraId="47DB12AA" w14:textId="2C1BE712" w:rsidR="002E7D64" w:rsidRPr="002E7D64" w:rsidRDefault="002E7D64" w:rsidP="00ED208F">
      <w:pPr>
        <w:pStyle w:val="NoSpacing"/>
        <w:numPr>
          <w:ilvl w:val="1"/>
          <w:numId w:val="78"/>
        </w:numPr>
        <w:rPr>
          <w:rFonts w:cs="Times New Roman"/>
        </w:rPr>
      </w:pPr>
      <w:r w:rsidRPr="002E7D64">
        <w:rPr>
          <w:rFonts w:cs="Times New Roman"/>
        </w:rPr>
        <w:t>De</w:t>
      </w:r>
      <w:r w:rsidR="00580C80">
        <w:rPr>
          <w:rFonts w:cs="Times New Roman"/>
        </w:rPr>
        <w:t>bit (A</w:t>
      </w:r>
      <w:r w:rsidR="001A296F">
        <w:rPr>
          <w:rFonts w:cs="Times New Roman"/>
        </w:rPr>
        <w:t xml:space="preserve">sset): </w:t>
      </w:r>
      <w:r w:rsidR="00580C80" w:rsidRPr="00580C80">
        <w:rPr>
          <w:rFonts w:cs="Times New Roman"/>
        </w:rPr>
        <w:t xml:space="preserve">Security/Utility </w:t>
      </w:r>
      <w:r>
        <w:rPr>
          <w:rFonts w:cs="Times New Roman"/>
        </w:rPr>
        <w:t>Deposits Held</w:t>
      </w:r>
      <w:r w:rsidR="00190771">
        <w:rPr>
          <w:rFonts w:cs="Times New Roman"/>
        </w:rPr>
        <w:t xml:space="preserve"> (c</w:t>
      </w:r>
      <w:r w:rsidRPr="002E7D64">
        <w:rPr>
          <w:rFonts w:cs="Times New Roman"/>
        </w:rPr>
        <w:t>ontra-account)</w:t>
      </w:r>
    </w:p>
    <w:p w14:paraId="3613DF2E" w14:textId="1E2E3B0E" w:rsidR="002E7D64" w:rsidRDefault="00580C80" w:rsidP="00ED208F">
      <w:pPr>
        <w:pStyle w:val="NoSpacing"/>
        <w:numPr>
          <w:ilvl w:val="1"/>
          <w:numId w:val="78"/>
        </w:numPr>
        <w:rPr>
          <w:rFonts w:cs="Times New Roman"/>
        </w:rPr>
      </w:pPr>
      <w:r>
        <w:rPr>
          <w:rFonts w:cs="Times New Roman"/>
        </w:rPr>
        <w:t>Credit (A</w:t>
      </w:r>
      <w:r w:rsidR="002E7D64" w:rsidRPr="002E7D64">
        <w:rPr>
          <w:rFonts w:cs="Times New Roman"/>
        </w:rPr>
        <w:t xml:space="preserve">sset): Refundable </w:t>
      </w:r>
      <w:r w:rsidRPr="00580C80">
        <w:rPr>
          <w:rFonts w:cs="Times New Roman"/>
        </w:rPr>
        <w:t xml:space="preserve">Security/Utility </w:t>
      </w:r>
      <w:r w:rsidR="00190771">
        <w:rPr>
          <w:rFonts w:cs="Times New Roman"/>
        </w:rPr>
        <w:t>Deposits (name of o</w:t>
      </w:r>
      <w:r w:rsidR="002E7D64" w:rsidRPr="002E7D64">
        <w:rPr>
          <w:rFonts w:cs="Times New Roman"/>
        </w:rPr>
        <w:t xml:space="preserve">riginal </w:t>
      </w:r>
      <w:r w:rsidR="00190771">
        <w:rPr>
          <w:rFonts w:cs="Times New Roman"/>
        </w:rPr>
        <w:t>p</w:t>
      </w:r>
      <w:r w:rsidR="00A3153F">
        <w:rPr>
          <w:rFonts w:cs="Times New Roman"/>
        </w:rPr>
        <w:t xml:space="preserve">ayee and </w:t>
      </w:r>
      <w:r w:rsidR="00190771">
        <w:rPr>
          <w:rFonts w:cs="Times New Roman"/>
        </w:rPr>
        <w:t>c</w:t>
      </w:r>
      <w:r w:rsidR="002E7D64" w:rsidRPr="002E7D64">
        <w:rPr>
          <w:rFonts w:cs="Times New Roman"/>
        </w:rPr>
        <w:t>lient)</w:t>
      </w:r>
    </w:p>
    <w:p w14:paraId="4867E3FB" w14:textId="6A797E50" w:rsidR="002E7D64" w:rsidRDefault="002E7D64" w:rsidP="00ED208F">
      <w:pPr>
        <w:pStyle w:val="NoSpacing"/>
        <w:numPr>
          <w:ilvl w:val="0"/>
          <w:numId w:val="78"/>
        </w:numPr>
        <w:rPr>
          <w:rFonts w:cs="Times New Roman"/>
        </w:rPr>
      </w:pPr>
      <w:r w:rsidRPr="002E7D64">
        <w:rPr>
          <w:rFonts w:cs="Times New Roman"/>
        </w:rPr>
        <w:t xml:space="preserve">Recording </w:t>
      </w:r>
      <w:r w:rsidR="00114D19">
        <w:rPr>
          <w:rFonts w:cs="Times New Roman"/>
        </w:rPr>
        <w:t xml:space="preserve">the full </w:t>
      </w:r>
      <w:r w:rsidRPr="002E7D64">
        <w:rPr>
          <w:rFonts w:cs="Times New Roman"/>
        </w:rPr>
        <w:t>refund of</w:t>
      </w:r>
      <w:r w:rsidR="00114D19">
        <w:rPr>
          <w:rFonts w:cs="Times New Roman"/>
        </w:rPr>
        <w:t xml:space="preserve"> a</w:t>
      </w:r>
      <w:r w:rsidRPr="002E7D64">
        <w:rPr>
          <w:rFonts w:cs="Times New Roman"/>
        </w:rPr>
        <w:t xml:space="preserve"> </w:t>
      </w:r>
      <w:r w:rsidR="00580C80">
        <w:rPr>
          <w:rFonts w:cs="Times New Roman"/>
        </w:rPr>
        <w:t>s</w:t>
      </w:r>
      <w:r w:rsidR="00580C80" w:rsidRPr="00580C80">
        <w:rPr>
          <w:rFonts w:cs="Times New Roman"/>
        </w:rPr>
        <w:t>ecurity/</w:t>
      </w:r>
      <w:r w:rsidR="00580C80">
        <w:rPr>
          <w:rFonts w:cs="Times New Roman"/>
        </w:rPr>
        <w:t>u</w:t>
      </w:r>
      <w:r w:rsidR="00580C80" w:rsidRPr="00580C80">
        <w:rPr>
          <w:rFonts w:cs="Times New Roman"/>
        </w:rPr>
        <w:t xml:space="preserve">tility </w:t>
      </w:r>
      <w:r w:rsidRPr="002E7D64">
        <w:rPr>
          <w:rFonts w:cs="Times New Roman"/>
        </w:rPr>
        <w:t>d</w:t>
      </w:r>
      <w:r>
        <w:rPr>
          <w:rFonts w:cs="Times New Roman"/>
        </w:rPr>
        <w:t xml:space="preserve">eposit </w:t>
      </w:r>
      <w:r w:rsidRPr="00ED208F">
        <w:rPr>
          <w:rFonts w:cs="Times New Roman"/>
          <w:color w:val="C00000"/>
          <w:u w:val="single"/>
        </w:rPr>
        <w:t>after</w:t>
      </w:r>
      <w:r w:rsidRPr="00ED208F">
        <w:rPr>
          <w:rFonts w:cs="Times New Roman"/>
          <w:u w:val="single"/>
        </w:rPr>
        <w:t xml:space="preserve"> grant period/term</w:t>
      </w:r>
    </w:p>
    <w:p w14:paraId="7694EF85" w14:textId="4F0C5A22" w:rsidR="002E7D64" w:rsidRPr="002E7D64" w:rsidRDefault="002E7D64" w:rsidP="00ED208F">
      <w:pPr>
        <w:pStyle w:val="NoSpacing"/>
        <w:numPr>
          <w:ilvl w:val="1"/>
          <w:numId w:val="78"/>
        </w:numPr>
        <w:rPr>
          <w:rFonts w:cs="Times New Roman"/>
        </w:rPr>
      </w:pPr>
      <w:r w:rsidRPr="002E7D64">
        <w:rPr>
          <w:rFonts w:cs="Times New Roman"/>
        </w:rPr>
        <w:t>Debit (</w:t>
      </w:r>
      <w:r w:rsidR="00580C80">
        <w:rPr>
          <w:rFonts w:cs="Times New Roman"/>
        </w:rPr>
        <w:t>A</w:t>
      </w:r>
      <w:r w:rsidRPr="002E7D64">
        <w:rPr>
          <w:rFonts w:cs="Times New Roman"/>
        </w:rPr>
        <w:t>sset): Cash</w:t>
      </w:r>
    </w:p>
    <w:p w14:paraId="58E63986" w14:textId="6EF9110A" w:rsidR="002E7D64" w:rsidRPr="002E7D64" w:rsidRDefault="00580C80" w:rsidP="00ED208F">
      <w:pPr>
        <w:pStyle w:val="NoSpacing"/>
        <w:numPr>
          <w:ilvl w:val="1"/>
          <w:numId w:val="78"/>
        </w:numPr>
        <w:rPr>
          <w:rFonts w:cs="Times New Roman"/>
        </w:rPr>
      </w:pPr>
      <w:r>
        <w:rPr>
          <w:rFonts w:cs="Times New Roman"/>
        </w:rPr>
        <w:t>Credit (I</w:t>
      </w:r>
      <w:r w:rsidR="002E7D64" w:rsidRPr="002E7D64">
        <w:rPr>
          <w:rFonts w:cs="Times New Roman"/>
        </w:rPr>
        <w:t>ncome): Misc. Inco</w:t>
      </w:r>
      <w:r w:rsidR="005A2088">
        <w:rPr>
          <w:rFonts w:cs="Times New Roman"/>
        </w:rPr>
        <w:t>–</w:t>
      </w:r>
      <w:r w:rsidR="002E7D64" w:rsidRPr="002E7D64">
        <w:rPr>
          <w:rFonts w:cs="Times New Roman"/>
        </w:rPr>
        <w:t xml:space="preserve">e - Refunded </w:t>
      </w:r>
      <w:r w:rsidRPr="00580C80">
        <w:rPr>
          <w:rFonts w:cs="Times New Roman"/>
        </w:rPr>
        <w:t xml:space="preserve">Security/Utility </w:t>
      </w:r>
      <w:r>
        <w:rPr>
          <w:rFonts w:cs="Times New Roman"/>
        </w:rPr>
        <w:t>Deposits</w:t>
      </w:r>
    </w:p>
    <w:p w14:paraId="06B8B66E" w14:textId="453EFA14" w:rsidR="002E7D64" w:rsidRDefault="00580C80" w:rsidP="00ED208F">
      <w:pPr>
        <w:pStyle w:val="NoSpacing"/>
        <w:numPr>
          <w:ilvl w:val="0"/>
          <w:numId w:val="78"/>
        </w:numPr>
        <w:rPr>
          <w:rFonts w:cs="Times New Roman"/>
        </w:rPr>
      </w:pPr>
      <w:r>
        <w:rPr>
          <w:rFonts w:cs="Times New Roman"/>
        </w:rPr>
        <w:t>Clearing the r</w:t>
      </w:r>
      <w:r w:rsidR="002E7D64" w:rsidRPr="002E7D64">
        <w:rPr>
          <w:rFonts w:cs="Times New Roman"/>
        </w:rPr>
        <w:t>eceivable for</w:t>
      </w:r>
      <w:r w:rsidR="00114D19">
        <w:rPr>
          <w:rFonts w:cs="Times New Roman"/>
        </w:rPr>
        <w:t xml:space="preserve"> a fully refunded</w:t>
      </w:r>
      <w:r w:rsidR="002E7D64" w:rsidRPr="002E7D64">
        <w:rPr>
          <w:rFonts w:cs="Times New Roman"/>
        </w:rPr>
        <w:t xml:space="preserve"> </w:t>
      </w:r>
      <w:r>
        <w:rPr>
          <w:rFonts w:cs="Times New Roman"/>
        </w:rPr>
        <w:t>security/u</w:t>
      </w:r>
      <w:r w:rsidRPr="00580C80">
        <w:rPr>
          <w:rFonts w:cs="Times New Roman"/>
        </w:rPr>
        <w:t xml:space="preserve">tility </w:t>
      </w:r>
      <w:r>
        <w:rPr>
          <w:rFonts w:cs="Times New Roman"/>
        </w:rPr>
        <w:t>d</w:t>
      </w:r>
      <w:r w:rsidR="00114D19">
        <w:rPr>
          <w:rFonts w:cs="Times New Roman"/>
        </w:rPr>
        <w:t xml:space="preserve">eposit </w:t>
      </w:r>
      <w:r w:rsidR="00114D19" w:rsidRPr="00ED208F">
        <w:rPr>
          <w:rFonts w:cs="Times New Roman"/>
          <w:color w:val="C00000"/>
          <w:u w:val="single"/>
        </w:rPr>
        <w:t>after</w:t>
      </w:r>
      <w:r w:rsidR="00114D19" w:rsidRPr="00ED208F">
        <w:rPr>
          <w:rFonts w:cs="Times New Roman"/>
          <w:u w:val="single"/>
        </w:rPr>
        <w:t xml:space="preserve"> the grant period/term</w:t>
      </w:r>
    </w:p>
    <w:p w14:paraId="64010E3A" w14:textId="7B2FCEC6" w:rsidR="002E7D64" w:rsidRPr="002E7D64" w:rsidRDefault="00580C80" w:rsidP="00ED208F">
      <w:pPr>
        <w:pStyle w:val="NoSpacing"/>
        <w:numPr>
          <w:ilvl w:val="1"/>
          <w:numId w:val="78"/>
        </w:numPr>
        <w:rPr>
          <w:rFonts w:cs="Times New Roman"/>
        </w:rPr>
      </w:pPr>
      <w:r>
        <w:rPr>
          <w:rFonts w:cs="Times New Roman"/>
        </w:rPr>
        <w:t>Debit (A</w:t>
      </w:r>
      <w:r w:rsidR="001A296F">
        <w:rPr>
          <w:rFonts w:cs="Times New Roman"/>
        </w:rPr>
        <w:t xml:space="preserve">sset): </w:t>
      </w:r>
      <w:r w:rsidRPr="00580C80">
        <w:rPr>
          <w:rFonts w:cs="Times New Roman"/>
        </w:rPr>
        <w:t xml:space="preserve">Security/Utility </w:t>
      </w:r>
      <w:r w:rsidR="002E7D64">
        <w:rPr>
          <w:rFonts w:cs="Times New Roman"/>
        </w:rPr>
        <w:t>Deposits Held</w:t>
      </w:r>
      <w:r w:rsidR="00190771">
        <w:rPr>
          <w:rFonts w:cs="Times New Roman"/>
        </w:rPr>
        <w:t xml:space="preserve"> (c</w:t>
      </w:r>
      <w:r w:rsidR="002E7D64" w:rsidRPr="002E7D64">
        <w:rPr>
          <w:rFonts w:cs="Times New Roman"/>
        </w:rPr>
        <w:t>ontra-account)</w:t>
      </w:r>
    </w:p>
    <w:p w14:paraId="140723DD" w14:textId="77777777" w:rsidR="00697CA7" w:rsidRDefault="00580C80" w:rsidP="00ED208F">
      <w:pPr>
        <w:pStyle w:val="NoSpacing"/>
        <w:numPr>
          <w:ilvl w:val="1"/>
          <w:numId w:val="78"/>
        </w:numPr>
        <w:rPr>
          <w:rFonts w:cs="Times New Roman"/>
        </w:rPr>
      </w:pPr>
      <w:r>
        <w:rPr>
          <w:rFonts w:cs="Times New Roman"/>
        </w:rPr>
        <w:t>Credit (A</w:t>
      </w:r>
      <w:r w:rsidR="002E7D64" w:rsidRPr="002E7D64">
        <w:rPr>
          <w:rFonts w:cs="Times New Roman"/>
        </w:rPr>
        <w:t xml:space="preserve">sset): Refundable </w:t>
      </w:r>
      <w:r w:rsidRPr="00580C80">
        <w:rPr>
          <w:rFonts w:cs="Times New Roman"/>
        </w:rPr>
        <w:t xml:space="preserve">Security/Utility </w:t>
      </w:r>
      <w:r>
        <w:rPr>
          <w:rFonts w:cs="Times New Roman"/>
        </w:rPr>
        <w:t>Deposits (</w:t>
      </w:r>
      <w:r w:rsidR="00190771">
        <w:rPr>
          <w:rFonts w:cs="Times New Roman"/>
        </w:rPr>
        <w:t>name of o</w:t>
      </w:r>
      <w:r w:rsidR="002E7D64" w:rsidRPr="002E7D64">
        <w:rPr>
          <w:rFonts w:cs="Times New Roman"/>
        </w:rPr>
        <w:t xml:space="preserve">riginal </w:t>
      </w:r>
      <w:r w:rsidR="00190771">
        <w:rPr>
          <w:rFonts w:cs="Times New Roman"/>
        </w:rPr>
        <w:t>p</w:t>
      </w:r>
      <w:r w:rsidR="00A3153F">
        <w:rPr>
          <w:rFonts w:cs="Times New Roman"/>
        </w:rPr>
        <w:t xml:space="preserve">ayee and </w:t>
      </w:r>
      <w:r w:rsidR="00190771">
        <w:rPr>
          <w:rFonts w:cs="Times New Roman"/>
        </w:rPr>
        <w:t>c</w:t>
      </w:r>
      <w:r w:rsidR="002E7D64" w:rsidRPr="002E7D64">
        <w:rPr>
          <w:rFonts w:cs="Times New Roman"/>
        </w:rPr>
        <w:t>lient)</w:t>
      </w:r>
    </w:p>
    <w:p w14:paraId="7CF725E8" w14:textId="70F7993E" w:rsidR="00114D19" w:rsidRPr="00ED208F" w:rsidRDefault="00114D19">
      <w:pPr>
        <w:pStyle w:val="NoSpacing"/>
        <w:rPr>
          <w:rFonts w:cs="Times New Roman"/>
        </w:rPr>
      </w:pPr>
      <w:r w:rsidRPr="00697CA7">
        <w:rPr>
          <w:rFonts w:cs="Times New Roman"/>
          <w:b/>
        </w:rPr>
        <w:t xml:space="preserve">Security/Utility Deposit </w:t>
      </w:r>
      <w:r w:rsidR="00697CA7" w:rsidRPr="00697CA7">
        <w:rPr>
          <w:rFonts w:cs="Times New Roman"/>
          <w:b/>
        </w:rPr>
        <w:t>R</w:t>
      </w:r>
      <w:r w:rsidRPr="00697CA7">
        <w:rPr>
          <w:rFonts w:cs="Times New Roman"/>
          <w:b/>
        </w:rPr>
        <w:t>efund Entries</w:t>
      </w:r>
      <w:r w:rsidR="00697CA7" w:rsidRPr="00697CA7">
        <w:rPr>
          <w:rFonts w:cs="Times New Roman"/>
          <w:b/>
        </w:rPr>
        <w:t xml:space="preserve">: </w:t>
      </w:r>
      <w:r w:rsidR="00697CA7" w:rsidRPr="00ED208F">
        <w:rPr>
          <w:rFonts w:cs="Times New Roman"/>
          <w:b/>
          <w:color w:val="BF8F00" w:themeColor="accent4" w:themeShade="BF"/>
        </w:rPr>
        <w:t>Partially Recovered</w:t>
      </w:r>
    </w:p>
    <w:p w14:paraId="307628E6" w14:textId="44AEF0BE" w:rsidR="00114D19" w:rsidRDefault="00114D19" w:rsidP="00114D19">
      <w:pPr>
        <w:pStyle w:val="NoSpacing"/>
        <w:numPr>
          <w:ilvl w:val="0"/>
          <w:numId w:val="79"/>
        </w:numPr>
        <w:rPr>
          <w:rFonts w:cs="Times New Roman"/>
        </w:rPr>
      </w:pPr>
      <w:r w:rsidRPr="002E7D64">
        <w:rPr>
          <w:rFonts w:cs="Times New Roman"/>
        </w:rPr>
        <w:t xml:space="preserve">Recording </w:t>
      </w:r>
      <w:r>
        <w:rPr>
          <w:rFonts w:cs="Times New Roman"/>
        </w:rPr>
        <w:t xml:space="preserve">the partial </w:t>
      </w:r>
      <w:r w:rsidRPr="002E7D64">
        <w:rPr>
          <w:rFonts w:cs="Times New Roman"/>
        </w:rPr>
        <w:t xml:space="preserve">refund of </w:t>
      </w:r>
      <w:r>
        <w:rPr>
          <w:rFonts w:cs="Times New Roman"/>
        </w:rPr>
        <w:t>a s</w:t>
      </w:r>
      <w:r w:rsidRPr="001A296F">
        <w:rPr>
          <w:rFonts w:cs="Times New Roman"/>
        </w:rPr>
        <w:t>ecurity/</w:t>
      </w:r>
      <w:r>
        <w:rPr>
          <w:rFonts w:cs="Times New Roman"/>
        </w:rPr>
        <w:t>u</w:t>
      </w:r>
      <w:r w:rsidRPr="001A296F">
        <w:rPr>
          <w:rFonts w:cs="Times New Roman"/>
        </w:rPr>
        <w:t xml:space="preserve">tility </w:t>
      </w:r>
      <w:r>
        <w:rPr>
          <w:rFonts w:cs="Times New Roman"/>
        </w:rPr>
        <w:t>deposit</w:t>
      </w:r>
      <w:r w:rsidRPr="002E7D64">
        <w:rPr>
          <w:rFonts w:cs="Times New Roman"/>
        </w:rPr>
        <w:t xml:space="preserve"> </w:t>
      </w:r>
      <w:r w:rsidRPr="00ED208F">
        <w:rPr>
          <w:rFonts w:cs="Times New Roman"/>
          <w:color w:val="C00000"/>
          <w:u w:val="single"/>
        </w:rPr>
        <w:t xml:space="preserve">during </w:t>
      </w:r>
      <w:r w:rsidRPr="00ED208F">
        <w:rPr>
          <w:rFonts w:cs="Times New Roman"/>
          <w:u w:val="single"/>
        </w:rPr>
        <w:t>the grant period/term</w:t>
      </w:r>
    </w:p>
    <w:p w14:paraId="400BBD85" w14:textId="78A4FEF6" w:rsidR="00114D19" w:rsidRPr="002E7D64" w:rsidRDefault="00190771" w:rsidP="00114D19">
      <w:pPr>
        <w:pStyle w:val="NoSpacing"/>
        <w:numPr>
          <w:ilvl w:val="1"/>
          <w:numId w:val="79"/>
        </w:numPr>
        <w:rPr>
          <w:rFonts w:cs="Times New Roman"/>
        </w:rPr>
      </w:pPr>
      <w:r>
        <w:rPr>
          <w:rFonts w:cs="Times New Roman"/>
        </w:rPr>
        <w:t>Debit</w:t>
      </w:r>
      <w:r w:rsidR="00114D19" w:rsidRPr="002E7D64">
        <w:rPr>
          <w:rFonts w:cs="Times New Roman"/>
        </w:rPr>
        <w:t>: Cash</w:t>
      </w:r>
      <w:r>
        <w:rPr>
          <w:rFonts w:cs="Times New Roman"/>
        </w:rPr>
        <w:t xml:space="preserve"> (</w:t>
      </w:r>
      <w:proofErr w:type="gramStart"/>
      <w:r>
        <w:rPr>
          <w:rFonts w:cs="Times New Roman"/>
        </w:rPr>
        <w:t>for the amount of</w:t>
      </w:r>
      <w:proofErr w:type="gramEnd"/>
      <w:r>
        <w:rPr>
          <w:rFonts w:cs="Times New Roman"/>
        </w:rPr>
        <w:t xml:space="preserve"> the partial refund)</w:t>
      </w:r>
    </w:p>
    <w:p w14:paraId="1D72797A" w14:textId="55550105" w:rsidR="00114D19" w:rsidRDefault="00190771" w:rsidP="00114D19">
      <w:pPr>
        <w:pStyle w:val="NoSpacing"/>
        <w:numPr>
          <w:ilvl w:val="1"/>
          <w:numId w:val="79"/>
        </w:numPr>
        <w:rPr>
          <w:rFonts w:cs="Times New Roman"/>
        </w:rPr>
      </w:pPr>
      <w:r>
        <w:rPr>
          <w:rFonts w:cs="Times New Roman"/>
        </w:rPr>
        <w:t>Credit</w:t>
      </w:r>
      <w:r w:rsidR="00114D19" w:rsidRPr="002E7D64">
        <w:rPr>
          <w:rFonts w:cs="Times New Roman"/>
        </w:rPr>
        <w:t xml:space="preserve">: </w:t>
      </w:r>
      <w:r w:rsidR="00114D19" w:rsidRPr="001A296F">
        <w:rPr>
          <w:rFonts w:cs="Times New Roman"/>
        </w:rPr>
        <w:t xml:space="preserve">Security/Utility </w:t>
      </w:r>
      <w:r w:rsidR="00114D19" w:rsidRPr="002E7D64">
        <w:rPr>
          <w:rFonts w:cs="Times New Roman"/>
        </w:rPr>
        <w:t>D</w:t>
      </w:r>
      <w:r w:rsidR="00114D19">
        <w:rPr>
          <w:rFonts w:cs="Times New Roman"/>
        </w:rPr>
        <w:t>eposits Expense (</w:t>
      </w:r>
      <w:r>
        <w:rPr>
          <w:rFonts w:cs="Times New Roman"/>
        </w:rPr>
        <w:t>name of p</w:t>
      </w:r>
      <w:r w:rsidR="00114D19">
        <w:rPr>
          <w:rFonts w:cs="Times New Roman"/>
        </w:rPr>
        <w:t xml:space="preserve">ayee and </w:t>
      </w:r>
      <w:r>
        <w:rPr>
          <w:rFonts w:cs="Times New Roman"/>
        </w:rPr>
        <w:t>c</w:t>
      </w:r>
      <w:r w:rsidR="00114D19" w:rsidRPr="002E7D64">
        <w:rPr>
          <w:rFonts w:cs="Times New Roman"/>
        </w:rPr>
        <w:t>lient</w:t>
      </w:r>
      <w:r w:rsidR="00697CA7">
        <w:rPr>
          <w:rFonts w:cs="Times New Roman"/>
        </w:rPr>
        <w:t>)</w:t>
      </w:r>
      <w:r>
        <w:rPr>
          <w:rFonts w:cs="Times New Roman"/>
        </w:rPr>
        <w:t xml:space="preserve"> </w:t>
      </w:r>
      <w:r w:rsidR="00697CA7">
        <w:rPr>
          <w:rFonts w:cs="Times New Roman"/>
        </w:rPr>
        <w:t>(</w:t>
      </w:r>
      <w:r>
        <w:rPr>
          <w:rFonts w:cs="Times New Roman"/>
        </w:rPr>
        <w:t xml:space="preserve">for </w:t>
      </w:r>
      <w:r w:rsidR="004362B0">
        <w:rPr>
          <w:rFonts w:cs="Times New Roman"/>
        </w:rPr>
        <w:t xml:space="preserve">the </w:t>
      </w:r>
      <w:r w:rsidR="00697CA7">
        <w:rPr>
          <w:rFonts w:cs="Times New Roman"/>
        </w:rPr>
        <w:t>amount received)</w:t>
      </w:r>
    </w:p>
    <w:p w14:paraId="442F8982" w14:textId="77777777" w:rsidR="00260250" w:rsidRPr="00ED208F" w:rsidRDefault="00114D19" w:rsidP="00ED208F">
      <w:pPr>
        <w:pStyle w:val="NoSpacing"/>
        <w:numPr>
          <w:ilvl w:val="0"/>
          <w:numId w:val="79"/>
        </w:numPr>
        <w:rPr>
          <w:rFonts w:cs="Times New Roman"/>
        </w:rPr>
      </w:pPr>
      <w:r w:rsidRPr="00260250">
        <w:rPr>
          <w:rFonts w:cs="Times New Roman"/>
        </w:rPr>
        <w:t xml:space="preserve">Clearing the receivable for a partially refunded security/utility deposit </w:t>
      </w:r>
      <w:r w:rsidRPr="00ED208F">
        <w:rPr>
          <w:rFonts w:cs="Times New Roman"/>
          <w:color w:val="C00000"/>
          <w:u w:val="single"/>
        </w:rPr>
        <w:t xml:space="preserve">during </w:t>
      </w:r>
      <w:r w:rsidRPr="00ED208F">
        <w:rPr>
          <w:rFonts w:cs="Times New Roman"/>
          <w:u w:val="single"/>
        </w:rPr>
        <w:t>the grant period/term</w:t>
      </w:r>
    </w:p>
    <w:p w14:paraId="7799D724" w14:textId="6EBB06BB" w:rsidR="00114D19" w:rsidRPr="00260250" w:rsidRDefault="00114D19">
      <w:pPr>
        <w:pStyle w:val="NoSpacing"/>
        <w:numPr>
          <w:ilvl w:val="1"/>
          <w:numId w:val="79"/>
        </w:numPr>
        <w:rPr>
          <w:rFonts w:cs="Times New Roman"/>
        </w:rPr>
      </w:pPr>
      <w:r w:rsidRPr="00260250">
        <w:rPr>
          <w:rFonts w:cs="Times New Roman"/>
        </w:rPr>
        <w:t>Debit (Asset): Security/Utility Deposits Held (</w:t>
      </w:r>
      <w:r w:rsidR="00190771" w:rsidRPr="00260250">
        <w:rPr>
          <w:rFonts w:cs="Times New Roman"/>
        </w:rPr>
        <w:t>c</w:t>
      </w:r>
      <w:r w:rsidRPr="00260250">
        <w:rPr>
          <w:rFonts w:cs="Times New Roman"/>
        </w:rPr>
        <w:t>ontra-account</w:t>
      </w:r>
      <w:r w:rsidR="00697CA7" w:rsidRPr="00260250">
        <w:rPr>
          <w:rFonts w:cs="Times New Roman"/>
        </w:rPr>
        <w:t>)</w:t>
      </w:r>
      <w:r w:rsidR="00190771" w:rsidRPr="00260250">
        <w:rPr>
          <w:rFonts w:cs="Times New Roman"/>
        </w:rPr>
        <w:t xml:space="preserve"> </w:t>
      </w:r>
      <w:r w:rsidR="00697CA7" w:rsidRPr="00260250">
        <w:rPr>
          <w:rFonts w:cs="Times New Roman"/>
        </w:rPr>
        <w:t>(</w:t>
      </w:r>
      <w:r w:rsidR="00190771" w:rsidRPr="00260250">
        <w:rPr>
          <w:rFonts w:cs="Times New Roman"/>
        </w:rPr>
        <w:t>for</w:t>
      </w:r>
      <w:r w:rsidR="004362B0" w:rsidRPr="00260250">
        <w:rPr>
          <w:rFonts w:cs="Times New Roman"/>
        </w:rPr>
        <w:t xml:space="preserve"> the</w:t>
      </w:r>
      <w:r w:rsidR="00190771" w:rsidRPr="00260250">
        <w:rPr>
          <w:rFonts w:cs="Times New Roman"/>
        </w:rPr>
        <w:t xml:space="preserve"> full amount of the original deposit</w:t>
      </w:r>
      <w:r w:rsidR="00697CA7" w:rsidRPr="00260250">
        <w:rPr>
          <w:rFonts w:cs="Times New Roman"/>
        </w:rPr>
        <w:t>)</w:t>
      </w:r>
    </w:p>
    <w:p w14:paraId="63DF77E3" w14:textId="773E13F3" w:rsidR="00114D19" w:rsidRDefault="00114D19" w:rsidP="00114D19">
      <w:pPr>
        <w:pStyle w:val="NoSpacing"/>
        <w:numPr>
          <w:ilvl w:val="1"/>
          <w:numId w:val="79"/>
        </w:numPr>
        <w:rPr>
          <w:rFonts w:cs="Times New Roman"/>
        </w:rPr>
      </w:pPr>
      <w:r>
        <w:rPr>
          <w:rFonts w:cs="Times New Roman"/>
        </w:rPr>
        <w:t>Credit (A</w:t>
      </w:r>
      <w:r w:rsidRPr="002E7D64">
        <w:rPr>
          <w:rFonts w:cs="Times New Roman"/>
        </w:rPr>
        <w:t xml:space="preserve">sset): Refundable </w:t>
      </w:r>
      <w:r w:rsidRPr="00580C80">
        <w:rPr>
          <w:rFonts w:cs="Times New Roman"/>
        </w:rPr>
        <w:t xml:space="preserve">Security/Utility </w:t>
      </w:r>
      <w:r w:rsidR="00190771">
        <w:rPr>
          <w:rFonts w:cs="Times New Roman"/>
        </w:rPr>
        <w:t>Deposits (n</w:t>
      </w:r>
      <w:r>
        <w:rPr>
          <w:rFonts w:cs="Times New Roman"/>
        </w:rPr>
        <w:t xml:space="preserve">ame of </w:t>
      </w:r>
      <w:r w:rsidR="00190771">
        <w:rPr>
          <w:rFonts w:cs="Times New Roman"/>
        </w:rPr>
        <w:t>o</w:t>
      </w:r>
      <w:r w:rsidRPr="002E7D64">
        <w:rPr>
          <w:rFonts w:cs="Times New Roman"/>
        </w:rPr>
        <w:t xml:space="preserve">riginal </w:t>
      </w:r>
      <w:r w:rsidR="00190771">
        <w:rPr>
          <w:rFonts w:cs="Times New Roman"/>
        </w:rPr>
        <w:t>p</w:t>
      </w:r>
      <w:r>
        <w:rPr>
          <w:rFonts w:cs="Times New Roman"/>
        </w:rPr>
        <w:t xml:space="preserve">ayee and </w:t>
      </w:r>
      <w:r w:rsidR="00190771">
        <w:rPr>
          <w:rFonts w:cs="Times New Roman"/>
        </w:rPr>
        <w:t>c</w:t>
      </w:r>
      <w:r w:rsidRPr="002E7D64">
        <w:rPr>
          <w:rFonts w:cs="Times New Roman"/>
        </w:rPr>
        <w:t>lient</w:t>
      </w:r>
      <w:r w:rsidR="00697CA7">
        <w:rPr>
          <w:rFonts w:cs="Times New Roman"/>
        </w:rPr>
        <w:t>)</w:t>
      </w:r>
      <w:r w:rsidR="00190771">
        <w:rPr>
          <w:rFonts w:cs="Times New Roman"/>
        </w:rPr>
        <w:t xml:space="preserve"> </w:t>
      </w:r>
      <w:r w:rsidR="00697CA7">
        <w:rPr>
          <w:rFonts w:cs="Times New Roman"/>
        </w:rPr>
        <w:t>(</w:t>
      </w:r>
      <w:r w:rsidR="00190771">
        <w:rPr>
          <w:rFonts w:cs="Times New Roman"/>
        </w:rPr>
        <w:t xml:space="preserve">for </w:t>
      </w:r>
      <w:r w:rsidR="004362B0">
        <w:rPr>
          <w:rFonts w:cs="Times New Roman"/>
        </w:rPr>
        <w:t xml:space="preserve">the </w:t>
      </w:r>
      <w:r w:rsidR="00190771">
        <w:rPr>
          <w:rFonts w:cs="Times New Roman"/>
        </w:rPr>
        <w:t>full amount of the original</w:t>
      </w:r>
      <w:r w:rsidR="00697CA7">
        <w:rPr>
          <w:rFonts w:cs="Times New Roman"/>
        </w:rPr>
        <w:t xml:space="preserve"> deposit</w:t>
      </w:r>
      <w:r w:rsidRPr="002E7D64">
        <w:rPr>
          <w:rFonts w:cs="Times New Roman"/>
        </w:rPr>
        <w:t>)</w:t>
      </w:r>
    </w:p>
    <w:p w14:paraId="0F072A64" w14:textId="4916F2E1" w:rsidR="00114D19" w:rsidRDefault="00114D19" w:rsidP="00114D19">
      <w:pPr>
        <w:pStyle w:val="NoSpacing"/>
        <w:numPr>
          <w:ilvl w:val="0"/>
          <w:numId w:val="79"/>
        </w:numPr>
        <w:rPr>
          <w:rFonts w:cs="Times New Roman"/>
        </w:rPr>
      </w:pPr>
      <w:r w:rsidRPr="002E7D64">
        <w:rPr>
          <w:rFonts w:cs="Times New Roman"/>
        </w:rPr>
        <w:t xml:space="preserve">Recording </w:t>
      </w:r>
      <w:r>
        <w:rPr>
          <w:rFonts w:cs="Times New Roman"/>
        </w:rPr>
        <w:t xml:space="preserve">the partial </w:t>
      </w:r>
      <w:r w:rsidRPr="002E7D64">
        <w:rPr>
          <w:rFonts w:cs="Times New Roman"/>
        </w:rPr>
        <w:t>refund of</w:t>
      </w:r>
      <w:r>
        <w:rPr>
          <w:rFonts w:cs="Times New Roman"/>
        </w:rPr>
        <w:t xml:space="preserve"> a</w:t>
      </w:r>
      <w:r w:rsidRPr="002E7D64">
        <w:rPr>
          <w:rFonts w:cs="Times New Roman"/>
        </w:rPr>
        <w:t xml:space="preserve"> </w:t>
      </w:r>
      <w:r>
        <w:rPr>
          <w:rFonts w:cs="Times New Roman"/>
        </w:rPr>
        <w:t>s</w:t>
      </w:r>
      <w:r w:rsidRPr="00580C80">
        <w:rPr>
          <w:rFonts w:cs="Times New Roman"/>
        </w:rPr>
        <w:t>ecurity/</w:t>
      </w:r>
      <w:r>
        <w:rPr>
          <w:rFonts w:cs="Times New Roman"/>
        </w:rPr>
        <w:t>u</w:t>
      </w:r>
      <w:r w:rsidRPr="00580C80">
        <w:rPr>
          <w:rFonts w:cs="Times New Roman"/>
        </w:rPr>
        <w:t xml:space="preserve">tility </w:t>
      </w:r>
      <w:r w:rsidRPr="002E7D64">
        <w:rPr>
          <w:rFonts w:cs="Times New Roman"/>
        </w:rPr>
        <w:t>d</w:t>
      </w:r>
      <w:r>
        <w:rPr>
          <w:rFonts w:cs="Times New Roman"/>
        </w:rPr>
        <w:t xml:space="preserve">eposit </w:t>
      </w:r>
      <w:r w:rsidRPr="00ED208F">
        <w:rPr>
          <w:rFonts w:cs="Times New Roman"/>
          <w:color w:val="C00000"/>
          <w:u w:val="single"/>
        </w:rPr>
        <w:t xml:space="preserve">after </w:t>
      </w:r>
      <w:r w:rsidRPr="00ED208F">
        <w:rPr>
          <w:rFonts w:cs="Times New Roman"/>
          <w:u w:val="single"/>
        </w:rPr>
        <w:t>grant period/term</w:t>
      </w:r>
    </w:p>
    <w:p w14:paraId="20F1F986" w14:textId="69C753C5" w:rsidR="00114D19" w:rsidRPr="002E7D64" w:rsidRDefault="00190771" w:rsidP="00190771">
      <w:pPr>
        <w:pStyle w:val="NoSpacing"/>
        <w:numPr>
          <w:ilvl w:val="1"/>
          <w:numId w:val="79"/>
        </w:numPr>
        <w:rPr>
          <w:rFonts w:cs="Times New Roman"/>
        </w:rPr>
      </w:pPr>
      <w:r>
        <w:rPr>
          <w:rFonts w:cs="Times New Roman"/>
        </w:rPr>
        <w:t>Debit</w:t>
      </w:r>
      <w:r w:rsidR="00114D19" w:rsidRPr="002E7D64">
        <w:rPr>
          <w:rFonts w:cs="Times New Roman"/>
        </w:rPr>
        <w:t xml:space="preserve">: </w:t>
      </w:r>
      <w:r w:rsidRPr="00190771">
        <w:rPr>
          <w:rFonts w:cs="Times New Roman"/>
        </w:rPr>
        <w:t>Cash (</w:t>
      </w:r>
      <w:proofErr w:type="gramStart"/>
      <w:r w:rsidRPr="00190771">
        <w:rPr>
          <w:rFonts w:cs="Times New Roman"/>
        </w:rPr>
        <w:t>for the amount of</w:t>
      </w:r>
      <w:proofErr w:type="gramEnd"/>
      <w:r w:rsidRPr="00190771">
        <w:rPr>
          <w:rFonts w:cs="Times New Roman"/>
        </w:rPr>
        <w:t xml:space="preserve"> the partial refund)</w:t>
      </w:r>
    </w:p>
    <w:p w14:paraId="7DFE502F" w14:textId="640F9A53" w:rsidR="00114D19" w:rsidRPr="002E7D64" w:rsidRDefault="00114D19" w:rsidP="00114D19">
      <w:pPr>
        <w:pStyle w:val="NoSpacing"/>
        <w:numPr>
          <w:ilvl w:val="1"/>
          <w:numId w:val="79"/>
        </w:numPr>
        <w:rPr>
          <w:rFonts w:cs="Times New Roman"/>
        </w:rPr>
      </w:pPr>
      <w:r>
        <w:rPr>
          <w:rFonts w:cs="Times New Roman"/>
        </w:rPr>
        <w:t>Credit</w:t>
      </w:r>
      <w:r w:rsidRPr="002E7D64">
        <w:rPr>
          <w:rFonts w:cs="Times New Roman"/>
        </w:rPr>
        <w:t>: Misc. Inco</w:t>
      </w:r>
      <w:r w:rsidR="005A2088">
        <w:rPr>
          <w:rFonts w:cs="Times New Roman"/>
        </w:rPr>
        <w:t>–</w:t>
      </w:r>
      <w:r w:rsidRPr="002E7D64">
        <w:rPr>
          <w:rFonts w:cs="Times New Roman"/>
        </w:rPr>
        <w:t xml:space="preserve">e - Refunded </w:t>
      </w:r>
      <w:r w:rsidRPr="00580C80">
        <w:rPr>
          <w:rFonts w:cs="Times New Roman"/>
        </w:rPr>
        <w:t xml:space="preserve">Security/Utility </w:t>
      </w:r>
      <w:r>
        <w:rPr>
          <w:rFonts w:cs="Times New Roman"/>
        </w:rPr>
        <w:t>Deposits</w:t>
      </w:r>
      <w:r w:rsidR="004362B0">
        <w:rPr>
          <w:rFonts w:cs="Times New Roman"/>
        </w:rPr>
        <w:t xml:space="preserve"> (</w:t>
      </w:r>
      <w:proofErr w:type="gramStart"/>
      <w:r w:rsidR="004362B0">
        <w:rPr>
          <w:rFonts w:cs="Times New Roman"/>
        </w:rPr>
        <w:t>for the amount of</w:t>
      </w:r>
      <w:proofErr w:type="gramEnd"/>
      <w:r w:rsidR="004362B0">
        <w:rPr>
          <w:rFonts w:cs="Times New Roman"/>
        </w:rPr>
        <w:t xml:space="preserve"> the partial refund)</w:t>
      </w:r>
    </w:p>
    <w:p w14:paraId="2057185B" w14:textId="15D60752" w:rsidR="00114D19" w:rsidRDefault="00114D19" w:rsidP="00114D19">
      <w:pPr>
        <w:pStyle w:val="NoSpacing"/>
        <w:numPr>
          <w:ilvl w:val="0"/>
          <w:numId w:val="79"/>
        </w:numPr>
        <w:rPr>
          <w:rFonts w:cs="Times New Roman"/>
        </w:rPr>
      </w:pPr>
      <w:r>
        <w:rPr>
          <w:rFonts w:cs="Times New Roman"/>
        </w:rPr>
        <w:t>Clearing the r</w:t>
      </w:r>
      <w:r w:rsidRPr="002E7D64">
        <w:rPr>
          <w:rFonts w:cs="Times New Roman"/>
        </w:rPr>
        <w:t>eceivable for</w:t>
      </w:r>
      <w:r>
        <w:rPr>
          <w:rFonts w:cs="Times New Roman"/>
        </w:rPr>
        <w:t xml:space="preserve"> a partially refunded</w:t>
      </w:r>
      <w:r w:rsidRPr="002E7D64">
        <w:rPr>
          <w:rFonts w:cs="Times New Roman"/>
        </w:rPr>
        <w:t xml:space="preserve"> </w:t>
      </w:r>
      <w:r>
        <w:rPr>
          <w:rFonts w:cs="Times New Roman"/>
        </w:rPr>
        <w:t>security/u</w:t>
      </w:r>
      <w:r w:rsidRPr="00580C80">
        <w:rPr>
          <w:rFonts w:cs="Times New Roman"/>
        </w:rPr>
        <w:t xml:space="preserve">tility </w:t>
      </w:r>
      <w:r>
        <w:rPr>
          <w:rFonts w:cs="Times New Roman"/>
        </w:rPr>
        <w:t xml:space="preserve">deposit </w:t>
      </w:r>
      <w:r w:rsidRPr="00ED208F">
        <w:rPr>
          <w:rFonts w:cs="Times New Roman"/>
          <w:color w:val="C00000"/>
          <w:u w:val="single"/>
        </w:rPr>
        <w:t xml:space="preserve">after </w:t>
      </w:r>
      <w:r w:rsidRPr="00ED208F">
        <w:rPr>
          <w:rFonts w:cs="Times New Roman"/>
          <w:u w:val="single"/>
        </w:rPr>
        <w:t>the grant period/term</w:t>
      </w:r>
    </w:p>
    <w:p w14:paraId="484E2982" w14:textId="348CA1F4" w:rsidR="00114D19" w:rsidRPr="002E7D64" w:rsidRDefault="00114D19" w:rsidP="00114D19">
      <w:pPr>
        <w:pStyle w:val="NoSpacing"/>
        <w:numPr>
          <w:ilvl w:val="1"/>
          <w:numId w:val="79"/>
        </w:numPr>
        <w:rPr>
          <w:rFonts w:cs="Times New Roman"/>
        </w:rPr>
      </w:pPr>
      <w:r>
        <w:rPr>
          <w:rFonts w:cs="Times New Roman"/>
        </w:rPr>
        <w:t xml:space="preserve">Debit (Asset): </w:t>
      </w:r>
      <w:r w:rsidRPr="00580C80">
        <w:rPr>
          <w:rFonts w:cs="Times New Roman"/>
        </w:rPr>
        <w:t xml:space="preserve">Security/Utility </w:t>
      </w:r>
      <w:r>
        <w:rPr>
          <w:rFonts w:cs="Times New Roman"/>
        </w:rPr>
        <w:t>Deposits Held</w:t>
      </w:r>
      <w:r w:rsidR="00697CA7">
        <w:rPr>
          <w:rFonts w:cs="Times New Roman"/>
        </w:rPr>
        <w:t xml:space="preserve"> (c</w:t>
      </w:r>
      <w:r w:rsidRPr="002E7D64">
        <w:rPr>
          <w:rFonts w:cs="Times New Roman"/>
        </w:rPr>
        <w:t>ontra-account)</w:t>
      </w:r>
      <w:r w:rsidR="00697CA7">
        <w:rPr>
          <w:rFonts w:cs="Times New Roman"/>
        </w:rPr>
        <w:t xml:space="preserve"> (name of original payee and client) (for the full amount of the original deposit)</w:t>
      </w:r>
    </w:p>
    <w:p w14:paraId="2D178A14" w14:textId="77777777" w:rsidR="004A4769" w:rsidRDefault="00114D19" w:rsidP="00ED208F">
      <w:pPr>
        <w:pStyle w:val="NoSpacing"/>
        <w:numPr>
          <w:ilvl w:val="1"/>
          <w:numId w:val="79"/>
        </w:numPr>
        <w:rPr>
          <w:rFonts w:cs="Times New Roman"/>
        </w:rPr>
      </w:pPr>
      <w:r>
        <w:rPr>
          <w:rFonts w:cs="Times New Roman"/>
        </w:rPr>
        <w:t>Credit (A</w:t>
      </w:r>
      <w:r w:rsidRPr="002E7D64">
        <w:rPr>
          <w:rFonts w:cs="Times New Roman"/>
        </w:rPr>
        <w:t xml:space="preserve">sset): Refundable </w:t>
      </w:r>
      <w:r w:rsidRPr="00580C80">
        <w:rPr>
          <w:rFonts w:cs="Times New Roman"/>
        </w:rPr>
        <w:t xml:space="preserve">Security/Utility </w:t>
      </w:r>
      <w:r>
        <w:rPr>
          <w:rFonts w:cs="Times New Roman"/>
        </w:rPr>
        <w:t>Deposits (</w:t>
      </w:r>
      <w:r w:rsidR="00697CA7">
        <w:rPr>
          <w:rFonts w:cs="Times New Roman"/>
        </w:rPr>
        <w:t>n</w:t>
      </w:r>
      <w:r>
        <w:rPr>
          <w:rFonts w:cs="Times New Roman"/>
        </w:rPr>
        <w:t xml:space="preserve">ame of </w:t>
      </w:r>
      <w:r w:rsidR="00697CA7">
        <w:rPr>
          <w:rFonts w:cs="Times New Roman"/>
        </w:rPr>
        <w:t>o</w:t>
      </w:r>
      <w:r w:rsidRPr="002E7D64">
        <w:rPr>
          <w:rFonts w:cs="Times New Roman"/>
        </w:rPr>
        <w:t xml:space="preserve">riginal </w:t>
      </w:r>
      <w:r w:rsidR="00697CA7">
        <w:rPr>
          <w:rFonts w:cs="Times New Roman"/>
        </w:rPr>
        <w:t>p</w:t>
      </w:r>
      <w:r>
        <w:rPr>
          <w:rFonts w:cs="Times New Roman"/>
        </w:rPr>
        <w:t xml:space="preserve">ayee and </w:t>
      </w:r>
      <w:r w:rsidR="00697CA7">
        <w:rPr>
          <w:rFonts w:cs="Times New Roman"/>
        </w:rPr>
        <w:t>c</w:t>
      </w:r>
      <w:r w:rsidRPr="002E7D64">
        <w:rPr>
          <w:rFonts w:cs="Times New Roman"/>
        </w:rPr>
        <w:t>lient)</w:t>
      </w:r>
      <w:r w:rsidR="00697CA7">
        <w:rPr>
          <w:rFonts w:cs="Times New Roman"/>
        </w:rPr>
        <w:t xml:space="preserve"> (for the full amount of the original deposit)</w:t>
      </w:r>
    </w:p>
    <w:p w14:paraId="7764CDF7" w14:textId="77777777" w:rsidR="004A4769" w:rsidRPr="003F60BC" w:rsidRDefault="004A4769" w:rsidP="00ED208F">
      <w:pPr>
        <w:pStyle w:val="NoSpacing"/>
        <w:rPr>
          <w:rFonts w:cs="Times New Roman"/>
          <w:b/>
        </w:rPr>
      </w:pPr>
      <w:r w:rsidRPr="001A296F">
        <w:rPr>
          <w:rFonts w:cs="Times New Roman"/>
          <w:b/>
        </w:rPr>
        <w:t xml:space="preserve">Security/Utility </w:t>
      </w:r>
      <w:r w:rsidRPr="003F60BC">
        <w:rPr>
          <w:rFonts w:cs="Times New Roman"/>
          <w:b/>
        </w:rPr>
        <w:t>Deposit Refund Entries</w:t>
      </w:r>
      <w:r>
        <w:rPr>
          <w:rFonts w:cs="Times New Roman"/>
          <w:b/>
        </w:rPr>
        <w:t xml:space="preserve">: </w:t>
      </w:r>
      <w:r w:rsidRPr="003F60BC">
        <w:rPr>
          <w:rFonts w:cs="Times New Roman"/>
          <w:b/>
          <w:color w:val="BF8F00" w:themeColor="accent4" w:themeShade="BF"/>
        </w:rPr>
        <w:t>Not Recovered</w:t>
      </w:r>
    </w:p>
    <w:p w14:paraId="1C53A5F3" w14:textId="77777777" w:rsidR="004A4769" w:rsidRDefault="00697CA7" w:rsidP="00ED208F">
      <w:pPr>
        <w:pStyle w:val="NoSpacing"/>
        <w:numPr>
          <w:ilvl w:val="0"/>
          <w:numId w:val="81"/>
        </w:numPr>
        <w:rPr>
          <w:rFonts w:cs="Times New Roman"/>
        </w:rPr>
      </w:pPr>
      <w:r w:rsidRPr="004A4769">
        <w:rPr>
          <w:rFonts w:cs="Times New Roman"/>
        </w:rPr>
        <w:t>Debit (Asset): Security/Utility Deposits Held (contra-account) (name of original payee and client) (for the full amount of the original deposit)</w:t>
      </w:r>
    </w:p>
    <w:p w14:paraId="05C85796" w14:textId="50120A42" w:rsidR="004A4769" w:rsidRPr="004A4769" w:rsidRDefault="00697CA7" w:rsidP="00ED208F">
      <w:pPr>
        <w:pStyle w:val="NoSpacing"/>
        <w:numPr>
          <w:ilvl w:val="0"/>
          <w:numId w:val="81"/>
        </w:numPr>
        <w:rPr>
          <w:rFonts w:cs="Times New Roman"/>
        </w:rPr>
      </w:pPr>
      <w:r w:rsidRPr="004A4769">
        <w:rPr>
          <w:rFonts w:cs="Times New Roman"/>
        </w:rPr>
        <w:t>Credit (Asset): Refundable Security/Utility Deposits (name of original payee and client) (for the full amount of the original deposit)</w:t>
      </w:r>
    </w:p>
    <w:p w14:paraId="3F550DFE" w14:textId="77777777" w:rsidR="009C0E78" w:rsidRPr="00DA098E" w:rsidRDefault="009C0E78" w:rsidP="009C0E78">
      <w:pPr>
        <w:pStyle w:val="Heading2"/>
        <w:jc w:val="center"/>
        <w:rPr>
          <w:rStyle w:val="Strong"/>
          <w:rFonts w:asciiTheme="minorHAnsi" w:hAnsiTheme="minorHAnsi"/>
          <w:bCs/>
          <w:color w:val="auto"/>
          <w:sz w:val="22"/>
          <w:szCs w:val="22"/>
        </w:rPr>
      </w:pPr>
      <w:r w:rsidRPr="00066B7E">
        <w:rPr>
          <w:rStyle w:val="Strong"/>
        </w:rPr>
        <w:br w:type="page"/>
      </w:r>
      <w:bookmarkStart w:id="66" w:name="_Toc140755489"/>
      <w:r w:rsidRPr="004D594B">
        <w:rPr>
          <w:rStyle w:val="Strong"/>
          <w:rFonts w:asciiTheme="minorHAnsi" w:hAnsiTheme="minorHAnsi"/>
          <w:bCs/>
          <w:color w:val="auto"/>
          <w:sz w:val="22"/>
          <w:szCs w:val="22"/>
        </w:rPr>
        <w:lastRenderedPageBreak/>
        <w:t>Appendix D: Project Sponsor Permanent Housing Placement Application Form</w:t>
      </w:r>
      <w:bookmarkEnd w:id="66"/>
    </w:p>
    <w:p w14:paraId="1B664FFF" w14:textId="77777777" w:rsidR="009C0E78" w:rsidRPr="009C0E78" w:rsidRDefault="009C0E78" w:rsidP="00A5348B">
      <w:pPr>
        <w:pStyle w:val="NoSpacing"/>
        <w:rPr>
          <w:rFonts w:cs="Times New Roman"/>
          <w:sz w:val="16"/>
        </w:rPr>
      </w:pPr>
    </w:p>
    <w:p w14:paraId="4042D555" w14:textId="7733DB05" w:rsidR="00A7369A" w:rsidRPr="00A7369A" w:rsidRDefault="00A7369A" w:rsidP="00A5348B">
      <w:pPr>
        <w:pStyle w:val="NoSpacing"/>
        <w:rPr>
          <w:rFonts w:cs="Times New Roman"/>
          <w:b/>
        </w:rPr>
      </w:pPr>
      <w:r>
        <w:rPr>
          <w:rFonts w:cs="Times New Roman"/>
          <w:b/>
        </w:rPr>
        <w:t>Instructions</w:t>
      </w:r>
    </w:p>
    <w:p w14:paraId="454938EC" w14:textId="503AB744" w:rsidR="00A5348B" w:rsidRDefault="00A7369A" w:rsidP="00125453">
      <w:pPr>
        <w:pStyle w:val="NoSpacing"/>
        <w:rPr>
          <w:rFonts w:cs="Times New Roman"/>
        </w:rPr>
      </w:pPr>
      <w:r w:rsidRPr="00A7369A">
        <w:rPr>
          <w:rFonts w:cs="Times New Roman"/>
        </w:rPr>
        <w:t>Project Sponsor</w:t>
      </w:r>
      <w:r>
        <w:rPr>
          <w:rFonts w:cs="Times New Roman"/>
        </w:rPr>
        <w:t xml:space="preserve">s </w:t>
      </w:r>
      <w:r w:rsidR="00165FD3">
        <w:rPr>
          <w:rFonts w:cs="Times New Roman"/>
        </w:rPr>
        <w:t>planning</w:t>
      </w:r>
      <w:r w:rsidRPr="00A7369A">
        <w:rPr>
          <w:rFonts w:cs="Times New Roman"/>
        </w:rPr>
        <w:t xml:space="preserve"> to provide Permanent Housing Placement (PHP) </w:t>
      </w:r>
      <w:r w:rsidR="00AE36E9">
        <w:rPr>
          <w:rFonts w:cs="Times New Roman"/>
        </w:rPr>
        <w:t xml:space="preserve">services </w:t>
      </w:r>
      <w:r>
        <w:rPr>
          <w:rFonts w:cs="Times New Roman"/>
        </w:rPr>
        <w:t>m</w:t>
      </w:r>
      <w:r w:rsidRPr="00A7369A">
        <w:rPr>
          <w:rFonts w:cs="Times New Roman"/>
        </w:rPr>
        <w:t xml:space="preserve">ust complete </w:t>
      </w:r>
      <w:r>
        <w:rPr>
          <w:rFonts w:cs="Times New Roman"/>
        </w:rPr>
        <w:t>this form,</w:t>
      </w:r>
      <w:r w:rsidRPr="00A7369A">
        <w:rPr>
          <w:rFonts w:cs="Times New Roman"/>
        </w:rPr>
        <w:t xml:space="preserve"> provide</w:t>
      </w:r>
      <w:r>
        <w:rPr>
          <w:rFonts w:cs="Times New Roman"/>
        </w:rPr>
        <w:t xml:space="preserve"> a justification for providing </w:t>
      </w:r>
      <w:r w:rsidRPr="00A7369A">
        <w:rPr>
          <w:rFonts w:cs="Times New Roman"/>
        </w:rPr>
        <w:t>PHP</w:t>
      </w:r>
      <w:r>
        <w:rPr>
          <w:rFonts w:cs="Times New Roman"/>
        </w:rPr>
        <w:t>,</w:t>
      </w:r>
      <w:r w:rsidRPr="00A7369A">
        <w:rPr>
          <w:rFonts w:cs="Times New Roman"/>
        </w:rPr>
        <w:t xml:space="preserve"> and </w:t>
      </w:r>
      <w:r w:rsidR="00125453" w:rsidRPr="00A5348B">
        <w:rPr>
          <w:rFonts w:cs="Times New Roman"/>
        </w:rPr>
        <w:t xml:space="preserve">submit it to </w:t>
      </w:r>
      <w:r w:rsidR="00570DA0">
        <w:rPr>
          <w:rFonts w:cs="Times New Roman"/>
        </w:rPr>
        <w:t>their AA</w:t>
      </w:r>
      <w:r w:rsidR="00125453" w:rsidRPr="00A5348B">
        <w:rPr>
          <w:rFonts w:cs="Times New Roman"/>
        </w:rPr>
        <w:t xml:space="preserve">. </w:t>
      </w:r>
      <w:r w:rsidR="00570DA0">
        <w:rPr>
          <w:rFonts w:cs="Times New Roman"/>
        </w:rPr>
        <w:t>Their AA</w:t>
      </w:r>
      <w:r w:rsidR="00125453" w:rsidRPr="00A5348B">
        <w:rPr>
          <w:rFonts w:cs="Times New Roman"/>
        </w:rPr>
        <w:t xml:space="preserve"> will submit the application to </w:t>
      </w:r>
      <w:hyperlink r:id="rId237" w:history="1">
        <w:r w:rsidR="00125453" w:rsidRPr="00A5348B">
          <w:rPr>
            <w:rStyle w:val="Hyperlink"/>
            <w:rFonts w:cs="Times New Roman"/>
          </w:rPr>
          <w:t>hivstdreport.tech@</w:t>
        </w:r>
        <w:r w:rsidR="00E83027">
          <w:rPr>
            <w:rStyle w:val="Hyperlink"/>
            <w:rFonts w:cs="Times New Roman"/>
          </w:rPr>
          <w:t>dshs.texas.gov</w:t>
        </w:r>
      </w:hyperlink>
      <w:r w:rsidR="00125453" w:rsidRPr="00A5348B">
        <w:rPr>
          <w:rFonts w:cs="Times New Roman"/>
        </w:rPr>
        <w:t xml:space="preserve"> on behalf of</w:t>
      </w:r>
      <w:r w:rsidR="00125453">
        <w:rPr>
          <w:rFonts w:cs="Times New Roman"/>
        </w:rPr>
        <w:t xml:space="preserve"> Project Sponsors for approval. AA</w:t>
      </w:r>
      <w:r w:rsidR="00570DA0">
        <w:rPr>
          <w:rFonts w:cs="Times New Roman"/>
        </w:rPr>
        <w:t>s</w:t>
      </w:r>
      <w:r w:rsidR="00125453">
        <w:rPr>
          <w:rFonts w:cs="Times New Roman"/>
        </w:rPr>
        <w:t xml:space="preserve"> and Project Sponsor</w:t>
      </w:r>
      <w:r w:rsidR="00570DA0">
        <w:rPr>
          <w:rFonts w:cs="Times New Roman"/>
        </w:rPr>
        <w:t>s</w:t>
      </w:r>
      <w:r w:rsidR="00125453">
        <w:rPr>
          <w:rFonts w:cs="Times New Roman"/>
        </w:rPr>
        <w:t xml:space="preserve"> must o</w:t>
      </w:r>
      <w:r w:rsidR="00125453" w:rsidRPr="00125453">
        <w:rPr>
          <w:rFonts w:cs="Times New Roman"/>
        </w:rPr>
        <w:t xml:space="preserve">btain accounting technical assistance from the DSHS </w:t>
      </w:r>
      <w:r w:rsidR="00090FEF">
        <w:rPr>
          <w:rFonts w:cs="Times New Roman"/>
        </w:rPr>
        <w:t xml:space="preserve">Fiscal </w:t>
      </w:r>
      <w:r w:rsidR="00B92013">
        <w:rPr>
          <w:rFonts w:cs="Times New Roman"/>
        </w:rPr>
        <w:t xml:space="preserve">Support and Oversight </w:t>
      </w:r>
      <w:r w:rsidR="00090FEF">
        <w:rPr>
          <w:rFonts w:cs="Times New Roman"/>
        </w:rPr>
        <w:t>(F</w:t>
      </w:r>
      <w:r w:rsidR="00B92013">
        <w:rPr>
          <w:rFonts w:cs="Times New Roman"/>
        </w:rPr>
        <w:t>SO</w:t>
      </w:r>
      <w:r w:rsidR="00090FEF">
        <w:rPr>
          <w:rFonts w:cs="Times New Roman"/>
        </w:rPr>
        <w:t>)</w:t>
      </w:r>
      <w:r w:rsidR="00B92013">
        <w:rPr>
          <w:rFonts w:cs="Times New Roman"/>
        </w:rPr>
        <w:t xml:space="preserve"> Unit</w:t>
      </w:r>
      <w:r w:rsidR="00125453">
        <w:rPr>
          <w:rFonts w:cs="Times New Roman"/>
        </w:rPr>
        <w:t>, f</w:t>
      </w:r>
      <w:r w:rsidR="00125453" w:rsidRPr="00125453">
        <w:rPr>
          <w:rFonts w:cs="Times New Roman"/>
        </w:rPr>
        <w:t>ollow the DSHS Accounting Guidelines for documenting PHP services; and</w:t>
      </w:r>
      <w:r w:rsidR="00125453">
        <w:rPr>
          <w:rFonts w:cs="Times New Roman"/>
        </w:rPr>
        <w:t xml:space="preserve"> s</w:t>
      </w:r>
      <w:r w:rsidR="00125453" w:rsidRPr="00125453">
        <w:rPr>
          <w:rFonts w:cs="Times New Roman"/>
        </w:rPr>
        <w:t xml:space="preserve">ubmit revised Project Sponsor Data Sheets to DSHS </w:t>
      </w:r>
      <w:hyperlink r:id="rId238" w:history="1">
        <w:r w:rsidR="00125453" w:rsidRPr="001A3B87">
          <w:rPr>
            <w:rStyle w:val="Hyperlink"/>
            <w:rFonts w:cs="Times New Roman"/>
          </w:rPr>
          <w:t>hivstdreport.tech@</w:t>
        </w:r>
        <w:r w:rsidR="00E83027">
          <w:rPr>
            <w:rStyle w:val="Hyperlink"/>
            <w:rFonts w:cs="Times New Roman"/>
          </w:rPr>
          <w:t>dshs.texas.gov</w:t>
        </w:r>
      </w:hyperlink>
      <w:r w:rsidR="00125453">
        <w:rPr>
          <w:rFonts w:cs="Times New Roman"/>
        </w:rPr>
        <w:t xml:space="preserve">. </w:t>
      </w:r>
    </w:p>
    <w:p w14:paraId="2731BBA7" w14:textId="77777777" w:rsidR="00125453" w:rsidRDefault="00125453" w:rsidP="00125453">
      <w:pPr>
        <w:pStyle w:val="NoSpacing"/>
        <w:rPr>
          <w:rFonts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2"/>
        <w:gridCol w:w="596"/>
        <w:gridCol w:w="969"/>
        <w:gridCol w:w="1189"/>
        <w:gridCol w:w="2158"/>
        <w:gridCol w:w="486"/>
        <w:gridCol w:w="1672"/>
        <w:gridCol w:w="2158"/>
      </w:tblGrid>
      <w:tr w:rsidR="00125453" w14:paraId="7D430536" w14:textId="77777777" w:rsidTr="00B002C5">
        <w:trPr>
          <w:trHeight w:val="20"/>
        </w:trPr>
        <w:tc>
          <w:tcPr>
            <w:tcW w:w="5000" w:type="pct"/>
            <w:gridSpan w:val="8"/>
            <w:tcBorders>
              <w:bottom w:val="single" w:sz="4" w:space="0" w:color="auto"/>
            </w:tcBorders>
            <w:shd w:val="clear" w:color="auto" w:fill="D0CECE" w:themeFill="background2" w:themeFillShade="E6"/>
          </w:tcPr>
          <w:p w14:paraId="09A831D8" w14:textId="41332791" w:rsidR="00125453" w:rsidRPr="00125453" w:rsidRDefault="00125453" w:rsidP="00125453">
            <w:pPr>
              <w:pStyle w:val="NoSpacing"/>
              <w:jc w:val="center"/>
              <w:rPr>
                <w:b/>
              </w:rPr>
            </w:pPr>
            <w:r w:rsidRPr="00125453">
              <w:rPr>
                <w:b/>
              </w:rPr>
              <w:t>DSHS HOPWA Program</w:t>
            </w:r>
          </w:p>
          <w:p w14:paraId="148CEBE9" w14:textId="276353B4" w:rsidR="00125453" w:rsidRPr="00125453" w:rsidRDefault="00125453" w:rsidP="00125453">
            <w:pPr>
              <w:pStyle w:val="NoSpacing"/>
              <w:jc w:val="center"/>
              <w:rPr>
                <w:b/>
              </w:rPr>
            </w:pPr>
            <w:r w:rsidRPr="00125453">
              <w:rPr>
                <w:b/>
              </w:rPr>
              <w:t>Project Sponsor Permanent Housing Placement Application Form</w:t>
            </w:r>
          </w:p>
        </w:tc>
      </w:tr>
      <w:tr w:rsidR="00B002C5" w14:paraId="0E74FB76" w14:textId="77777777" w:rsidTr="00B002C5">
        <w:trPr>
          <w:trHeight w:val="20"/>
        </w:trPr>
        <w:tc>
          <w:tcPr>
            <w:tcW w:w="1000" w:type="pct"/>
            <w:gridSpan w:val="2"/>
            <w:shd w:val="clear" w:color="auto" w:fill="E7E6E6" w:themeFill="background2"/>
          </w:tcPr>
          <w:p w14:paraId="0F2BD1F8" w14:textId="3588BC8B" w:rsidR="00125453" w:rsidRDefault="00125453" w:rsidP="00B002C5">
            <w:pPr>
              <w:pStyle w:val="NoSpacing"/>
            </w:pPr>
            <w:r>
              <w:t>AA</w:t>
            </w:r>
          </w:p>
        </w:tc>
        <w:tc>
          <w:tcPr>
            <w:tcW w:w="1000" w:type="pct"/>
            <w:gridSpan w:val="2"/>
            <w:shd w:val="clear" w:color="auto" w:fill="E7E6E6" w:themeFill="background2"/>
          </w:tcPr>
          <w:p w14:paraId="1700FAD9" w14:textId="3E1F90EC" w:rsidR="00125453" w:rsidRDefault="00125453" w:rsidP="00B002C5">
            <w:pPr>
              <w:pStyle w:val="NoSpacing"/>
            </w:pPr>
            <w:r>
              <w:t>Project Sponsor</w:t>
            </w:r>
          </w:p>
        </w:tc>
        <w:tc>
          <w:tcPr>
            <w:tcW w:w="1000" w:type="pct"/>
            <w:shd w:val="clear" w:color="auto" w:fill="E7E6E6" w:themeFill="background2"/>
          </w:tcPr>
          <w:p w14:paraId="1BA41DA4" w14:textId="77777777" w:rsidR="00125453" w:rsidRDefault="00125453" w:rsidP="00B002C5">
            <w:pPr>
              <w:pStyle w:val="NoSpacing"/>
            </w:pPr>
            <w:r>
              <w:t>Project Year</w:t>
            </w:r>
          </w:p>
        </w:tc>
        <w:tc>
          <w:tcPr>
            <w:tcW w:w="1000" w:type="pct"/>
            <w:gridSpan w:val="2"/>
            <w:shd w:val="clear" w:color="auto" w:fill="E7E6E6" w:themeFill="background2"/>
          </w:tcPr>
          <w:p w14:paraId="0211E902" w14:textId="5037CEA4" w:rsidR="00125453" w:rsidRDefault="00B002C5" w:rsidP="00B002C5">
            <w:pPr>
              <w:pStyle w:val="NoSpacing"/>
            </w:pPr>
            <w:r>
              <w:t>Proposed PHP a</w:t>
            </w:r>
            <w:r w:rsidR="00125453">
              <w:t>llocation</w:t>
            </w:r>
          </w:p>
        </w:tc>
        <w:tc>
          <w:tcPr>
            <w:tcW w:w="1000" w:type="pct"/>
            <w:shd w:val="clear" w:color="auto" w:fill="E7E6E6" w:themeFill="background2"/>
          </w:tcPr>
          <w:p w14:paraId="0424AFB2" w14:textId="18B0DD32" w:rsidR="00125453" w:rsidRDefault="00B002C5" w:rsidP="00B002C5">
            <w:pPr>
              <w:pStyle w:val="NoSpacing"/>
            </w:pPr>
            <w:r>
              <w:t>Proposed n</w:t>
            </w:r>
            <w:r w:rsidR="00125453">
              <w:t xml:space="preserve">umber of households to </w:t>
            </w:r>
            <w:r>
              <w:t>serve</w:t>
            </w:r>
          </w:p>
        </w:tc>
      </w:tr>
      <w:tr w:rsidR="00B002C5" w14:paraId="5BA3A2D8" w14:textId="77777777" w:rsidTr="00B002C5">
        <w:trPr>
          <w:trHeight w:val="20"/>
        </w:trPr>
        <w:tc>
          <w:tcPr>
            <w:tcW w:w="1000" w:type="pct"/>
            <w:gridSpan w:val="2"/>
          </w:tcPr>
          <w:p w14:paraId="38DFA664" w14:textId="77777777" w:rsidR="00125453" w:rsidRDefault="00125453" w:rsidP="00B002C5">
            <w:pPr>
              <w:pStyle w:val="NoSpacing"/>
            </w:pPr>
          </w:p>
          <w:p w14:paraId="253D5140" w14:textId="77777777" w:rsidR="00B002C5" w:rsidRDefault="00B002C5" w:rsidP="00B002C5">
            <w:pPr>
              <w:pStyle w:val="NoSpacing"/>
            </w:pPr>
          </w:p>
          <w:p w14:paraId="76FF0E53" w14:textId="77777777" w:rsidR="00125453" w:rsidRDefault="00125453" w:rsidP="00B002C5">
            <w:pPr>
              <w:pStyle w:val="NoSpacing"/>
            </w:pPr>
          </w:p>
        </w:tc>
        <w:tc>
          <w:tcPr>
            <w:tcW w:w="1000" w:type="pct"/>
            <w:gridSpan w:val="2"/>
          </w:tcPr>
          <w:p w14:paraId="3C62CA89" w14:textId="77777777" w:rsidR="00125453" w:rsidRDefault="00125453" w:rsidP="00B002C5">
            <w:pPr>
              <w:pStyle w:val="NoSpacing"/>
            </w:pPr>
          </w:p>
          <w:p w14:paraId="3500ABC8" w14:textId="77777777" w:rsidR="00B002C5" w:rsidRDefault="00B002C5" w:rsidP="00B002C5">
            <w:pPr>
              <w:pStyle w:val="NoSpacing"/>
            </w:pPr>
          </w:p>
          <w:p w14:paraId="31D56CF5" w14:textId="77777777" w:rsidR="00B002C5" w:rsidRDefault="00B002C5" w:rsidP="00B002C5">
            <w:pPr>
              <w:pStyle w:val="NoSpacing"/>
            </w:pPr>
          </w:p>
        </w:tc>
        <w:tc>
          <w:tcPr>
            <w:tcW w:w="1000" w:type="pct"/>
          </w:tcPr>
          <w:p w14:paraId="07668192" w14:textId="77777777" w:rsidR="00125453" w:rsidRDefault="00125453" w:rsidP="00B002C5">
            <w:pPr>
              <w:pStyle w:val="NoSpacing"/>
            </w:pPr>
          </w:p>
          <w:p w14:paraId="02856707" w14:textId="77777777" w:rsidR="00B002C5" w:rsidRDefault="00B002C5" w:rsidP="00B002C5">
            <w:pPr>
              <w:pStyle w:val="NoSpacing"/>
            </w:pPr>
          </w:p>
          <w:p w14:paraId="63C1AE92" w14:textId="77777777" w:rsidR="00B002C5" w:rsidRDefault="00B002C5" w:rsidP="00B002C5">
            <w:pPr>
              <w:pStyle w:val="NoSpacing"/>
            </w:pPr>
          </w:p>
        </w:tc>
        <w:tc>
          <w:tcPr>
            <w:tcW w:w="1000" w:type="pct"/>
            <w:gridSpan w:val="2"/>
          </w:tcPr>
          <w:p w14:paraId="0DFEEA13" w14:textId="77777777" w:rsidR="00B002C5" w:rsidRDefault="00B002C5" w:rsidP="00B002C5">
            <w:pPr>
              <w:pStyle w:val="NoSpacing"/>
            </w:pPr>
          </w:p>
          <w:p w14:paraId="68CB4D3D" w14:textId="77777777" w:rsidR="00B002C5" w:rsidRDefault="00B002C5" w:rsidP="00B002C5">
            <w:pPr>
              <w:pStyle w:val="NoSpacing"/>
            </w:pPr>
          </w:p>
          <w:p w14:paraId="18530064" w14:textId="77777777" w:rsidR="00B002C5" w:rsidRDefault="00B002C5" w:rsidP="00B002C5">
            <w:pPr>
              <w:pStyle w:val="NoSpacing"/>
            </w:pPr>
          </w:p>
        </w:tc>
        <w:tc>
          <w:tcPr>
            <w:tcW w:w="1000" w:type="pct"/>
          </w:tcPr>
          <w:p w14:paraId="4342BEA4" w14:textId="77777777" w:rsidR="00125453" w:rsidRDefault="00125453" w:rsidP="00B002C5">
            <w:pPr>
              <w:pStyle w:val="NoSpacing"/>
            </w:pPr>
          </w:p>
          <w:p w14:paraId="729869E6" w14:textId="77777777" w:rsidR="00125453" w:rsidRDefault="00125453" w:rsidP="00B002C5">
            <w:pPr>
              <w:pStyle w:val="NoSpacing"/>
            </w:pPr>
          </w:p>
          <w:p w14:paraId="5C2391F7" w14:textId="77777777" w:rsidR="00125453" w:rsidRDefault="00125453" w:rsidP="00B002C5">
            <w:pPr>
              <w:pStyle w:val="NoSpacing"/>
            </w:pPr>
          </w:p>
        </w:tc>
      </w:tr>
      <w:tr w:rsidR="00125453" w14:paraId="6C69C172" w14:textId="77777777" w:rsidTr="00B002C5">
        <w:trPr>
          <w:trHeight w:val="20"/>
        </w:trPr>
        <w:tc>
          <w:tcPr>
            <w:tcW w:w="5000" w:type="pct"/>
            <w:gridSpan w:val="8"/>
            <w:tcBorders>
              <w:bottom w:val="single" w:sz="4" w:space="0" w:color="auto"/>
            </w:tcBorders>
          </w:tcPr>
          <w:p w14:paraId="2FAB2AD0" w14:textId="77777777" w:rsidR="00125453" w:rsidRDefault="00125453" w:rsidP="00B002C5">
            <w:pPr>
              <w:pStyle w:val="NoSpacing"/>
            </w:pPr>
            <w:r>
              <w:t>Justification for request:</w:t>
            </w:r>
          </w:p>
          <w:p w14:paraId="54962815" w14:textId="77777777" w:rsidR="00125453" w:rsidRDefault="00125453" w:rsidP="00B002C5">
            <w:pPr>
              <w:pStyle w:val="NoSpacing"/>
            </w:pPr>
          </w:p>
          <w:p w14:paraId="54227518" w14:textId="77777777" w:rsidR="00B002C5" w:rsidRDefault="00B002C5" w:rsidP="00B002C5">
            <w:pPr>
              <w:pStyle w:val="NoSpacing"/>
            </w:pPr>
          </w:p>
          <w:p w14:paraId="48F300D2" w14:textId="77777777" w:rsidR="00B002C5" w:rsidRDefault="00B002C5" w:rsidP="00B002C5">
            <w:pPr>
              <w:pStyle w:val="NoSpacing"/>
            </w:pPr>
          </w:p>
          <w:p w14:paraId="2D734FBB" w14:textId="77777777" w:rsidR="00B002C5" w:rsidRDefault="00B002C5" w:rsidP="00B002C5">
            <w:pPr>
              <w:pStyle w:val="NoSpacing"/>
            </w:pPr>
          </w:p>
          <w:p w14:paraId="1F8C8226" w14:textId="77777777" w:rsidR="00125453" w:rsidRDefault="00125453" w:rsidP="00B002C5">
            <w:pPr>
              <w:pStyle w:val="NoSpacing"/>
            </w:pPr>
          </w:p>
        </w:tc>
      </w:tr>
      <w:tr w:rsidR="00B002C5" w14:paraId="599DA7FF" w14:textId="77777777" w:rsidTr="00B002C5">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1F25B19" w14:textId="77777777" w:rsidR="00B002C5" w:rsidRPr="00B002C5" w:rsidRDefault="00B002C5" w:rsidP="00B002C5">
            <w:pPr>
              <w:pStyle w:val="NoSpacing"/>
              <w:rPr>
                <w:b/>
              </w:rPr>
            </w:pPr>
            <w:r w:rsidRPr="00B002C5">
              <w:rPr>
                <w:b/>
              </w:rPr>
              <w:t>For DSHS Use Only</w:t>
            </w:r>
          </w:p>
        </w:tc>
      </w:tr>
      <w:tr w:rsidR="00B002C5" w14:paraId="52BB31D0" w14:textId="77777777" w:rsidTr="00B002C5">
        <w:trPr>
          <w:trHeight w:val="20"/>
        </w:trPr>
        <w:tc>
          <w:tcPr>
            <w:tcW w:w="724" w:type="pct"/>
            <w:shd w:val="clear" w:color="auto" w:fill="E7E6E6" w:themeFill="background2"/>
          </w:tcPr>
          <w:p w14:paraId="5E7565FE" w14:textId="1B727F9D" w:rsidR="00B002C5" w:rsidRPr="00B002C5" w:rsidRDefault="00B002C5" w:rsidP="00B002C5">
            <w:pPr>
              <w:pStyle w:val="NoSpacing"/>
              <w:rPr>
                <w:b/>
              </w:rPr>
            </w:pPr>
            <w:r w:rsidRPr="00B002C5">
              <w:rPr>
                <w:b/>
              </w:rPr>
              <w:t>Date</w:t>
            </w:r>
          </w:p>
        </w:tc>
        <w:tc>
          <w:tcPr>
            <w:tcW w:w="725" w:type="pct"/>
            <w:gridSpan w:val="2"/>
            <w:shd w:val="clear" w:color="auto" w:fill="E7E6E6" w:themeFill="background2"/>
          </w:tcPr>
          <w:p w14:paraId="5409F482" w14:textId="65A1DF0C" w:rsidR="00B002C5" w:rsidRPr="00B002C5" w:rsidRDefault="00B002C5" w:rsidP="00B002C5">
            <w:pPr>
              <w:pStyle w:val="NoSpacing"/>
              <w:rPr>
                <w:b/>
              </w:rPr>
            </w:pPr>
            <w:r>
              <w:rPr>
                <w:b/>
              </w:rPr>
              <w:t>Recipient’s name and s</w:t>
            </w:r>
            <w:r w:rsidRPr="00B002C5">
              <w:rPr>
                <w:b/>
              </w:rPr>
              <w:t>ignature</w:t>
            </w:r>
          </w:p>
        </w:tc>
        <w:tc>
          <w:tcPr>
            <w:tcW w:w="1776" w:type="pct"/>
            <w:gridSpan w:val="3"/>
          </w:tcPr>
          <w:p w14:paraId="6AF10B0F" w14:textId="464AA604" w:rsidR="00B002C5" w:rsidRDefault="00090FEF" w:rsidP="00B002C5">
            <w:pPr>
              <w:pStyle w:val="NoSpacing"/>
            </w:pPr>
            <w:r>
              <w:t xml:space="preserve">FMU </w:t>
            </w:r>
            <w:r w:rsidR="00B002C5">
              <w:t>to enter names and titles of technical assistance participants at the AA and Project Sponsor levels:</w:t>
            </w:r>
          </w:p>
        </w:tc>
        <w:tc>
          <w:tcPr>
            <w:tcW w:w="1775" w:type="pct"/>
            <w:gridSpan w:val="2"/>
          </w:tcPr>
          <w:p w14:paraId="3C42336A" w14:textId="57DD8BD4" w:rsidR="00B002C5" w:rsidRDefault="00B002C5" w:rsidP="00B002C5">
            <w:pPr>
              <w:pStyle w:val="NoSpacing"/>
            </w:pPr>
            <w:r>
              <w:t>The AA must submit the following documents to the HIV Care Services Group and CMU after final approval:</w:t>
            </w:r>
          </w:p>
        </w:tc>
      </w:tr>
      <w:tr w:rsidR="00B002C5" w14:paraId="526C57BD" w14:textId="77777777" w:rsidTr="00B002C5">
        <w:trPr>
          <w:cantSplit/>
          <w:trHeight w:val="20"/>
        </w:trPr>
        <w:tc>
          <w:tcPr>
            <w:tcW w:w="1449" w:type="pct"/>
            <w:gridSpan w:val="3"/>
            <w:shd w:val="clear" w:color="auto" w:fill="E7E6E6" w:themeFill="background2"/>
          </w:tcPr>
          <w:p w14:paraId="3B9F5857" w14:textId="34D9DE99" w:rsidR="00B002C5" w:rsidRDefault="00B002C5" w:rsidP="00B002C5">
            <w:pPr>
              <w:pStyle w:val="NoSpacing"/>
            </w:pPr>
            <w:r>
              <w:t>HIV Care Services Group</w:t>
            </w:r>
          </w:p>
        </w:tc>
        <w:tc>
          <w:tcPr>
            <w:tcW w:w="1776" w:type="pct"/>
            <w:gridSpan w:val="3"/>
            <w:vMerge w:val="restart"/>
          </w:tcPr>
          <w:p w14:paraId="6B0CC4F7" w14:textId="77777777" w:rsidR="00B002C5" w:rsidRDefault="00B002C5" w:rsidP="00B002C5">
            <w:pPr>
              <w:pStyle w:val="NoSpacing"/>
            </w:pPr>
          </w:p>
        </w:tc>
        <w:tc>
          <w:tcPr>
            <w:tcW w:w="1775" w:type="pct"/>
            <w:gridSpan w:val="2"/>
            <w:vMerge w:val="restart"/>
          </w:tcPr>
          <w:p w14:paraId="1A79EC56" w14:textId="77777777" w:rsidR="00B002C5" w:rsidRDefault="00B002C5" w:rsidP="00754E9B">
            <w:pPr>
              <w:pStyle w:val="NoSpacing"/>
              <w:numPr>
                <w:ilvl w:val="0"/>
                <w:numId w:val="21"/>
              </w:numPr>
              <w:ind w:left="364"/>
            </w:pPr>
            <w:r>
              <w:t>Revised Project Sponsor Data Sheet</w:t>
            </w:r>
          </w:p>
        </w:tc>
      </w:tr>
      <w:tr w:rsidR="00B002C5" w14:paraId="0BA2E691" w14:textId="77777777" w:rsidTr="00B002C5">
        <w:trPr>
          <w:cantSplit/>
          <w:trHeight w:val="20"/>
        </w:trPr>
        <w:tc>
          <w:tcPr>
            <w:tcW w:w="724" w:type="pct"/>
          </w:tcPr>
          <w:p w14:paraId="216EC5DA" w14:textId="77777777" w:rsidR="00B002C5" w:rsidRDefault="00B002C5" w:rsidP="00B002C5">
            <w:pPr>
              <w:pStyle w:val="NoSpacing"/>
            </w:pPr>
          </w:p>
          <w:p w14:paraId="31A90E05" w14:textId="77777777" w:rsidR="00B002C5" w:rsidRDefault="00B002C5" w:rsidP="00B002C5">
            <w:pPr>
              <w:pStyle w:val="NoSpacing"/>
            </w:pPr>
          </w:p>
        </w:tc>
        <w:tc>
          <w:tcPr>
            <w:tcW w:w="725" w:type="pct"/>
            <w:gridSpan w:val="2"/>
          </w:tcPr>
          <w:p w14:paraId="3D8B96C8" w14:textId="77777777" w:rsidR="00B002C5" w:rsidRDefault="00B002C5" w:rsidP="00B002C5">
            <w:pPr>
              <w:pStyle w:val="NoSpacing"/>
            </w:pPr>
          </w:p>
        </w:tc>
        <w:tc>
          <w:tcPr>
            <w:tcW w:w="1776" w:type="pct"/>
            <w:gridSpan w:val="3"/>
            <w:vMerge/>
          </w:tcPr>
          <w:p w14:paraId="2F243CA4" w14:textId="77777777" w:rsidR="00B002C5" w:rsidRDefault="00B002C5" w:rsidP="00B002C5">
            <w:pPr>
              <w:pStyle w:val="NoSpacing"/>
            </w:pPr>
          </w:p>
        </w:tc>
        <w:tc>
          <w:tcPr>
            <w:tcW w:w="1775" w:type="pct"/>
            <w:gridSpan w:val="2"/>
            <w:vMerge/>
          </w:tcPr>
          <w:p w14:paraId="1C372C15" w14:textId="77777777" w:rsidR="00B002C5" w:rsidRDefault="00B002C5" w:rsidP="00B002C5">
            <w:pPr>
              <w:pStyle w:val="NoSpacing"/>
            </w:pPr>
          </w:p>
        </w:tc>
      </w:tr>
      <w:tr w:rsidR="00B002C5" w14:paraId="65462BB7" w14:textId="77777777" w:rsidTr="00B002C5">
        <w:trPr>
          <w:cantSplit/>
          <w:trHeight w:val="20"/>
        </w:trPr>
        <w:tc>
          <w:tcPr>
            <w:tcW w:w="1449" w:type="pct"/>
            <w:gridSpan w:val="3"/>
            <w:shd w:val="clear" w:color="auto" w:fill="E7E6E6" w:themeFill="background2"/>
          </w:tcPr>
          <w:p w14:paraId="0374005A" w14:textId="38CFB681" w:rsidR="00B002C5" w:rsidRDefault="00B002C5">
            <w:pPr>
              <w:pStyle w:val="NoSpacing"/>
            </w:pPr>
            <w:r>
              <w:t xml:space="preserve">Received by </w:t>
            </w:r>
            <w:r w:rsidR="00090FEF">
              <w:t>FMU</w:t>
            </w:r>
          </w:p>
        </w:tc>
        <w:tc>
          <w:tcPr>
            <w:tcW w:w="1776" w:type="pct"/>
            <w:gridSpan w:val="3"/>
            <w:vMerge/>
          </w:tcPr>
          <w:p w14:paraId="143E2E9A" w14:textId="77777777" w:rsidR="00B002C5" w:rsidRDefault="00B002C5" w:rsidP="00B002C5">
            <w:pPr>
              <w:pStyle w:val="NoSpacing"/>
            </w:pPr>
          </w:p>
        </w:tc>
        <w:tc>
          <w:tcPr>
            <w:tcW w:w="1775" w:type="pct"/>
            <w:gridSpan w:val="2"/>
            <w:vMerge/>
          </w:tcPr>
          <w:p w14:paraId="308E7C60" w14:textId="77777777" w:rsidR="00B002C5" w:rsidRDefault="00B002C5" w:rsidP="00B002C5">
            <w:pPr>
              <w:pStyle w:val="NoSpacing"/>
            </w:pPr>
          </w:p>
        </w:tc>
      </w:tr>
      <w:tr w:rsidR="00B002C5" w14:paraId="35795658" w14:textId="77777777" w:rsidTr="00B002C5">
        <w:trPr>
          <w:cantSplit/>
          <w:trHeight w:val="20"/>
        </w:trPr>
        <w:tc>
          <w:tcPr>
            <w:tcW w:w="724" w:type="pct"/>
          </w:tcPr>
          <w:p w14:paraId="5007F833" w14:textId="77777777" w:rsidR="00B002C5" w:rsidRDefault="00B002C5" w:rsidP="00B002C5">
            <w:pPr>
              <w:pStyle w:val="NoSpacing"/>
            </w:pPr>
          </w:p>
          <w:p w14:paraId="5CC9ABDF" w14:textId="77777777" w:rsidR="00B002C5" w:rsidRDefault="00B002C5" w:rsidP="00B002C5">
            <w:pPr>
              <w:pStyle w:val="NoSpacing"/>
            </w:pPr>
          </w:p>
        </w:tc>
        <w:tc>
          <w:tcPr>
            <w:tcW w:w="725" w:type="pct"/>
            <w:gridSpan w:val="2"/>
          </w:tcPr>
          <w:p w14:paraId="3FD360B4" w14:textId="77777777" w:rsidR="00B002C5" w:rsidRDefault="00B002C5" w:rsidP="00B002C5">
            <w:pPr>
              <w:pStyle w:val="NoSpacing"/>
            </w:pPr>
          </w:p>
        </w:tc>
        <w:tc>
          <w:tcPr>
            <w:tcW w:w="1776" w:type="pct"/>
            <w:gridSpan w:val="3"/>
            <w:vMerge/>
          </w:tcPr>
          <w:p w14:paraId="2B31B94D" w14:textId="77777777" w:rsidR="00B002C5" w:rsidRDefault="00B002C5" w:rsidP="00B002C5">
            <w:pPr>
              <w:pStyle w:val="NoSpacing"/>
            </w:pPr>
          </w:p>
        </w:tc>
        <w:tc>
          <w:tcPr>
            <w:tcW w:w="1775" w:type="pct"/>
            <w:gridSpan w:val="2"/>
            <w:vMerge/>
          </w:tcPr>
          <w:p w14:paraId="2D9E85A2" w14:textId="77777777" w:rsidR="00B002C5" w:rsidRDefault="00B002C5" w:rsidP="00B002C5">
            <w:pPr>
              <w:pStyle w:val="NoSpacing"/>
            </w:pPr>
          </w:p>
        </w:tc>
      </w:tr>
      <w:tr w:rsidR="00B002C5" w14:paraId="0F73620D" w14:textId="77777777" w:rsidTr="00B002C5">
        <w:trPr>
          <w:cantSplit/>
          <w:trHeight w:val="20"/>
        </w:trPr>
        <w:tc>
          <w:tcPr>
            <w:tcW w:w="1449" w:type="pct"/>
            <w:gridSpan w:val="3"/>
            <w:shd w:val="clear" w:color="auto" w:fill="E7E6E6" w:themeFill="background2"/>
          </w:tcPr>
          <w:p w14:paraId="0AF2342E" w14:textId="13993E8B" w:rsidR="00B002C5" w:rsidRDefault="00B002C5">
            <w:pPr>
              <w:pStyle w:val="NoSpacing"/>
            </w:pPr>
            <w:r>
              <w:t xml:space="preserve">Approved by </w:t>
            </w:r>
            <w:r w:rsidR="00090FEF">
              <w:t>FMU</w:t>
            </w:r>
          </w:p>
        </w:tc>
        <w:tc>
          <w:tcPr>
            <w:tcW w:w="3551" w:type="pct"/>
            <w:gridSpan w:val="5"/>
            <w:vMerge w:val="restart"/>
          </w:tcPr>
          <w:p w14:paraId="08C883C2" w14:textId="77777777" w:rsidR="00B002C5" w:rsidRDefault="00B002C5" w:rsidP="00B002C5">
            <w:pPr>
              <w:pStyle w:val="NoSpacing"/>
            </w:pPr>
            <w:r>
              <w:t>DSHS Comments:</w:t>
            </w:r>
          </w:p>
        </w:tc>
      </w:tr>
      <w:tr w:rsidR="00B002C5" w14:paraId="406DF889" w14:textId="77777777" w:rsidTr="00B002C5">
        <w:trPr>
          <w:cantSplit/>
          <w:trHeight w:val="20"/>
        </w:trPr>
        <w:tc>
          <w:tcPr>
            <w:tcW w:w="724" w:type="pct"/>
          </w:tcPr>
          <w:p w14:paraId="58854584" w14:textId="77777777" w:rsidR="00B002C5" w:rsidRDefault="00B002C5" w:rsidP="00B002C5">
            <w:pPr>
              <w:pStyle w:val="NoSpacing"/>
            </w:pPr>
          </w:p>
          <w:p w14:paraId="0BC8CD05" w14:textId="77777777" w:rsidR="00B002C5" w:rsidRDefault="00B002C5" w:rsidP="00B002C5">
            <w:pPr>
              <w:pStyle w:val="NoSpacing"/>
            </w:pPr>
          </w:p>
        </w:tc>
        <w:tc>
          <w:tcPr>
            <w:tcW w:w="725" w:type="pct"/>
            <w:gridSpan w:val="2"/>
          </w:tcPr>
          <w:p w14:paraId="316DFA28" w14:textId="77777777" w:rsidR="00B002C5" w:rsidRDefault="00B002C5" w:rsidP="00B002C5">
            <w:pPr>
              <w:pStyle w:val="NoSpacing"/>
            </w:pPr>
          </w:p>
        </w:tc>
        <w:tc>
          <w:tcPr>
            <w:tcW w:w="3551" w:type="pct"/>
            <w:gridSpan w:val="5"/>
            <w:vMerge/>
          </w:tcPr>
          <w:p w14:paraId="632292FE" w14:textId="77777777" w:rsidR="00B002C5" w:rsidRDefault="00B002C5" w:rsidP="00B002C5">
            <w:pPr>
              <w:pStyle w:val="NoSpacing"/>
            </w:pPr>
          </w:p>
        </w:tc>
      </w:tr>
      <w:tr w:rsidR="00B002C5" w14:paraId="51872421" w14:textId="77777777" w:rsidTr="00B002C5">
        <w:trPr>
          <w:cantSplit/>
          <w:trHeight w:val="20"/>
        </w:trPr>
        <w:tc>
          <w:tcPr>
            <w:tcW w:w="1449" w:type="pct"/>
            <w:gridSpan w:val="3"/>
            <w:shd w:val="clear" w:color="auto" w:fill="E7E6E6" w:themeFill="background2"/>
          </w:tcPr>
          <w:p w14:paraId="55E46693" w14:textId="77777777" w:rsidR="00B002C5" w:rsidRDefault="00B002C5" w:rsidP="00B002C5">
            <w:pPr>
              <w:pStyle w:val="NoSpacing"/>
            </w:pPr>
            <w:r>
              <w:t>Final DSHS Approval</w:t>
            </w:r>
          </w:p>
        </w:tc>
        <w:tc>
          <w:tcPr>
            <w:tcW w:w="3551" w:type="pct"/>
            <w:gridSpan w:val="5"/>
            <w:vMerge/>
          </w:tcPr>
          <w:p w14:paraId="36400832" w14:textId="77777777" w:rsidR="00B002C5" w:rsidRDefault="00B002C5" w:rsidP="00B002C5">
            <w:pPr>
              <w:pStyle w:val="NoSpacing"/>
            </w:pPr>
          </w:p>
        </w:tc>
      </w:tr>
      <w:tr w:rsidR="00B002C5" w14:paraId="37A7B8BC" w14:textId="77777777" w:rsidTr="00B002C5">
        <w:trPr>
          <w:cantSplit/>
          <w:trHeight w:val="20"/>
        </w:trPr>
        <w:tc>
          <w:tcPr>
            <w:tcW w:w="724" w:type="pct"/>
          </w:tcPr>
          <w:p w14:paraId="4881E825" w14:textId="77777777" w:rsidR="00B002C5" w:rsidRDefault="00B002C5" w:rsidP="00B002C5">
            <w:pPr>
              <w:pStyle w:val="NoSpacing"/>
            </w:pPr>
          </w:p>
          <w:p w14:paraId="3AB3AB55" w14:textId="77777777" w:rsidR="00B002C5" w:rsidRDefault="00B002C5" w:rsidP="00B002C5">
            <w:pPr>
              <w:pStyle w:val="NoSpacing"/>
            </w:pPr>
          </w:p>
        </w:tc>
        <w:tc>
          <w:tcPr>
            <w:tcW w:w="725" w:type="pct"/>
            <w:gridSpan w:val="2"/>
          </w:tcPr>
          <w:p w14:paraId="19C0B831" w14:textId="77777777" w:rsidR="00B002C5" w:rsidRDefault="00B002C5" w:rsidP="00B002C5">
            <w:pPr>
              <w:pStyle w:val="NoSpacing"/>
            </w:pPr>
          </w:p>
        </w:tc>
        <w:tc>
          <w:tcPr>
            <w:tcW w:w="3551" w:type="pct"/>
            <w:gridSpan w:val="5"/>
            <w:vMerge/>
          </w:tcPr>
          <w:p w14:paraId="11670140" w14:textId="77777777" w:rsidR="00B002C5" w:rsidRDefault="00B002C5" w:rsidP="00B002C5">
            <w:pPr>
              <w:pStyle w:val="NoSpacing"/>
            </w:pPr>
          </w:p>
        </w:tc>
      </w:tr>
    </w:tbl>
    <w:p w14:paraId="6636D882" w14:textId="77777777" w:rsidR="00B002C5" w:rsidRPr="00B002C5" w:rsidRDefault="00B002C5" w:rsidP="00B002C5">
      <w:pPr>
        <w:pStyle w:val="NoSpacing"/>
        <w:rPr>
          <w:sz w:val="10"/>
        </w:rPr>
      </w:pPr>
      <w:r w:rsidRPr="00B002C5">
        <w:rPr>
          <w:sz w:val="10"/>
        </w:rPr>
        <w:br w:type="page"/>
      </w:r>
    </w:p>
    <w:p w14:paraId="27748FC6" w14:textId="7DD13C4B" w:rsidR="009C0E78" w:rsidRDefault="009C0E78" w:rsidP="009C0E78">
      <w:pPr>
        <w:pStyle w:val="Heading2"/>
        <w:jc w:val="center"/>
        <w:rPr>
          <w:rFonts w:asciiTheme="minorHAnsi" w:hAnsiTheme="minorHAnsi"/>
          <w:b/>
          <w:color w:val="auto"/>
          <w:sz w:val="22"/>
        </w:rPr>
      </w:pPr>
      <w:bookmarkStart w:id="67" w:name="_Toc140755490"/>
      <w:r w:rsidRPr="009C0E78">
        <w:rPr>
          <w:rFonts w:asciiTheme="minorHAnsi" w:hAnsiTheme="minorHAnsi"/>
          <w:b/>
          <w:color w:val="auto"/>
          <w:sz w:val="22"/>
        </w:rPr>
        <w:lastRenderedPageBreak/>
        <w:t>Appendix E: HOPWA Project Sponsor Data Sheet</w:t>
      </w:r>
      <w:bookmarkEnd w:id="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0"/>
        <w:gridCol w:w="270"/>
        <w:gridCol w:w="1620"/>
        <w:gridCol w:w="1801"/>
        <w:gridCol w:w="3420"/>
      </w:tblGrid>
      <w:tr w:rsidR="000C3C6F" w:rsidRPr="000C3C6F" w14:paraId="1942011D" w14:textId="77777777" w:rsidTr="004B4B2E">
        <w:trPr>
          <w:trHeight w:val="20"/>
        </w:trPr>
        <w:tc>
          <w:tcPr>
            <w:tcW w:w="10711" w:type="dxa"/>
            <w:gridSpan w:val="5"/>
            <w:tcBorders>
              <w:top w:val="nil"/>
              <w:left w:val="nil"/>
              <w:bottom w:val="nil"/>
              <w:right w:val="nil"/>
            </w:tcBorders>
            <w:shd w:val="clear" w:color="auto" w:fill="auto"/>
          </w:tcPr>
          <w:p w14:paraId="3432BB23" w14:textId="2F6E50EB" w:rsidR="000C3C6F" w:rsidRPr="000C3C6F" w:rsidRDefault="000C3C6F" w:rsidP="000C3C6F">
            <w:pPr>
              <w:spacing w:after="0" w:line="240" w:lineRule="auto"/>
              <w:jc w:val="center"/>
              <w:rPr>
                <w:rFonts w:ascii="Calibri" w:eastAsia="Times New Roman" w:hAnsi="Calibri" w:cs="Calibri"/>
                <w:sz w:val="20"/>
                <w:szCs w:val="24"/>
              </w:rPr>
            </w:pPr>
            <w:r w:rsidRPr="000C3C6F">
              <w:rPr>
                <w:rFonts w:ascii="Calibri" w:eastAsia="Times New Roman" w:hAnsi="Calibri" w:cs="Calibri"/>
                <w:sz w:val="20"/>
                <w:szCs w:val="20"/>
              </w:rPr>
              <w:t>09/01 – 08/31</w:t>
            </w:r>
          </w:p>
        </w:tc>
      </w:tr>
      <w:tr w:rsidR="000C3C6F" w:rsidRPr="000C3C6F" w14:paraId="478ABEC5" w14:textId="77777777" w:rsidTr="000C3C6F">
        <w:trPr>
          <w:trHeight w:val="20"/>
        </w:trPr>
        <w:tc>
          <w:tcPr>
            <w:tcW w:w="10711" w:type="dxa"/>
            <w:gridSpan w:val="5"/>
            <w:tcBorders>
              <w:top w:val="nil"/>
              <w:left w:val="nil"/>
              <w:bottom w:val="single" w:sz="4" w:space="0" w:color="FFFFFF"/>
              <w:right w:val="nil"/>
            </w:tcBorders>
            <w:shd w:val="clear" w:color="auto" w:fill="auto"/>
          </w:tcPr>
          <w:p w14:paraId="14316F62" w14:textId="77777777" w:rsidR="000C3C6F" w:rsidRPr="000C3C6F" w:rsidRDefault="000C3C6F" w:rsidP="000C3C6F">
            <w:pPr>
              <w:spacing w:after="0" w:line="240" w:lineRule="auto"/>
              <w:rPr>
                <w:rFonts w:ascii="Calibri" w:eastAsia="Times New Roman" w:hAnsi="Calibri" w:cs="Calibri"/>
                <w:sz w:val="20"/>
                <w:szCs w:val="24"/>
              </w:rPr>
            </w:pPr>
            <w:r w:rsidRPr="000C3C6F">
              <w:rPr>
                <w:rFonts w:ascii="Calibri" w:eastAsia="Times New Roman" w:hAnsi="Calibri" w:cs="Calibri"/>
                <w:sz w:val="20"/>
                <w:szCs w:val="24"/>
              </w:rPr>
              <w:t>The Administrative Agency must complete one Data Sheet for each Project Sponsor in each HSDA. Electronically submit Data Sheets to the HOPWA Coordinator before the program year begins (09/01). Form A certifies all information herein is true.</w:t>
            </w:r>
          </w:p>
        </w:tc>
      </w:tr>
      <w:tr w:rsidR="000C3C6F" w:rsidRPr="000C3C6F" w14:paraId="1B32C184" w14:textId="77777777" w:rsidTr="000C3C6F">
        <w:trPr>
          <w:trHeight w:val="20"/>
        </w:trPr>
        <w:tc>
          <w:tcPr>
            <w:tcW w:w="5490" w:type="dxa"/>
            <w:gridSpan w:val="3"/>
            <w:tcBorders>
              <w:top w:val="single" w:sz="4" w:space="0" w:color="FFFFFF"/>
              <w:left w:val="single" w:sz="4" w:space="0" w:color="FFFFFF"/>
              <w:bottom w:val="single" w:sz="4" w:space="0" w:color="FFFFFF"/>
              <w:right w:val="single" w:sz="4" w:space="0" w:color="FFFFFF"/>
            </w:tcBorders>
            <w:shd w:val="clear" w:color="auto" w:fill="F2F2F2"/>
          </w:tcPr>
          <w:p w14:paraId="30C55FF0" w14:textId="77777777" w:rsidR="000C3C6F" w:rsidRPr="000C3C6F" w:rsidRDefault="000C3C6F" w:rsidP="000C3C6F">
            <w:pPr>
              <w:spacing w:after="0" w:line="240" w:lineRule="auto"/>
              <w:rPr>
                <w:rFonts w:ascii="Calibri" w:eastAsia="Times New Roman" w:hAnsi="Calibri" w:cs="Calibri"/>
                <w:sz w:val="20"/>
                <w:szCs w:val="20"/>
              </w:rPr>
            </w:pPr>
            <w:r w:rsidRPr="000C3C6F">
              <w:rPr>
                <w:rFonts w:ascii="Calibri" w:eastAsia="Times New Roman" w:hAnsi="Calibri" w:cs="Calibri"/>
                <w:sz w:val="20"/>
                <w:szCs w:val="20"/>
              </w:rPr>
              <w:t>Administrative Agency:</w:t>
            </w:r>
          </w:p>
        </w:tc>
        <w:sdt>
          <w:sdtPr>
            <w:rPr>
              <w:sz w:val="20"/>
              <w:szCs w:val="20"/>
            </w:rPr>
            <w:alias w:val="Administrative Agency"/>
            <w:tag w:val="Administrative Agency"/>
            <w:id w:val="1128357170"/>
            <w:placeholder>
              <w:docPart w:val="F18F065DEFF94DF9BDE29F58F10F59A8"/>
            </w:placeholder>
            <w:showingPlcHdr/>
            <w:dropDownList>
              <w:listItem w:displayText="Brazos Valley Council of Governments" w:value="Brazos Valley Council of Governments"/>
              <w:listItem w:displayText="Dallas County Health and Human Services" w:value="Dallas County Health and Human Services"/>
              <w:listItem w:displayText="South Texas Development Council" w:value="South Texas Development Council"/>
              <w:listItem w:displayText="Tarrant County" w:value="Tarrant County"/>
              <w:listItem w:displayText="The Resource Group" w:value="The Resource Group"/>
              <w:listItem w:displayText="University Health" w:value="University Health"/>
            </w:dropDownList>
          </w:sdtPr>
          <w:sdtEndPr/>
          <w:sdtContent>
            <w:tc>
              <w:tcPr>
                <w:tcW w:w="5221" w:type="dxa"/>
                <w:gridSpan w:val="2"/>
                <w:tcBorders>
                  <w:top w:val="single" w:sz="4" w:space="0" w:color="FFFFFF"/>
                  <w:left w:val="single" w:sz="4" w:space="0" w:color="FFFFFF"/>
                  <w:bottom w:val="single" w:sz="4" w:space="0" w:color="FFFFFF"/>
                  <w:right w:val="single" w:sz="4" w:space="0" w:color="FFFFFF"/>
                </w:tcBorders>
                <w:shd w:val="clear" w:color="auto" w:fill="F2F2F2"/>
              </w:tcPr>
              <w:p w14:paraId="1EFE41E5" w14:textId="0FE5B991" w:rsidR="000C3C6F" w:rsidRPr="00495AE2" w:rsidRDefault="00495AE2" w:rsidP="000C3C6F">
                <w:pPr>
                  <w:spacing w:after="0" w:line="240" w:lineRule="auto"/>
                  <w:rPr>
                    <w:rFonts w:ascii="Calibri" w:eastAsia="Times New Roman" w:hAnsi="Calibri" w:cs="Calibri"/>
                    <w:iCs/>
                    <w:sz w:val="20"/>
                    <w:szCs w:val="16"/>
                  </w:rPr>
                </w:pPr>
                <w:r w:rsidRPr="00495AE2">
                  <w:rPr>
                    <w:rStyle w:val="PlaceholderText"/>
                    <w:color w:val="auto"/>
                    <w:sz w:val="20"/>
                    <w:szCs w:val="20"/>
                  </w:rPr>
                  <w:t>Choose an Administrative Agency.</w:t>
                </w:r>
              </w:p>
            </w:tc>
          </w:sdtContent>
        </w:sdt>
      </w:tr>
      <w:tr w:rsidR="000C3C6F" w:rsidRPr="000C3C6F" w14:paraId="2A1A221E" w14:textId="77777777" w:rsidTr="000C3C6F">
        <w:trPr>
          <w:trHeight w:val="20"/>
        </w:trPr>
        <w:tc>
          <w:tcPr>
            <w:tcW w:w="5490" w:type="dxa"/>
            <w:gridSpan w:val="3"/>
            <w:tcBorders>
              <w:top w:val="single" w:sz="4" w:space="0" w:color="FFFFFF"/>
              <w:left w:val="single" w:sz="4" w:space="0" w:color="FFFFFF"/>
              <w:bottom w:val="single" w:sz="4" w:space="0" w:color="FFFFFF"/>
              <w:right w:val="single" w:sz="4" w:space="0" w:color="FFFFFF"/>
            </w:tcBorders>
            <w:shd w:val="clear" w:color="auto" w:fill="F2F2F2"/>
          </w:tcPr>
          <w:p w14:paraId="053697D5" w14:textId="77777777" w:rsidR="000C3C6F" w:rsidRPr="000C3C6F" w:rsidRDefault="000C3C6F" w:rsidP="000C3C6F">
            <w:pPr>
              <w:spacing w:after="0" w:line="240" w:lineRule="auto"/>
              <w:rPr>
                <w:rFonts w:ascii="Calibri" w:eastAsia="Times New Roman" w:hAnsi="Calibri" w:cs="Calibri"/>
                <w:sz w:val="20"/>
                <w:szCs w:val="20"/>
              </w:rPr>
            </w:pPr>
            <w:r w:rsidRPr="000C3C6F">
              <w:rPr>
                <w:rFonts w:ascii="Calibri" w:eastAsia="Times New Roman" w:hAnsi="Calibri" w:cs="Calibri"/>
                <w:sz w:val="20"/>
                <w:szCs w:val="20"/>
              </w:rPr>
              <w:t>Project Sponsor Name:</w:t>
            </w:r>
          </w:p>
        </w:tc>
        <w:tc>
          <w:tcPr>
            <w:tcW w:w="5221" w:type="dxa"/>
            <w:gridSpan w:val="2"/>
            <w:tcBorders>
              <w:top w:val="single" w:sz="4" w:space="0" w:color="FFFFFF"/>
              <w:left w:val="single" w:sz="4" w:space="0" w:color="FFFFFF"/>
              <w:bottom w:val="single" w:sz="4" w:space="0" w:color="FFFFFF"/>
              <w:right w:val="single" w:sz="4" w:space="0" w:color="FFFFFF"/>
            </w:tcBorders>
            <w:shd w:val="clear" w:color="auto" w:fill="F2F2F2"/>
          </w:tcPr>
          <w:p w14:paraId="1A6B86AC" w14:textId="77777777" w:rsidR="000C3C6F" w:rsidRPr="000C3C6F" w:rsidRDefault="000C3C6F" w:rsidP="000C3C6F">
            <w:pPr>
              <w:spacing w:after="0" w:line="240" w:lineRule="auto"/>
              <w:rPr>
                <w:rFonts w:ascii="Calibri" w:eastAsia="Times New Roman" w:hAnsi="Calibri" w:cs="Calibri"/>
                <w:iCs/>
                <w:sz w:val="20"/>
                <w:szCs w:val="16"/>
              </w:rPr>
            </w:pPr>
            <w:r w:rsidRPr="000C3C6F">
              <w:rPr>
                <w:rFonts w:ascii="Calibri" w:eastAsia="Times New Roman" w:hAnsi="Calibri" w:cs="Calibri"/>
                <w:iCs/>
                <w:sz w:val="20"/>
                <w:szCs w:val="16"/>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iCs/>
                <w:sz w:val="20"/>
                <w:szCs w:val="16"/>
              </w:rPr>
              <w:instrText xml:space="preserve"> FORMTEXT </w:instrText>
            </w:r>
            <w:r w:rsidRPr="000C3C6F">
              <w:rPr>
                <w:rFonts w:ascii="Calibri" w:eastAsia="Times New Roman" w:hAnsi="Calibri" w:cs="Calibri"/>
                <w:iCs/>
                <w:sz w:val="20"/>
                <w:szCs w:val="16"/>
              </w:rPr>
            </w:r>
            <w:r w:rsidRPr="000C3C6F">
              <w:rPr>
                <w:rFonts w:ascii="Calibri" w:eastAsia="Times New Roman" w:hAnsi="Calibri" w:cs="Calibri"/>
                <w:iCs/>
                <w:sz w:val="20"/>
                <w:szCs w:val="16"/>
              </w:rPr>
              <w:fldChar w:fldCharType="separate"/>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Times New Roman" w:hAnsi="Calibri" w:cs="Calibri"/>
                <w:iCs/>
                <w:sz w:val="20"/>
                <w:szCs w:val="16"/>
              </w:rPr>
              <w:fldChar w:fldCharType="end"/>
            </w:r>
          </w:p>
        </w:tc>
      </w:tr>
      <w:tr w:rsidR="000C3C6F" w:rsidRPr="000C3C6F" w14:paraId="0E69C398" w14:textId="77777777" w:rsidTr="000C3C6F">
        <w:trPr>
          <w:trHeight w:val="20"/>
        </w:trPr>
        <w:tc>
          <w:tcPr>
            <w:tcW w:w="5490" w:type="dxa"/>
            <w:gridSpan w:val="3"/>
            <w:tcBorders>
              <w:top w:val="single" w:sz="4" w:space="0" w:color="FFFFFF"/>
              <w:left w:val="single" w:sz="4" w:space="0" w:color="FFFFFF"/>
              <w:bottom w:val="single" w:sz="4" w:space="0" w:color="FFFFFF"/>
              <w:right w:val="single" w:sz="4" w:space="0" w:color="FFFFFF"/>
            </w:tcBorders>
            <w:shd w:val="clear" w:color="auto" w:fill="F2F2F2"/>
          </w:tcPr>
          <w:p w14:paraId="479BA420" w14:textId="77777777" w:rsidR="000C3C6F" w:rsidRPr="000C3C6F" w:rsidRDefault="000C3C6F" w:rsidP="000C3C6F">
            <w:pPr>
              <w:spacing w:after="0" w:line="240" w:lineRule="auto"/>
              <w:rPr>
                <w:rFonts w:ascii="Calibri" w:eastAsia="Times New Roman" w:hAnsi="Calibri" w:cs="Calibri"/>
                <w:sz w:val="20"/>
                <w:szCs w:val="20"/>
              </w:rPr>
            </w:pPr>
            <w:r w:rsidRPr="000C3C6F">
              <w:rPr>
                <w:rFonts w:ascii="Calibri" w:eastAsia="Times New Roman" w:hAnsi="Calibri" w:cs="Calibri"/>
                <w:sz w:val="20"/>
                <w:szCs w:val="20"/>
              </w:rPr>
              <w:t>Project Sponsor Parent Company Name:</w:t>
            </w:r>
          </w:p>
        </w:tc>
        <w:tc>
          <w:tcPr>
            <w:tcW w:w="5221" w:type="dxa"/>
            <w:gridSpan w:val="2"/>
            <w:tcBorders>
              <w:top w:val="single" w:sz="4" w:space="0" w:color="FFFFFF"/>
              <w:left w:val="single" w:sz="4" w:space="0" w:color="FFFFFF"/>
              <w:bottom w:val="single" w:sz="4" w:space="0" w:color="FFFFFF"/>
              <w:right w:val="single" w:sz="4" w:space="0" w:color="FFFFFF"/>
            </w:tcBorders>
            <w:shd w:val="clear" w:color="auto" w:fill="F2F2F2"/>
          </w:tcPr>
          <w:p w14:paraId="38F4478D" w14:textId="77777777" w:rsidR="000C3C6F" w:rsidRPr="000C3C6F" w:rsidRDefault="000C3C6F" w:rsidP="000C3C6F">
            <w:pPr>
              <w:spacing w:after="0" w:line="240" w:lineRule="auto"/>
              <w:rPr>
                <w:rFonts w:ascii="Calibri" w:eastAsia="Times New Roman" w:hAnsi="Calibri" w:cs="Calibri"/>
                <w:iCs/>
                <w:sz w:val="20"/>
                <w:szCs w:val="16"/>
              </w:rPr>
            </w:pPr>
            <w:r w:rsidRPr="000C3C6F">
              <w:rPr>
                <w:rFonts w:ascii="Calibri" w:eastAsia="Times New Roman" w:hAnsi="Calibri" w:cs="Calibri"/>
                <w:iCs/>
                <w:sz w:val="20"/>
                <w:szCs w:val="16"/>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iCs/>
                <w:sz w:val="20"/>
                <w:szCs w:val="16"/>
              </w:rPr>
              <w:instrText xml:space="preserve"> FORMTEXT </w:instrText>
            </w:r>
            <w:r w:rsidRPr="000C3C6F">
              <w:rPr>
                <w:rFonts w:ascii="Calibri" w:eastAsia="Times New Roman" w:hAnsi="Calibri" w:cs="Calibri"/>
                <w:iCs/>
                <w:sz w:val="20"/>
                <w:szCs w:val="16"/>
              </w:rPr>
            </w:r>
            <w:r w:rsidRPr="000C3C6F">
              <w:rPr>
                <w:rFonts w:ascii="Calibri" w:eastAsia="Times New Roman" w:hAnsi="Calibri" w:cs="Calibri"/>
                <w:iCs/>
                <w:sz w:val="20"/>
                <w:szCs w:val="16"/>
              </w:rPr>
              <w:fldChar w:fldCharType="separate"/>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Times New Roman" w:hAnsi="Calibri" w:cs="Calibri"/>
                <w:iCs/>
                <w:sz w:val="20"/>
                <w:szCs w:val="16"/>
              </w:rPr>
              <w:fldChar w:fldCharType="end"/>
            </w:r>
          </w:p>
        </w:tc>
      </w:tr>
      <w:tr w:rsidR="000C3C6F" w:rsidRPr="000C3C6F" w14:paraId="53544338" w14:textId="77777777" w:rsidTr="000C3C6F">
        <w:trPr>
          <w:trHeight w:val="20"/>
        </w:trPr>
        <w:tc>
          <w:tcPr>
            <w:tcW w:w="5490" w:type="dxa"/>
            <w:gridSpan w:val="3"/>
            <w:tcBorders>
              <w:top w:val="single" w:sz="4" w:space="0" w:color="FFFFFF"/>
              <w:left w:val="single" w:sz="4" w:space="0" w:color="FFFFFF"/>
              <w:bottom w:val="single" w:sz="4" w:space="0" w:color="FFFFFF"/>
              <w:right w:val="single" w:sz="4" w:space="0" w:color="FFFFFF"/>
            </w:tcBorders>
            <w:shd w:val="clear" w:color="auto" w:fill="F2F2F2"/>
          </w:tcPr>
          <w:p w14:paraId="0A8149C1" w14:textId="77777777" w:rsidR="000C3C6F" w:rsidRPr="000C3C6F" w:rsidRDefault="000C3C6F" w:rsidP="000C3C6F">
            <w:pPr>
              <w:spacing w:after="0" w:line="240" w:lineRule="auto"/>
              <w:rPr>
                <w:rFonts w:ascii="Calibri" w:eastAsia="Times New Roman" w:hAnsi="Calibri" w:cs="Calibri"/>
                <w:sz w:val="20"/>
                <w:szCs w:val="20"/>
              </w:rPr>
            </w:pPr>
            <w:r w:rsidRPr="000C3C6F">
              <w:rPr>
                <w:rFonts w:ascii="Calibri" w:eastAsia="Times New Roman" w:hAnsi="Calibri" w:cs="Calibri"/>
                <w:sz w:val="20"/>
                <w:szCs w:val="20"/>
              </w:rPr>
              <w:t>Is System for Award Management (SAM) registration active?</w:t>
            </w:r>
          </w:p>
        </w:tc>
        <w:tc>
          <w:tcPr>
            <w:tcW w:w="5221" w:type="dxa"/>
            <w:gridSpan w:val="2"/>
            <w:tcBorders>
              <w:top w:val="single" w:sz="4" w:space="0" w:color="FFFFFF"/>
              <w:left w:val="single" w:sz="4" w:space="0" w:color="FFFFFF"/>
              <w:bottom w:val="single" w:sz="4" w:space="0" w:color="FFFFFF"/>
              <w:right w:val="single" w:sz="4" w:space="0" w:color="FFFFFF"/>
            </w:tcBorders>
            <w:shd w:val="clear" w:color="auto" w:fill="F2F2F2"/>
          </w:tcPr>
          <w:p w14:paraId="1CF7390C" w14:textId="77777777" w:rsidR="000C3C6F" w:rsidRPr="000C3C6F" w:rsidRDefault="000C3C6F" w:rsidP="000C3C6F">
            <w:pPr>
              <w:spacing w:after="0" w:line="240" w:lineRule="auto"/>
              <w:rPr>
                <w:rFonts w:ascii="Calibri" w:eastAsia="Times New Roman" w:hAnsi="Calibri" w:cs="Calibri"/>
                <w:iCs/>
                <w:sz w:val="20"/>
                <w:szCs w:val="16"/>
              </w:rPr>
            </w:pPr>
            <w:r w:rsidRPr="000C3C6F">
              <w:rPr>
                <w:rFonts w:ascii="Calibri" w:eastAsia="Times New Roman" w:hAnsi="Calibri" w:cs="Calibri"/>
                <w:iCs/>
                <w:sz w:val="20"/>
                <w:szCs w:val="16"/>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iCs/>
                <w:sz w:val="20"/>
                <w:szCs w:val="16"/>
              </w:rPr>
              <w:instrText xml:space="preserve"> FORMTEXT </w:instrText>
            </w:r>
            <w:r w:rsidRPr="000C3C6F">
              <w:rPr>
                <w:rFonts w:ascii="Calibri" w:eastAsia="Times New Roman" w:hAnsi="Calibri" w:cs="Calibri"/>
                <w:iCs/>
                <w:sz w:val="20"/>
                <w:szCs w:val="16"/>
              </w:rPr>
            </w:r>
            <w:r w:rsidRPr="000C3C6F">
              <w:rPr>
                <w:rFonts w:ascii="Calibri" w:eastAsia="Times New Roman" w:hAnsi="Calibri" w:cs="Calibri"/>
                <w:iCs/>
                <w:sz w:val="20"/>
                <w:szCs w:val="16"/>
              </w:rPr>
              <w:fldChar w:fldCharType="separate"/>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Times New Roman" w:hAnsi="Calibri" w:cs="Calibri"/>
                <w:iCs/>
                <w:sz w:val="20"/>
                <w:szCs w:val="16"/>
              </w:rPr>
              <w:fldChar w:fldCharType="end"/>
            </w:r>
          </w:p>
        </w:tc>
      </w:tr>
      <w:tr w:rsidR="000C3C6F" w:rsidRPr="000C3C6F" w14:paraId="4DB79AB6" w14:textId="77777777" w:rsidTr="000C3C6F">
        <w:trPr>
          <w:trHeight w:val="20"/>
        </w:trPr>
        <w:tc>
          <w:tcPr>
            <w:tcW w:w="5490" w:type="dxa"/>
            <w:gridSpan w:val="3"/>
            <w:tcBorders>
              <w:top w:val="single" w:sz="4" w:space="0" w:color="FFFFFF"/>
              <w:left w:val="single" w:sz="4" w:space="0" w:color="FFFFFF"/>
              <w:bottom w:val="single" w:sz="4" w:space="0" w:color="FFFFFF"/>
              <w:right w:val="single" w:sz="4" w:space="0" w:color="FFFFFF"/>
            </w:tcBorders>
            <w:shd w:val="clear" w:color="auto" w:fill="F2F2F2"/>
          </w:tcPr>
          <w:p w14:paraId="62A3AE95" w14:textId="77777777" w:rsidR="000C3C6F" w:rsidRPr="000C3C6F" w:rsidRDefault="000C3C6F" w:rsidP="000C3C6F">
            <w:pPr>
              <w:spacing w:after="0" w:line="240" w:lineRule="auto"/>
              <w:rPr>
                <w:rFonts w:ascii="Calibri" w:eastAsia="Times New Roman" w:hAnsi="Calibri" w:cs="Calibri"/>
                <w:sz w:val="20"/>
                <w:szCs w:val="20"/>
              </w:rPr>
            </w:pPr>
            <w:r w:rsidRPr="000C3C6F">
              <w:rPr>
                <w:rFonts w:ascii="Calibri" w:eastAsia="Times New Roman" w:hAnsi="Calibri" w:cs="Calibri"/>
                <w:sz w:val="20"/>
                <w:szCs w:val="20"/>
              </w:rPr>
              <w:t>Unique Entity Identification (</w:t>
            </w:r>
            <w:proofErr w:type="spellStart"/>
            <w:r w:rsidRPr="000C3C6F">
              <w:rPr>
                <w:rFonts w:ascii="Calibri" w:eastAsia="Times New Roman" w:hAnsi="Calibri" w:cs="Calibri"/>
                <w:sz w:val="20"/>
                <w:szCs w:val="20"/>
              </w:rPr>
              <w:t>UEI</w:t>
            </w:r>
            <w:proofErr w:type="spellEnd"/>
            <w:r w:rsidRPr="000C3C6F">
              <w:rPr>
                <w:rFonts w:ascii="Calibri" w:eastAsia="Times New Roman" w:hAnsi="Calibri" w:cs="Calibri"/>
                <w:sz w:val="20"/>
                <w:szCs w:val="20"/>
              </w:rPr>
              <w:t>) Number:</w:t>
            </w:r>
          </w:p>
        </w:tc>
        <w:tc>
          <w:tcPr>
            <w:tcW w:w="5221" w:type="dxa"/>
            <w:gridSpan w:val="2"/>
            <w:tcBorders>
              <w:top w:val="single" w:sz="4" w:space="0" w:color="FFFFFF"/>
              <w:left w:val="single" w:sz="4" w:space="0" w:color="FFFFFF"/>
              <w:bottom w:val="single" w:sz="4" w:space="0" w:color="FFFFFF"/>
              <w:right w:val="single" w:sz="4" w:space="0" w:color="FFFFFF"/>
            </w:tcBorders>
            <w:shd w:val="clear" w:color="auto" w:fill="F2F2F2"/>
          </w:tcPr>
          <w:p w14:paraId="3C6D71E8" w14:textId="77777777" w:rsidR="000C3C6F" w:rsidRPr="000C3C6F" w:rsidRDefault="000C3C6F" w:rsidP="000C3C6F">
            <w:pPr>
              <w:spacing w:after="0" w:line="240" w:lineRule="auto"/>
              <w:rPr>
                <w:rFonts w:ascii="Calibri" w:eastAsia="Times New Roman" w:hAnsi="Calibri" w:cs="Calibri"/>
                <w:iCs/>
                <w:sz w:val="20"/>
                <w:szCs w:val="16"/>
              </w:rPr>
            </w:pPr>
            <w:r w:rsidRPr="000C3C6F">
              <w:rPr>
                <w:rFonts w:ascii="Calibri" w:eastAsia="Times New Roman" w:hAnsi="Calibri" w:cs="Calibri"/>
                <w:iCs/>
                <w:sz w:val="20"/>
                <w:szCs w:val="16"/>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iCs/>
                <w:sz w:val="20"/>
                <w:szCs w:val="16"/>
              </w:rPr>
              <w:instrText xml:space="preserve"> FORMTEXT </w:instrText>
            </w:r>
            <w:r w:rsidRPr="000C3C6F">
              <w:rPr>
                <w:rFonts w:ascii="Calibri" w:eastAsia="Times New Roman" w:hAnsi="Calibri" w:cs="Calibri"/>
                <w:iCs/>
                <w:sz w:val="20"/>
                <w:szCs w:val="16"/>
              </w:rPr>
            </w:r>
            <w:r w:rsidRPr="000C3C6F">
              <w:rPr>
                <w:rFonts w:ascii="Calibri" w:eastAsia="Times New Roman" w:hAnsi="Calibri" w:cs="Calibri"/>
                <w:iCs/>
                <w:sz w:val="20"/>
                <w:szCs w:val="16"/>
              </w:rPr>
              <w:fldChar w:fldCharType="separate"/>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Times New Roman" w:hAnsi="Calibri" w:cs="Calibri"/>
                <w:iCs/>
                <w:sz w:val="20"/>
                <w:szCs w:val="16"/>
              </w:rPr>
              <w:fldChar w:fldCharType="end"/>
            </w:r>
          </w:p>
        </w:tc>
      </w:tr>
      <w:tr w:rsidR="000C3C6F" w:rsidRPr="000C3C6F" w14:paraId="04B82ECE" w14:textId="77777777" w:rsidTr="000C3C6F">
        <w:trPr>
          <w:trHeight w:val="20"/>
        </w:trPr>
        <w:tc>
          <w:tcPr>
            <w:tcW w:w="5490" w:type="dxa"/>
            <w:gridSpan w:val="3"/>
            <w:tcBorders>
              <w:top w:val="single" w:sz="4" w:space="0" w:color="FFFFFF"/>
              <w:left w:val="single" w:sz="4" w:space="0" w:color="FFFFFF"/>
              <w:bottom w:val="single" w:sz="4" w:space="0" w:color="FFFFFF"/>
              <w:right w:val="single" w:sz="4" w:space="0" w:color="FFFFFF"/>
            </w:tcBorders>
            <w:shd w:val="clear" w:color="auto" w:fill="F2F2F2"/>
          </w:tcPr>
          <w:p w14:paraId="17B71242" w14:textId="77777777" w:rsidR="000C3C6F" w:rsidRPr="000C3C6F" w:rsidRDefault="000C3C6F" w:rsidP="000C3C6F">
            <w:pPr>
              <w:spacing w:after="0" w:line="240" w:lineRule="auto"/>
              <w:rPr>
                <w:rFonts w:ascii="Calibri" w:eastAsia="Times New Roman" w:hAnsi="Calibri" w:cs="Calibri"/>
                <w:sz w:val="20"/>
                <w:szCs w:val="20"/>
              </w:rPr>
            </w:pPr>
            <w:r w:rsidRPr="000C3C6F">
              <w:rPr>
                <w:rFonts w:ascii="Calibri" w:eastAsia="Times New Roman" w:hAnsi="Calibri" w:cs="Calibri"/>
                <w:sz w:val="20"/>
                <w:szCs w:val="20"/>
              </w:rPr>
              <w:t>Employer ID Number (EIN) or Tax ID Number (TIN):</w:t>
            </w:r>
          </w:p>
        </w:tc>
        <w:tc>
          <w:tcPr>
            <w:tcW w:w="5221" w:type="dxa"/>
            <w:gridSpan w:val="2"/>
            <w:tcBorders>
              <w:top w:val="single" w:sz="4" w:space="0" w:color="FFFFFF"/>
              <w:left w:val="single" w:sz="4" w:space="0" w:color="FFFFFF"/>
              <w:bottom w:val="single" w:sz="4" w:space="0" w:color="FFFFFF"/>
              <w:right w:val="single" w:sz="4" w:space="0" w:color="FFFFFF"/>
            </w:tcBorders>
            <w:shd w:val="clear" w:color="auto" w:fill="F2F2F2"/>
          </w:tcPr>
          <w:p w14:paraId="65443528" w14:textId="77777777" w:rsidR="000C3C6F" w:rsidRPr="000C3C6F" w:rsidRDefault="000C3C6F" w:rsidP="000C3C6F">
            <w:pPr>
              <w:spacing w:after="0" w:line="240" w:lineRule="auto"/>
              <w:rPr>
                <w:rFonts w:ascii="Calibri" w:eastAsia="Times New Roman" w:hAnsi="Calibri" w:cs="Calibri"/>
                <w:iCs/>
                <w:sz w:val="20"/>
                <w:szCs w:val="16"/>
              </w:rPr>
            </w:pPr>
            <w:r w:rsidRPr="000C3C6F">
              <w:rPr>
                <w:rFonts w:ascii="Calibri" w:eastAsia="Times New Roman" w:hAnsi="Calibri" w:cs="Calibri"/>
                <w:iCs/>
                <w:sz w:val="20"/>
                <w:szCs w:val="16"/>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iCs/>
                <w:sz w:val="20"/>
                <w:szCs w:val="16"/>
              </w:rPr>
              <w:instrText xml:space="preserve"> FORMTEXT </w:instrText>
            </w:r>
            <w:r w:rsidRPr="000C3C6F">
              <w:rPr>
                <w:rFonts w:ascii="Calibri" w:eastAsia="Times New Roman" w:hAnsi="Calibri" w:cs="Calibri"/>
                <w:iCs/>
                <w:sz w:val="20"/>
                <w:szCs w:val="16"/>
              </w:rPr>
            </w:r>
            <w:r w:rsidRPr="000C3C6F">
              <w:rPr>
                <w:rFonts w:ascii="Calibri" w:eastAsia="Times New Roman" w:hAnsi="Calibri" w:cs="Calibri"/>
                <w:iCs/>
                <w:sz w:val="20"/>
                <w:szCs w:val="16"/>
              </w:rPr>
              <w:fldChar w:fldCharType="separate"/>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Times New Roman" w:hAnsi="Calibri" w:cs="Calibri"/>
                <w:iCs/>
                <w:sz w:val="20"/>
                <w:szCs w:val="16"/>
              </w:rPr>
              <w:fldChar w:fldCharType="end"/>
            </w:r>
          </w:p>
        </w:tc>
      </w:tr>
      <w:tr w:rsidR="000C3C6F" w:rsidRPr="000C3C6F" w14:paraId="4E268C72" w14:textId="77777777" w:rsidTr="000C3C6F">
        <w:trPr>
          <w:trHeight w:val="20"/>
        </w:trPr>
        <w:tc>
          <w:tcPr>
            <w:tcW w:w="5490" w:type="dxa"/>
            <w:gridSpan w:val="3"/>
            <w:tcBorders>
              <w:top w:val="single" w:sz="4" w:space="0" w:color="FFFFFF"/>
              <w:left w:val="single" w:sz="4" w:space="0" w:color="FFFFFF"/>
              <w:bottom w:val="single" w:sz="4" w:space="0" w:color="FFFFFF"/>
              <w:right w:val="single" w:sz="4" w:space="0" w:color="FFFFFF"/>
            </w:tcBorders>
            <w:shd w:val="clear" w:color="auto" w:fill="F2F2F2"/>
          </w:tcPr>
          <w:p w14:paraId="28E83E33" w14:textId="77777777" w:rsidR="000C3C6F" w:rsidRPr="000C3C6F" w:rsidRDefault="000C3C6F" w:rsidP="000C3C6F">
            <w:pPr>
              <w:spacing w:after="0" w:line="240" w:lineRule="auto"/>
              <w:rPr>
                <w:rFonts w:ascii="Calibri" w:eastAsia="Times New Roman" w:hAnsi="Calibri" w:cs="Calibri"/>
                <w:sz w:val="20"/>
                <w:szCs w:val="20"/>
              </w:rPr>
            </w:pPr>
            <w:r w:rsidRPr="000C3C6F">
              <w:rPr>
                <w:rFonts w:ascii="Calibri" w:eastAsia="Times New Roman" w:hAnsi="Calibri" w:cs="Calibri"/>
                <w:sz w:val="20"/>
                <w:szCs w:val="20"/>
              </w:rPr>
              <w:t>North American Industry Classification System (NAICS) Code:</w:t>
            </w:r>
          </w:p>
        </w:tc>
        <w:tc>
          <w:tcPr>
            <w:tcW w:w="5221" w:type="dxa"/>
            <w:gridSpan w:val="2"/>
            <w:tcBorders>
              <w:top w:val="single" w:sz="4" w:space="0" w:color="FFFFFF"/>
              <w:left w:val="single" w:sz="4" w:space="0" w:color="FFFFFF"/>
              <w:bottom w:val="single" w:sz="4" w:space="0" w:color="FFFFFF"/>
              <w:right w:val="single" w:sz="4" w:space="0" w:color="FFFFFF"/>
            </w:tcBorders>
            <w:shd w:val="clear" w:color="auto" w:fill="F2F2F2"/>
          </w:tcPr>
          <w:p w14:paraId="70A6E831" w14:textId="77777777" w:rsidR="000C3C6F" w:rsidRPr="000C3C6F" w:rsidRDefault="000C3C6F" w:rsidP="000C3C6F">
            <w:pPr>
              <w:spacing w:after="0" w:line="240" w:lineRule="auto"/>
              <w:rPr>
                <w:rFonts w:ascii="Calibri" w:eastAsia="Times New Roman" w:hAnsi="Calibri" w:cs="Calibri"/>
                <w:iCs/>
                <w:sz w:val="20"/>
                <w:szCs w:val="16"/>
              </w:rPr>
            </w:pPr>
            <w:r w:rsidRPr="000C3C6F">
              <w:rPr>
                <w:rFonts w:ascii="Calibri" w:eastAsia="Times New Roman" w:hAnsi="Calibri" w:cs="Calibri"/>
                <w:iCs/>
                <w:sz w:val="20"/>
                <w:szCs w:val="16"/>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iCs/>
                <w:sz w:val="20"/>
                <w:szCs w:val="16"/>
              </w:rPr>
              <w:instrText xml:space="preserve"> FORMTEXT </w:instrText>
            </w:r>
            <w:r w:rsidRPr="000C3C6F">
              <w:rPr>
                <w:rFonts w:ascii="Calibri" w:eastAsia="Times New Roman" w:hAnsi="Calibri" w:cs="Calibri"/>
                <w:iCs/>
                <w:sz w:val="20"/>
                <w:szCs w:val="16"/>
              </w:rPr>
            </w:r>
            <w:r w:rsidRPr="000C3C6F">
              <w:rPr>
                <w:rFonts w:ascii="Calibri" w:eastAsia="Times New Roman" w:hAnsi="Calibri" w:cs="Calibri"/>
                <w:iCs/>
                <w:sz w:val="20"/>
                <w:szCs w:val="16"/>
              </w:rPr>
              <w:fldChar w:fldCharType="separate"/>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Times New Roman" w:hAnsi="Calibri" w:cs="Calibri"/>
                <w:iCs/>
                <w:sz w:val="20"/>
                <w:szCs w:val="16"/>
              </w:rPr>
              <w:fldChar w:fldCharType="end"/>
            </w:r>
          </w:p>
        </w:tc>
      </w:tr>
      <w:tr w:rsidR="000C3C6F" w:rsidRPr="000C3C6F" w14:paraId="7681327A" w14:textId="77777777" w:rsidTr="000C3C6F">
        <w:trPr>
          <w:trHeight w:val="20"/>
        </w:trPr>
        <w:tc>
          <w:tcPr>
            <w:tcW w:w="5490" w:type="dxa"/>
            <w:gridSpan w:val="3"/>
            <w:tcBorders>
              <w:top w:val="single" w:sz="4" w:space="0" w:color="FFFFFF"/>
              <w:left w:val="single" w:sz="4" w:space="0" w:color="FFFFFF"/>
              <w:bottom w:val="single" w:sz="4" w:space="0" w:color="FFFFFF"/>
              <w:right w:val="single" w:sz="4" w:space="0" w:color="FFFFFF"/>
            </w:tcBorders>
            <w:shd w:val="clear" w:color="auto" w:fill="F2F2F2"/>
          </w:tcPr>
          <w:p w14:paraId="37E6D9F1" w14:textId="77777777" w:rsidR="000C3C6F" w:rsidRPr="000C3C6F" w:rsidRDefault="000C3C6F" w:rsidP="000C3C6F">
            <w:pPr>
              <w:spacing w:after="0" w:line="240" w:lineRule="auto"/>
              <w:rPr>
                <w:rFonts w:ascii="Calibri" w:eastAsia="Times New Roman" w:hAnsi="Calibri" w:cs="Calibri"/>
                <w:sz w:val="20"/>
                <w:szCs w:val="20"/>
              </w:rPr>
            </w:pPr>
            <w:r w:rsidRPr="000C3C6F">
              <w:rPr>
                <w:rFonts w:ascii="Calibri" w:eastAsia="Times New Roman" w:hAnsi="Calibri" w:cs="Calibri"/>
                <w:sz w:val="20"/>
                <w:szCs w:val="20"/>
              </w:rPr>
              <w:t>HIV Service Delivery Area:</w:t>
            </w:r>
          </w:p>
        </w:tc>
        <w:sdt>
          <w:sdtPr>
            <w:rPr>
              <w:rFonts w:cstheme="minorHAnsi"/>
              <w:sz w:val="20"/>
              <w:szCs w:val="20"/>
            </w:rPr>
            <w:alias w:val="HSDA"/>
            <w:tag w:val="HSDA"/>
            <w:id w:val="-827670227"/>
            <w:placeholder>
              <w:docPart w:val="444D3187C9C24725911C511A98F3EFA6"/>
            </w:placeholder>
            <w:showingPlcHdr/>
            <w:dropDownList>
              <w:listItem w:displayText="Abilene" w:value="Abilene"/>
              <w:listItem w:displayText="Amarillo" w:value="Amarillo"/>
              <w:listItem w:displayText="Austin" w:value="Austin"/>
              <w:listItem w:displayText="Beaumont-Port Arthur" w:value="Beaumont-Port Arthur"/>
              <w:listItem w:displayText="Brownsville-Harlingen" w:value="Brownsville-Harlingen"/>
              <w:listItem w:displayText="Bryan-College Station" w:value="Bryan-College Station"/>
              <w:listItem w:displayText="Corpus Christi" w:value="Corpus Christi"/>
              <w:listItem w:displayText="Dallas" w:value="Dallas"/>
              <w:listItem w:displayText="Eagle Pass-Uvalde" w:value="Eagle Pass-Uvalde"/>
              <w:listItem w:displayText="El Paso" w:value="El Paso"/>
              <w:listItem w:displayText="Fort Worth" w:value="Fort Worth"/>
              <w:listItem w:displayText="Galveston" w:value="Galveston"/>
              <w:listItem w:displayText="Houston" w:value="Houston"/>
              <w:listItem w:displayText="Laredo" w:value="Laredo"/>
              <w:listItem w:displayText="Lubbock" w:value="Lubbock"/>
              <w:listItem w:displayText="Midland-Odessa" w:value="Midland-Odessa"/>
              <w:listItem w:displayText="Nacogdoches-Lufkin" w:value="Nacogdoches-Lufkin"/>
              <w:listItem w:displayText="San Angelo-Concho Plateau" w:value="San Angelo-Concho Plateau"/>
              <w:listItem w:displayText="San Antonio" w:value="San Antonio"/>
              <w:listItem w:displayText="Sherman-Denison" w:value="Sherman-Denison"/>
              <w:listItem w:displayText="Temple-Killeen" w:value="Temple-Killeen"/>
              <w:listItem w:displayText="Texarkana-Paris" w:value="Texarkana-Paris"/>
              <w:listItem w:displayText="Tyler-Longview" w:value="Tyler-Longview"/>
              <w:listItem w:displayText="Victoria" w:value="Victoria"/>
              <w:listItem w:displayText="Waco" w:value="Waco"/>
              <w:listItem w:displayText="Wichita Falls" w:value="Wichita Falls"/>
            </w:dropDownList>
          </w:sdtPr>
          <w:sdtEndPr>
            <w:rPr>
              <w:sz w:val="16"/>
              <w:szCs w:val="16"/>
            </w:rPr>
          </w:sdtEndPr>
          <w:sdtContent>
            <w:tc>
              <w:tcPr>
                <w:tcW w:w="5221" w:type="dxa"/>
                <w:gridSpan w:val="2"/>
                <w:tcBorders>
                  <w:top w:val="single" w:sz="4" w:space="0" w:color="FFFFFF"/>
                  <w:left w:val="single" w:sz="4" w:space="0" w:color="FFFFFF"/>
                  <w:bottom w:val="single" w:sz="4" w:space="0" w:color="FFFFFF"/>
                  <w:right w:val="single" w:sz="4" w:space="0" w:color="FFFFFF"/>
                </w:tcBorders>
                <w:shd w:val="clear" w:color="auto" w:fill="F2F2F2"/>
              </w:tcPr>
              <w:p w14:paraId="2E43B4F0" w14:textId="552CF7CA" w:rsidR="000C3C6F" w:rsidRPr="000C3C6F" w:rsidRDefault="00495AE2" w:rsidP="000C3C6F">
                <w:pPr>
                  <w:spacing w:after="0" w:line="240" w:lineRule="auto"/>
                  <w:rPr>
                    <w:rFonts w:ascii="Calibri" w:eastAsia="Times New Roman" w:hAnsi="Calibri" w:cs="Calibri"/>
                    <w:iCs/>
                    <w:sz w:val="20"/>
                    <w:szCs w:val="16"/>
                  </w:rPr>
                </w:pPr>
                <w:r w:rsidRPr="005025DF">
                  <w:rPr>
                    <w:rFonts w:cstheme="minorHAnsi"/>
                    <w:sz w:val="20"/>
                    <w:szCs w:val="20"/>
                  </w:rPr>
                  <w:t>Choose an HSDA.</w:t>
                </w:r>
              </w:p>
            </w:tc>
          </w:sdtContent>
        </w:sdt>
      </w:tr>
      <w:tr w:rsidR="000C3C6F" w:rsidRPr="000C3C6F" w14:paraId="30C315D8" w14:textId="77777777" w:rsidTr="000C3C6F">
        <w:trPr>
          <w:trHeight w:val="20"/>
        </w:trPr>
        <w:tc>
          <w:tcPr>
            <w:tcW w:w="5490" w:type="dxa"/>
            <w:gridSpan w:val="3"/>
            <w:tcBorders>
              <w:top w:val="single" w:sz="4" w:space="0" w:color="FFFFFF"/>
              <w:left w:val="single" w:sz="4" w:space="0" w:color="FFFFFF"/>
              <w:bottom w:val="single" w:sz="4" w:space="0" w:color="FFFFFF"/>
              <w:right w:val="single" w:sz="4" w:space="0" w:color="FFFFFF"/>
            </w:tcBorders>
            <w:shd w:val="clear" w:color="auto" w:fill="F2F2F2"/>
          </w:tcPr>
          <w:p w14:paraId="557A639C" w14:textId="77777777" w:rsidR="000C3C6F" w:rsidRPr="000C3C6F" w:rsidRDefault="000C3C6F" w:rsidP="000C3C6F">
            <w:pPr>
              <w:spacing w:after="0" w:line="240" w:lineRule="auto"/>
              <w:rPr>
                <w:rFonts w:ascii="Calibri" w:eastAsia="Times New Roman" w:hAnsi="Calibri" w:cs="Calibri"/>
                <w:sz w:val="20"/>
                <w:szCs w:val="20"/>
              </w:rPr>
            </w:pPr>
            <w:r w:rsidRPr="000C3C6F">
              <w:rPr>
                <w:rFonts w:ascii="Calibri" w:eastAsia="Times New Roman" w:hAnsi="Calibri" w:cs="Calibri"/>
                <w:sz w:val="20"/>
                <w:szCs w:val="20"/>
              </w:rPr>
              <w:t>Physical Address:</w:t>
            </w:r>
          </w:p>
        </w:tc>
        <w:tc>
          <w:tcPr>
            <w:tcW w:w="5221" w:type="dxa"/>
            <w:gridSpan w:val="2"/>
            <w:tcBorders>
              <w:top w:val="single" w:sz="4" w:space="0" w:color="FFFFFF"/>
              <w:left w:val="single" w:sz="4" w:space="0" w:color="FFFFFF"/>
              <w:bottom w:val="single" w:sz="4" w:space="0" w:color="FFFFFF"/>
              <w:right w:val="single" w:sz="4" w:space="0" w:color="FFFFFF"/>
            </w:tcBorders>
            <w:shd w:val="clear" w:color="auto" w:fill="F2F2F2"/>
          </w:tcPr>
          <w:p w14:paraId="534C4A16" w14:textId="77777777" w:rsidR="000C3C6F" w:rsidRPr="000C3C6F" w:rsidRDefault="000C3C6F" w:rsidP="000C3C6F">
            <w:pPr>
              <w:spacing w:after="0" w:line="240" w:lineRule="auto"/>
              <w:rPr>
                <w:rFonts w:ascii="Calibri" w:eastAsia="Times New Roman" w:hAnsi="Calibri" w:cs="Calibri"/>
                <w:iCs/>
                <w:sz w:val="20"/>
                <w:szCs w:val="16"/>
              </w:rPr>
            </w:pPr>
            <w:r w:rsidRPr="000C3C6F">
              <w:rPr>
                <w:rFonts w:ascii="Calibri" w:eastAsia="Times New Roman" w:hAnsi="Calibri" w:cs="Calibri"/>
                <w:iCs/>
                <w:sz w:val="20"/>
                <w:szCs w:val="16"/>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iCs/>
                <w:sz w:val="20"/>
                <w:szCs w:val="16"/>
              </w:rPr>
              <w:instrText xml:space="preserve"> FORMTEXT </w:instrText>
            </w:r>
            <w:r w:rsidRPr="000C3C6F">
              <w:rPr>
                <w:rFonts w:ascii="Calibri" w:eastAsia="Times New Roman" w:hAnsi="Calibri" w:cs="Calibri"/>
                <w:iCs/>
                <w:sz w:val="20"/>
                <w:szCs w:val="16"/>
              </w:rPr>
            </w:r>
            <w:r w:rsidRPr="000C3C6F">
              <w:rPr>
                <w:rFonts w:ascii="Calibri" w:eastAsia="Times New Roman" w:hAnsi="Calibri" w:cs="Calibri"/>
                <w:iCs/>
                <w:sz w:val="20"/>
                <w:szCs w:val="16"/>
              </w:rPr>
              <w:fldChar w:fldCharType="separate"/>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Times New Roman" w:hAnsi="Calibri" w:cs="Calibri"/>
                <w:iCs/>
                <w:sz w:val="20"/>
                <w:szCs w:val="16"/>
              </w:rPr>
              <w:fldChar w:fldCharType="end"/>
            </w:r>
          </w:p>
        </w:tc>
      </w:tr>
      <w:tr w:rsidR="000C3C6F" w:rsidRPr="000C3C6F" w14:paraId="016860AF" w14:textId="77777777" w:rsidTr="000C3C6F">
        <w:trPr>
          <w:trHeight w:val="20"/>
        </w:trPr>
        <w:tc>
          <w:tcPr>
            <w:tcW w:w="5490" w:type="dxa"/>
            <w:gridSpan w:val="3"/>
            <w:tcBorders>
              <w:top w:val="single" w:sz="4" w:space="0" w:color="FFFFFF"/>
              <w:left w:val="single" w:sz="4" w:space="0" w:color="FFFFFF"/>
              <w:bottom w:val="single" w:sz="4" w:space="0" w:color="FFFFFF"/>
              <w:right w:val="single" w:sz="4" w:space="0" w:color="FFFFFF"/>
            </w:tcBorders>
            <w:shd w:val="clear" w:color="auto" w:fill="F2F2F2"/>
          </w:tcPr>
          <w:p w14:paraId="4729CFDE" w14:textId="77777777" w:rsidR="000C3C6F" w:rsidRPr="000C3C6F" w:rsidRDefault="000C3C6F" w:rsidP="000C3C6F">
            <w:pPr>
              <w:spacing w:after="0" w:line="240" w:lineRule="auto"/>
              <w:rPr>
                <w:rFonts w:ascii="Calibri" w:eastAsia="Times New Roman" w:hAnsi="Calibri" w:cs="Calibri"/>
                <w:sz w:val="20"/>
                <w:szCs w:val="20"/>
              </w:rPr>
            </w:pPr>
            <w:r w:rsidRPr="000C3C6F">
              <w:rPr>
                <w:rFonts w:ascii="Calibri" w:eastAsia="Times New Roman" w:hAnsi="Calibri" w:cs="Calibri"/>
                <w:sz w:val="20"/>
                <w:szCs w:val="20"/>
              </w:rPr>
              <w:t>Mailing Address:</w:t>
            </w:r>
          </w:p>
        </w:tc>
        <w:tc>
          <w:tcPr>
            <w:tcW w:w="5221" w:type="dxa"/>
            <w:gridSpan w:val="2"/>
            <w:tcBorders>
              <w:top w:val="single" w:sz="4" w:space="0" w:color="FFFFFF"/>
              <w:left w:val="single" w:sz="4" w:space="0" w:color="FFFFFF"/>
              <w:bottom w:val="single" w:sz="4" w:space="0" w:color="FFFFFF"/>
              <w:right w:val="single" w:sz="4" w:space="0" w:color="FFFFFF"/>
            </w:tcBorders>
            <w:shd w:val="clear" w:color="auto" w:fill="F2F2F2"/>
          </w:tcPr>
          <w:p w14:paraId="2A184DAB" w14:textId="77777777" w:rsidR="000C3C6F" w:rsidRPr="000C3C6F" w:rsidRDefault="000C3C6F" w:rsidP="000C3C6F">
            <w:pPr>
              <w:spacing w:after="0" w:line="240" w:lineRule="auto"/>
              <w:rPr>
                <w:rFonts w:ascii="Calibri" w:eastAsia="Times New Roman" w:hAnsi="Calibri" w:cs="Calibri"/>
                <w:iCs/>
                <w:sz w:val="20"/>
                <w:szCs w:val="16"/>
              </w:rPr>
            </w:pPr>
            <w:r w:rsidRPr="000C3C6F">
              <w:rPr>
                <w:rFonts w:ascii="Calibri" w:eastAsia="Times New Roman" w:hAnsi="Calibri" w:cs="Calibri"/>
                <w:iCs/>
                <w:sz w:val="20"/>
                <w:szCs w:val="16"/>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iCs/>
                <w:sz w:val="20"/>
                <w:szCs w:val="16"/>
              </w:rPr>
              <w:instrText xml:space="preserve"> FORMTEXT </w:instrText>
            </w:r>
            <w:r w:rsidRPr="000C3C6F">
              <w:rPr>
                <w:rFonts w:ascii="Calibri" w:eastAsia="Times New Roman" w:hAnsi="Calibri" w:cs="Calibri"/>
                <w:iCs/>
                <w:sz w:val="20"/>
                <w:szCs w:val="16"/>
              </w:rPr>
            </w:r>
            <w:r w:rsidRPr="000C3C6F">
              <w:rPr>
                <w:rFonts w:ascii="Calibri" w:eastAsia="Times New Roman" w:hAnsi="Calibri" w:cs="Calibri"/>
                <w:iCs/>
                <w:sz w:val="20"/>
                <w:szCs w:val="16"/>
              </w:rPr>
              <w:fldChar w:fldCharType="separate"/>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Times New Roman" w:hAnsi="Calibri" w:cs="Calibri"/>
                <w:iCs/>
                <w:sz w:val="20"/>
                <w:szCs w:val="16"/>
              </w:rPr>
              <w:fldChar w:fldCharType="end"/>
            </w:r>
          </w:p>
        </w:tc>
      </w:tr>
      <w:tr w:rsidR="000C3C6F" w:rsidRPr="000C3C6F" w14:paraId="1B0D446F" w14:textId="77777777" w:rsidTr="000C3C6F">
        <w:trPr>
          <w:trHeight w:val="20"/>
        </w:trPr>
        <w:tc>
          <w:tcPr>
            <w:tcW w:w="5490" w:type="dxa"/>
            <w:gridSpan w:val="3"/>
            <w:tcBorders>
              <w:top w:val="single" w:sz="4" w:space="0" w:color="FFFFFF"/>
              <w:left w:val="single" w:sz="4" w:space="0" w:color="FFFFFF"/>
              <w:bottom w:val="single" w:sz="4" w:space="0" w:color="FFFFFF"/>
              <w:right w:val="single" w:sz="4" w:space="0" w:color="FFFFFF"/>
            </w:tcBorders>
            <w:shd w:val="clear" w:color="auto" w:fill="F2F2F2"/>
          </w:tcPr>
          <w:p w14:paraId="1C51B899" w14:textId="77777777" w:rsidR="000C3C6F" w:rsidRPr="000C3C6F" w:rsidRDefault="000C3C6F" w:rsidP="000C3C6F">
            <w:pPr>
              <w:spacing w:after="0" w:line="240" w:lineRule="auto"/>
              <w:rPr>
                <w:rFonts w:ascii="Calibri" w:eastAsia="Times New Roman" w:hAnsi="Calibri" w:cs="Calibri"/>
                <w:sz w:val="20"/>
                <w:szCs w:val="20"/>
              </w:rPr>
            </w:pPr>
            <w:r w:rsidRPr="000C3C6F">
              <w:rPr>
                <w:rFonts w:ascii="Calibri" w:eastAsia="Times New Roman" w:hAnsi="Calibri" w:cs="Calibri"/>
                <w:sz w:val="20"/>
                <w:szCs w:val="20"/>
              </w:rPr>
              <w:t>Main Phone Number:</w:t>
            </w:r>
          </w:p>
        </w:tc>
        <w:tc>
          <w:tcPr>
            <w:tcW w:w="5221" w:type="dxa"/>
            <w:gridSpan w:val="2"/>
            <w:tcBorders>
              <w:top w:val="single" w:sz="4" w:space="0" w:color="FFFFFF"/>
              <w:left w:val="single" w:sz="4" w:space="0" w:color="FFFFFF"/>
              <w:bottom w:val="single" w:sz="4" w:space="0" w:color="FFFFFF"/>
              <w:right w:val="single" w:sz="4" w:space="0" w:color="FFFFFF"/>
            </w:tcBorders>
            <w:shd w:val="clear" w:color="auto" w:fill="F2F2F2"/>
          </w:tcPr>
          <w:p w14:paraId="062380B5" w14:textId="77777777" w:rsidR="000C3C6F" w:rsidRPr="000C3C6F" w:rsidRDefault="000C3C6F" w:rsidP="000C3C6F">
            <w:pPr>
              <w:spacing w:after="0" w:line="240" w:lineRule="auto"/>
              <w:rPr>
                <w:rFonts w:ascii="Calibri" w:eastAsia="Times New Roman" w:hAnsi="Calibri" w:cs="Calibri"/>
                <w:iCs/>
                <w:sz w:val="20"/>
                <w:szCs w:val="16"/>
              </w:rPr>
            </w:pPr>
            <w:r w:rsidRPr="000C3C6F">
              <w:rPr>
                <w:rFonts w:ascii="Calibri" w:eastAsia="Times New Roman" w:hAnsi="Calibri" w:cs="Calibri"/>
                <w:iCs/>
                <w:sz w:val="20"/>
                <w:szCs w:val="16"/>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iCs/>
                <w:sz w:val="20"/>
                <w:szCs w:val="16"/>
              </w:rPr>
              <w:instrText xml:space="preserve"> FORMTEXT </w:instrText>
            </w:r>
            <w:r w:rsidRPr="000C3C6F">
              <w:rPr>
                <w:rFonts w:ascii="Calibri" w:eastAsia="Times New Roman" w:hAnsi="Calibri" w:cs="Calibri"/>
                <w:iCs/>
                <w:sz w:val="20"/>
                <w:szCs w:val="16"/>
              </w:rPr>
            </w:r>
            <w:r w:rsidRPr="000C3C6F">
              <w:rPr>
                <w:rFonts w:ascii="Calibri" w:eastAsia="Times New Roman" w:hAnsi="Calibri" w:cs="Calibri"/>
                <w:iCs/>
                <w:sz w:val="20"/>
                <w:szCs w:val="16"/>
              </w:rPr>
              <w:fldChar w:fldCharType="separate"/>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Times New Roman" w:hAnsi="Calibri" w:cs="Calibri"/>
                <w:iCs/>
                <w:sz w:val="20"/>
                <w:szCs w:val="16"/>
              </w:rPr>
              <w:fldChar w:fldCharType="end"/>
            </w:r>
          </w:p>
        </w:tc>
      </w:tr>
      <w:tr w:rsidR="000C3C6F" w:rsidRPr="000C3C6F" w14:paraId="58B713AB" w14:textId="77777777" w:rsidTr="000C3C6F">
        <w:trPr>
          <w:trHeight w:val="20"/>
        </w:trPr>
        <w:tc>
          <w:tcPr>
            <w:tcW w:w="5490" w:type="dxa"/>
            <w:gridSpan w:val="3"/>
            <w:tcBorders>
              <w:top w:val="single" w:sz="4" w:space="0" w:color="FFFFFF"/>
              <w:left w:val="single" w:sz="4" w:space="0" w:color="FFFFFF"/>
              <w:bottom w:val="single" w:sz="4" w:space="0" w:color="FFFFFF"/>
              <w:right w:val="single" w:sz="4" w:space="0" w:color="FFFFFF"/>
            </w:tcBorders>
            <w:shd w:val="clear" w:color="auto" w:fill="F2F2F2"/>
          </w:tcPr>
          <w:p w14:paraId="670719A5" w14:textId="77777777" w:rsidR="000C3C6F" w:rsidRPr="000C3C6F" w:rsidRDefault="000C3C6F" w:rsidP="000C3C6F">
            <w:pPr>
              <w:spacing w:after="0" w:line="240" w:lineRule="auto"/>
              <w:rPr>
                <w:rFonts w:ascii="Calibri" w:eastAsia="Times New Roman" w:hAnsi="Calibri" w:cs="Calibri"/>
                <w:sz w:val="20"/>
                <w:szCs w:val="20"/>
              </w:rPr>
            </w:pPr>
            <w:r w:rsidRPr="000C3C6F">
              <w:rPr>
                <w:rFonts w:ascii="Calibri" w:eastAsia="Times New Roman" w:hAnsi="Calibri" w:cs="Calibri"/>
                <w:sz w:val="20"/>
                <w:szCs w:val="20"/>
              </w:rPr>
              <w:t>Main Fax Number:</w:t>
            </w:r>
          </w:p>
        </w:tc>
        <w:tc>
          <w:tcPr>
            <w:tcW w:w="5221" w:type="dxa"/>
            <w:gridSpan w:val="2"/>
            <w:tcBorders>
              <w:top w:val="single" w:sz="4" w:space="0" w:color="FFFFFF"/>
              <w:left w:val="single" w:sz="4" w:space="0" w:color="FFFFFF"/>
              <w:bottom w:val="single" w:sz="4" w:space="0" w:color="FFFFFF"/>
              <w:right w:val="single" w:sz="4" w:space="0" w:color="FFFFFF"/>
            </w:tcBorders>
            <w:shd w:val="clear" w:color="auto" w:fill="F2F2F2"/>
          </w:tcPr>
          <w:p w14:paraId="166FC3CC" w14:textId="77777777" w:rsidR="000C3C6F" w:rsidRPr="000C3C6F" w:rsidRDefault="000C3C6F" w:rsidP="000C3C6F">
            <w:pPr>
              <w:spacing w:after="0" w:line="240" w:lineRule="auto"/>
              <w:rPr>
                <w:rFonts w:ascii="Calibri" w:eastAsia="Times New Roman" w:hAnsi="Calibri" w:cs="Calibri"/>
                <w:iCs/>
                <w:sz w:val="20"/>
                <w:szCs w:val="16"/>
              </w:rPr>
            </w:pPr>
            <w:r w:rsidRPr="000C3C6F">
              <w:rPr>
                <w:rFonts w:ascii="Calibri" w:eastAsia="Times New Roman" w:hAnsi="Calibri" w:cs="Calibri"/>
                <w:iCs/>
                <w:sz w:val="20"/>
                <w:szCs w:val="16"/>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iCs/>
                <w:sz w:val="20"/>
                <w:szCs w:val="16"/>
              </w:rPr>
              <w:instrText xml:space="preserve"> FORMTEXT </w:instrText>
            </w:r>
            <w:r w:rsidRPr="000C3C6F">
              <w:rPr>
                <w:rFonts w:ascii="Calibri" w:eastAsia="Times New Roman" w:hAnsi="Calibri" w:cs="Calibri"/>
                <w:iCs/>
                <w:sz w:val="20"/>
                <w:szCs w:val="16"/>
              </w:rPr>
            </w:r>
            <w:r w:rsidRPr="000C3C6F">
              <w:rPr>
                <w:rFonts w:ascii="Calibri" w:eastAsia="Times New Roman" w:hAnsi="Calibri" w:cs="Calibri"/>
                <w:iCs/>
                <w:sz w:val="20"/>
                <w:szCs w:val="16"/>
              </w:rPr>
              <w:fldChar w:fldCharType="separate"/>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Times New Roman" w:hAnsi="Calibri" w:cs="Calibri"/>
                <w:iCs/>
                <w:sz w:val="20"/>
                <w:szCs w:val="16"/>
              </w:rPr>
              <w:fldChar w:fldCharType="end"/>
            </w:r>
          </w:p>
        </w:tc>
      </w:tr>
      <w:tr w:rsidR="000C3C6F" w:rsidRPr="000C3C6F" w14:paraId="2F3EB268" w14:textId="77777777" w:rsidTr="000C3C6F">
        <w:trPr>
          <w:trHeight w:val="20"/>
        </w:trPr>
        <w:tc>
          <w:tcPr>
            <w:tcW w:w="5490" w:type="dxa"/>
            <w:gridSpan w:val="3"/>
            <w:tcBorders>
              <w:top w:val="single" w:sz="4" w:space="0" w:color="FFFFFF"/>
              <w:left w:val="single" w:sz="4" w:space="0" w:color="FFFFFF"/>
              <w:bottom w:val="single" w:sz="4" w:space="0" w:color="FFFFFF"/>
              <w:right w:val="single" w:sz="4" w:space="0" w:color="FFFFFF"/>
            </w:tcBorders>
            <w:shd w:val="clear" w:color="auto" w:fill="F2F2F2"/>
          </w:tcPr>
          <w:p w14:paraId="027A678F" w14:textId="77777777" w:rsidR="000C3C6F" w:rsidRPr="000C3C6F" w:rsidRDefault="000C3C6F" w:rsidP="000C3C6F">
            <w:pPr>
              <w:spacing w:after="0" w:line="240" w:lineRule="auto"/>
              <w:rPr>
                <w:rFonts w:ascii="Calibri" w:eastAsia="Times New Roman" w:hAnsi="Calibri" w:cs="Calibri"/>
                <w:sz w:val="20"/>
                <w:szCs w:val="20"/>
              </w:rPr>
            </w:pPr>
            <w:r w:rsidRPr="000C3C6F">
              <w:rPr>
                <w:rFonts w:ascii="Calibri" w:eastAsia="Times New Roman" w:hAnsi="Calibri" w:cs="Calibri"/>
                <w:sz w:val="20"/>
                <w:szCs w:val="20"/>
              </w:rPr>
              <w:t>Website</w:t>
            </w:r>
          </w:p>
        </w:tc>
        <w:tc>
          <w:tcPr>
            <w:tcW w:w="5221" w:type="dxa"/>
            <w:gridSpan w:val="2"/>
            <w:tcBorders>
              <w:top w:val="single" w:sz="4" w:space="0" w:color="FFFFFF"/>
              <w:left w:val="single" w:sz="4" w:space="0" w:color="FFFFFF"/>
              <w:bottom w:val="single" w:sz="4" w:space="0" w:color="FFFFFF"/>
              <w:right w:val="single" w:sz="4" w:space="0" w:color="FFFFFF"/>
            </w:tcBorders>
            <w:shd w:val="clear" w:color="auto" w:fill="F2F2F2"/>
          </w:tcPr>
          <w:p w14:paraId="2CE383A9" w14:textId="77777777" w:rsidR="000C3C6F" w:rsidRPr="000C3C6F" w:rsidRDefault="000C3C6F" w:rsidP="000C3C6F">
            <w:pPr>
              <w:spacing w:after="0" w:line="240" w:lineRule="auto"/>
              <w:rPr>
                <w:rFonts w:ascii="Calibri" w:eastAsia="Times New Roman" w:hAnsi="Calibri" w:cs="Calibri"/>
                <w:iCs/>
                <w:sz w:val="20"/>
                <w:szCs w:val="16"/>
              </w:rPr>
            </w:pPr>
            <w:r w:rsidRPr="000C3C6F">
              <w:rPr>
                <w:rFonts w:ascii="Calibri" w:eastAsia="Times New Roman" w:hAnsi="Calibri" w:cs="Calibri"/>
                <w:iCs/>
                <w:sz w:val="20"/>
                <w:szCs w:val="16"/>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iCs/>
                <w:sz w:val="20"/>
                <w:szCs w:val="16"/>
              </w:rPr>
              <w:instrText xml:space="preserve"> FORMTEXT </w:instrText>
            </w:r>
            <w:r w:rsidRPr="000C3C6F">
              <w:rPr>
                <w:rFonts w:ascii="Calibri" w:eastAsia="Times New Roman" w:hAnsi="Calibri" w:cs="Calibri"/>
                <w:iCs/>
                <w:sz w:val="20"/>
                <w:szCs w:val="16"/>
              </w:rPr>
            </w:r>
            <w:r w:rsidRPr="000C3C6F">
              <w:rPr>
                <w:rFonts w:ascii="Calibri" w:eastAsia="Times New Roman" w:hAnsi="Calibri" w:cs="Calibri"/>
                <w:iCs/>
                <w:sz w:val="20"/>
                <w:szCs w:val="16"/>
              </w:rPr>
              <w:fldChar w:fldCharType="separate"/>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Times New Roman" w:hAnsi="Calibri" w:cs="Calibri"/>
                <w:iCs/>
                <w:sz w:val="20"/>
                <w:szCs w:val="16"/>
              </w:rPr>
              <w:fldChar w:fldCharType="end"/>
            </w:r>
          </w:p>
        </w:tc>
      </w:tr>
      <w:tr w:rsidR="000C3C6F" w:rsidRPr="000C3C6F" w14:paraId="06A85CF3" w14:textId="77777777" w:rsidTr="000C3C6F">
        <w:trPr>
          <w:trHeight w:val="20"/>
        </w:trPr>
        <w:tc>
          <w:tcPr>
            <w:tcW w:w="5490" w:type="dxa"/>
            <w:gridSpan w:val="3"/>
            <w:tcBorders>
              <w:top w:val="single" w:sz="4" w:space="0" w:color="FFFFFF"/>
              <w:left w:val="single" w:sz="4" w:space="0" w:color="FFFFFF"/>
              <w:bottom w:val="single" w:sz="4" w:space="0" w:color="FFFFFF"/>
              <w:right w:val="single" w:sz="4" w:space="0" w:color="FFFFFF"/>
            </w:tcBorders>
            <w:shd w:val="clear" w:color="auto" w:fill="F2F2F2"/>
          </w:tcPr>
          <w:p w14:paraId="134EF941" w14:textId="77777777" w:rsidR="000C3C6F" w:rsidRPr="000C3C6F" w:rsidRDefault="000C3C6F" w:rsidP="000C3C6F">
            <w:pPr>
              <w:spacing w:after="0" w:line="240" w:lineRule="auto"/>
              <w:rPr>
                <w:rFonts w:ascii="Calibri" w:eastAsia="Times New Roman" w:hAnsi="Calibri" w:cs="Calibri"/>
                <w:sz w:val="20"/>
                <w:szCs w:val="20"/>
              </w:rPr>
            </w:pPr>
            <w:r w:rsidRPr="000C3C6F">
              <w:rPr>
                <w:rFonts w:ascii="Calibri" w:eastAsia="Times New Roman" w:hAnsi="Calibri" w:cs="Calibri"/>
                <w:sz w:val="20"/>
                <w:szCs w:val="20"/>
              </w:rPr>
              <w:t>Facebook Page</w:t>
            </w:r>
          </w:p>
        </w:tc>
        <w:tc>
          <w:tcPr>
            <w:tcW w:w="5221" w:type="dxa"/>
            <w:gridSpan w:val="2"/>
            <w:tcBorders>
              <w:top w:val="single" w:sz="4" w:space="0" w:color="FFFFFF"/>
              <w:left w:val="single" w:sz="4" w:space="0" w:color="FFFFFF"/>
              <w:bottom w:val="single" w:sz="4" w:space="0" w:color="FFFFFF"/>
              <w:right w:val="single" w:sz="4" w:space="0" w:color="FFFFFF"/>
            </w:tcBorders>
            <w:shd w:val="clear" w:color="auto" w:fill="F2F2F2"/>
          </w:tcPr>
          <w:p w14:paraId="57BCF24D" w14:textId="77777777" w:rsidR="000C3C6F" w:rsidRPr="000C3C6F" w:rsidRDefault="000C3C6F" w:rsidP="000C3C6F">
            <w:pPr>
              <w:spacing w:after="0" w:line="240" w:lineRule="auto"/>
              <w:rPr>
                <w:rFonts w:ascii="Calibri" w:eastAsia="Times New Roman" w:hAnsi="Calibri" w:cs="Calibri"/>
                <w:iCs/>
                <w:sz w:val="20"/>
                <w:szCs w:val="16"/>
              </w:rPr>
            </w:pPr>
            <w:r w:rsidRPr="000C3C6F">
              <w:rPr>
                <w:rFonts w:ascii="Calibri" w:eastAsia="Times New Roman" w:hAnsi="Calibri" w:cs="Calibri"/>
                <w:iCs/>
                <w:sz w:val="20"/>
                <w:szCs w:val="16"/>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iCs/>
                <w:sz w:val="20"/>
                <w:szCs w:val="16"/>
              </w:rPr>
              <w:instrText xml:space="preserve"> FORMTEXT </w:instrText>
            </w:r>
            <w:r w:rsidRPr="000C3C6F">
              <w:rPr>
                <w:rFonts w:ascii="Calibri" w:eastAsia="Times New Roman" w:hAnsi="Calibri" w:cs="Calibri"/>
                <w:iCs/>
                <w:sz w:val="20"/>
                <w:szCs w:val="16"/>
              </w:rPr>
            </w:r>
            <w:r w:rsidRPr="000C3C6F">
              <w:rPr>
                <w:rFonts w:ascii="Calibri" w:eastAsia="Times New Roman" w:hAnsi="Calibri" w:cs="Calibri"/>
                <w:iCs/>
                <w:sz w:val="20"/>
                <w:szCs w:val="16"/>
              </w:rPr>
              <w:fldChar w:fldCharType="separate"/>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Times New Roman" w:hAnsi="Calibri" w:cs="Calibri"/>
                <w:iCs/>
                <w:sz w:val="20"/>
                <w:szCs w:val="16"/>
              </w:rPr>
              <w:fldChar w:fldCharType="end"/>
            </w:r>
          </w:p>
        </w:tc>
      </w:tr>
      <w:tr w:rsidR="000C3C6F" w:rsidRPr="000C3C6F" w14:paraId="70E8899E" w14:textId="77777777" w:rsidTr="000C3C6F">
        <w:trPr>
          <w:trHeight w:val="20"/>
        </w:trPr>
        <w:tc>
          <w:tcPr>
            <w:tcW w:w="5490" w:type="dxa"/>
            <w:gridSpan w:val="3"/>
            <w:tcBorders>
              <w:top w:val="single" w:sz="4" w:space="0" w:color="FFFFFF"/>
              <w:left w:val="single" w:sz="4" w:space="0" w:color="FFFFFF"/>
              <w:bottom w:val="single" w:sz="4" w:space="0" w:color="FFFFFF"/>
              <w:right w:val="single" w:sz="4" w:space="0" w:color="FFFFFF"/>
            </w:tcBorders>
            <w:shd w:val="clear" w:color="auto" w:fill="F2F2F2"/>
          </w:tcPr>
          <w:p w14:paraId="04029C1D" w14:textId="77777777" w:rsidR="000C3C6F" w:rsidRPr="000C3C6F" w:rsidRDefault="000C3C6F" w:rsidP="000C3C6F">
            <w:pPr>
              <w:spacing w:after="0" w:line="240" w:lineRule="auto"/>
              <w:rPr>
                <w:rFonts w:ascii="Calibri" w:eastAsia="Times New Roman" w:hAnsi="Calibri" w:cs="Calibri"/>
                <w:sz w:val="20"/>
                <w:szCs w:val="20"/>
              </w:rPr>
            </w:pPr>
            <w:r w:rsidRPr="000C3C6F">
              <w:rPr>
                <w:rFonts w:ascii="Calibri" w:eastAsia="Times New Roman" w:hAnsi="Calibri" w:cs="Calibri"/>
                <w:sz w:val="20"/>
                <w:szCs w:val="20"/>
              </w:rPr>
              <w:t>Twitter Handle</w:t>
            </w:r>
          </w:p>
        </w:tc>
        <w:tc>
          <w:tcPr>
            <w:tcW w:w="5221" w:type="dxa"/>
            <w:gridSpan w:val="2"/>
            <w:tcBorders>
              <w:top w:val="single" w:sz="4" w:space="0" w:color="FFFFFF"/>
              <w:left w:val="single" w:sz="4" w:space="0" w:color="FFFFFF"/>
              <w:bottom w:val="single" w:sz="4" w:space="0" w:color="FFFFFF"/>
              <w:right w:val="single" w:sz="4" w:space="0" w:color="FFFFFF"/>
            </w:tcBorders>
            <w:shd w:val="clear" w:color="auto" w:fill="F2F2F2"/>
          </w:tcPr>
          <w:p w14:paraId="732BC319" w14:textId="77777777" w:rsidR="000C3C6F" w:rsidRPr="000C3C6F" w:rsidRDefault="000C3C6F" w:rsidP="000C3C6F">
            <w:pPr>
              <w:spacing w:after="0" w:line="240" w:lineRule="auto"/>
              <w:rPr>
                <w:rFonts w:ascii="Calibri" w:eastAsia="Times New Roman" w:hAnsi="Calibri" w:cs="Calibri"/>
                <w:iCs/>
                <w:sz w:val="20"/>
                <w:szCs w:val="16"/>
              </w:rPr>
            </w:pPr>
            <w:r w:rsidRPr="000C3C6F">
              <w:rPr>
                <w:rFonts w:ascii="Calibri" w:eastAsia="Times New Roman" w:hAnsi="Calibri" w:cs="Calibri"/>
                <w:iCs/>
                <w:sz w:val="20"/>
                <w:szCs w:val="16"/>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iCs/>
                <w:sz w:val="20"/>
                <w:szCs w:val="16"/>
              </w:rPr>
              <w:instrText xml:space="preserve"> FORMTEXT </w:instrText>
            </w:r>
            <w:r w:rsidRPr="000C3C6F">
              <w:rPr>
                <w:rFonts w:ascii="Calibri" w:eastAsia="Times New Roman" w:hAnsi="Calibri" w:cs="Calibri"/>
                <w:iCs/>
                <w:sz w:val="20"/>
                <w:szCs w:val="16"/>
              </w:rPr>
            </w:r>
            <w:r w:rsidRPr="000C3C6F">
              <w:rPr>
                <w:rFonts w:ascii="Calibri" w:eastAsia="Times New Roman" w:hAnsi="Calibri" w:cs="Calibri"/>
                <w:iCs/>
                <w:sz w:val="20"/>
                <w:szCs w:val="16"/>
              </w:rPr>
              <w:fldChar w:fldCharType="separate"/>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Times New Roman" w:hAnsi="Calibri" w:cs="Calibri"/>
                <w:iCs/>
                <w:sz w:val="20"/>
                <w:szCs w:val="16"/>
              </w:rPr>
              <w:fldChar w:fldCharType="end"/>
            </w:r>
          </w:p>
        </w:tc>
      </w:tr>
      <w:tr w:rsidR="000C3C6F" w:rsidRPr="000C3C6F" w14:paraId="397AF469" w14:textId="77777777" w:rsidTr="000C3C6F">
        <w:trPr>
          <w:trHeight w:val="20"/>
        </w:trPr>
        <w:tc>
          <w:tcPr>
            <w:tcW w:w="5490" w:type="dxa"/>
            <w:gridSpan w:val="3"/>
            <w:tcBorders>
              <w:top w:val="single" w:sz="4" w:space="0" w:color="FFFFFF"/>
              <w:left w:val="single" w:sz="4" w:space="0" w:color="FFFFFF"/>
              <w:bottom w:val="single" w:sz="4" w:space="0" w:color="FFFFFF"/>
              <w:right w:val="single" w:sz="4" w:space="0" w:color="FFFFFF"/>
            </w:tcBorders>
            <w:shd w:val="clear" w:color="auto" w:fill="F2F2F2"/>
          </w:tcPr>
          <w:p w14:paraId="23F47633" w14:textId="77777777" w:rsidR="000C3C6F" w:rsidRPr="000C3C6F" w:rsidRDefault="000C3C6F" w:rsidP="000C3C6F">
            <w:pPr>
              <w:spacing w:after="0" w:line="240" w:lineRule="auto"/>
              <w:rPr>
                <w:rFonts w:ascii="Calibri" w:eastAsia="Times New Roman" w:hAnsi="Calibri" w:cs="Calibri"/>
                <w:sz w:val="20"/>
                <w:szCs w:val="20"/>
              </w:rPr>
            </w:pPr>
            <w:r w:rsidRPr="000C3C6F">
              <w:rPr>
                <w:rFonts w:ascii="Calibri" w:eastAsia="Times New Roman" w:hAnsi="Calibri" w:cs="Calibri"/>
                <w:sz w:val="20"/>
                <w:szCs w:val="20"/>
              </w:rPr>
              <w:t>What department administers the HOPWA grant?</w:t>
            </w:r>
          </w:p>
        </w:tc>
        <w:tc>
          <w:tcPr>
            <w:tcW w:w="5221" w:type="dxa"/>
            <w:gridSpan w:val="2"/>
            <w:tcBorders>
              <w:top w:val="single" w:sz="4" w:space="0" w:color="FFFFFF"/>
              <w:left w:val="single" w:sz="4" w:space="0" w:color="FFFFFF"/>
              <w:bottom w:val="single" w:sz="4" w:space="0" w:color="FFFFFF"/>
              <w:right w:val="single" w:sz="4" w:space="0" w:color="FFFFFF"/>
            </w:tcBorders>
            <w:shd w:val="clear" w:color="auto" w:fill="F2F2F2"/>
          </w:tcPr>
          <w:p w14:paraId="7467497B" w14:textId="77777777" w:rsidR="000C3C6F" w:rsidRPr="000C3C6F" w:rsidRDefault="000C3C6F" w:rsidP="000C3C6F">
            <w:pPr>
              <w:spacing w:after="0" w:line="240" w:lineRule="auto"/>
              <w:rPr>
                <w:rFonts w:ascii="Calibri" w:eastAsia="Times New Roman" w:hAnsi="Calibri" w:cs="Calibri"/>
                <w:iCs/>
                <w:sz w:val="20"/>
                <w:szCs w:val="16"/>
              </w:rPr>
            </w:pPr>
            <w:r w:rsidRPr="000C3C6F">
              <w:rPr>
                <w:rFonts w:ascii="Calibri" w:eastAsia="Times New Roman" w:hAnsi="Calibri" w:cs="Calibri"/>
                <w:iCs/>
                <w:sz w:val="20"/>
                <w:szCs w:val="16"/>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iCs/>
                <w:sz w:val="20"/>
                <w:szCs w:val="16"/>
              </w:rPr>
              <w:instrText xml:space="preserve"> FORMTEXT </w:instrText>
            </w:r>
            <w:r w:rsidRPr="000C3C6F">
              <w:rPr>
                <w:rFonts w:ascii="Calibri" w:eastAsia="Times New Roman" w:hAnsi="Calibri" w:cs="Calibri"/>
                <w:iCs/>
                <w:sz w:val="20"/>
                <w:szCs w:val="16"/>
              </w:rPr>
            </w:r>
            <w:r w:rsidRPr="000C3C6F">
              <w:rPr>
                <w:rFonts w:ascii="Calibri" w:eastAsia="Times New Roman" w:hAnsi="Calibri" w:cs="Calibri"/>
                <w:iCs/>
                <w:sz w:val="20"/>
                <w:szCs w:val="16"/>
              </w:rPr>
              <w:fldChar w:fldCharType="separate"/>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Times New Roman" w:hAnsi="Calibri" w:cs="Calibri"/>
                <w:iCs/>
                <w:sz w:val="20"/>
                <w:szCs w:val="16"/>
              </w:rPr>
              <w:fldChar w:fldCharType="end"/>
            </w:r>
          </w:p>
        </w:tc>
      </w:tr>
      <w:tr w:rsidR="000C3C6F" w:rsidRPr="000C3C6F" w14:paraId="1FD95C3D" w14:textId="77777777" w:rsidTr="000C3C6F">
        <w:trPr>
          <w:trHeight w:val="20"/>
        </w:trPr>
        <w:tc>
          <w:tcPr>
            <w:tcW w:w="5490" w:type="dxa"/>
            <w:gridSpan w:val="3"/>
            <w:tcBorders>
              <w:top w:val="single" w:sz="4" w:space="0" w:color="FFFFFF"/>
              <w:left w:val="single" w:sz="4" w:space="0" w:color="FFFFFF"/>
              <w:bottom w:val="single" w:sz="4" w:space="0" w:color="FFFFFF"/>
              <w:right w:val="single" w:sz="4" w:space="0" w:color="FFFFFF"/>
            </w:tcBorders>
            <w:shd w:val="clear" w:color="auto" w:fill="F2F2F2"/>
          </w:tcPr>
          <w:p w14:paraId="3CFF3C62" w14:textId="77777777" w:rsidR="000C3C6F" w:rsidRPr="000C3C6F" w:rsidRDefault="000C3C6F" w:rsidP="000C3C6F">
            <w:pPr>
              <w:spacing w:after="0" w:line="240" w:lineRule="auto"/>
              <w:rPr>
                <w:rFonts w:ascii="Calibri" w:eastAsia="Times New Roman" w:hAnsi="Calibri" w:cs="Calibri"/>
                <w:sz w:val="20"/>
                <w:szCs w:val="20"/>
              </w:rPr>
            </w:pPr>
            <w:r w:rsidRPr="000C3C6F">
              <w:rPr>
                <w:rFonts w:ascii="Calibri" w:eastAsia="Times New Roman" w:hAnsi="Calibri" w:cs="Calibri"/>
                <w:sz w:val="20"/>
                <w:szCs w:val="20"/>
              </w:rPr>
              <w:t>Is this a nonprofit organization?</w:t>
            </w:r>
          </w:p>
        </w:tc>
        <w:tc>
          <w:tcPr>
            <w:tcW w:w="5221" w:type="dxa"/>
            <w:gridSpan w:val="2"/>
            <w:tcBorders>
              <w:top w:val="single" w:sz="4" w:space="0" w:color="FFFFFF"/>
              <w:left w:val="single" w:sz="4" w:space="0" w:color="FFFFFF"/>
              <w:bottom w:val="single" w:sz="4" w:space="0" w:color="FFFFFF"/>
              <w:right w:val="single" w:sz="4" w:space="0" w:color="FFFFFF"/>
            </w:tcBorders>
            <w:shd w:val="clear" w:color="auto" w:fill="F2F2F2"/>
          </w:tcPr>
          <w:p w14:paraId="26BC4615" w14:textId="77777777" w:rsidR="000C3C6F" w:rsidRPr="000C3C6F" w:rsidRDefault="000C3C6F" w:rsidP="000C3C6F">
            <w:pPr>
              <w:spacing w:after="0" w:line="240" w:lineRule="auto"/>
              <w:rPr>
                <w:rFonts w:ascii="Calibri" w:eastAsia="Times New Roman" w:hAnsi="Calibri" w:cs="Calibri"/>
                <w:iCs/>
                <w:sz w:val="20"/>
                <w:szCs w:val="16"/>
              </w:rPr>
            </w:pPr>
            <w:r w:rsidRPr="000C3C6F">
              <w:rPr>
                <w:rFonts w:ascii="Calibri" w:eastAsia="Times New Roman" w:hAnsi="Calibri" w:cs="Calibri"/>
                <w:iCs/>
                <w:sz w:val="20"/>
                <w:szCs w:val="16"/>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iCs/>
                <w:sz w:val="20"/>
                <w:szCs w:val="16"/>
              </w:rPr>
              <w:instrText xml:space="preserve"> FORMTEXT </w:instrText>
            </w:r>
            <w:r w:rsidRPr="000C3C6F">
              <w:rPr>
                <w:rFonts w:ascii="Calibri" w:eastAsia="Times New Roman" w:hAnsi="Calibri" w:cs="Calibri"/>
                <w:iCs/>
                <w:sz w:val="20"/>
                <w:szCs w:val="16"/>
              </w:rPr>
            </w:r>
            <w:r w:rsidRPr="000C3C6F">
              <w:rPr>
                <w:rFonts w:ascii="Calibri" w:eastAsia="Times New Roman" w:hAnsi="Calibri" w:cs="Calibri"/>
                <w:iCs/>
                <w:sz w:val="20"/>
                <w:szCs w:val="16"/>
              </w:rPr>
              <w:fldChar w:fldCharType="separate"/>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Times New Roman" w:hAnsi="Calibri" w:cs="Calibri"/>
                <w:iCs/>
                <w:sz w:val="20"/>
                <w:szCs w:val="16"/>
              </w:rPr>
              <w:fldChar w:fldCharType="end"/>
            </w:r>
          </w:p>
        </w:tc>
      </w:tr>
      <w:tr w:rsidR="000C3C6F" w:rsidRPr="000C3C6F" w14:paraId="364A1062" w14:textId="77777777" w:rsidTr="000C3C6F">
        <w:trPr>
          <w:trHeight w:val="20"/>
        </w:trPr>
        <w:tc>
          <w:tcPr>
            <w:tcW w:w="5490" w:type="dxa"/>
            <w:gridSpan w:val="3"/>
            <w:tcBorders>
              <w:top w:val="single" w:sz="4" w:space="0" w:color="FFFFFF"/>
              <w:left w:val="single" w:sz="4" w:space="0" w:color="FFFFFF"/>
              <w:bottom w:val="single" w:sz="4" w:space="0" w:color="FFFFFF"/>
              <w:right w:val="single" w:sz="4" w:space="0" w:color="FFFFFF"/>
            </w:tcBorders>
            <w:shd w:val="clear" w:color="auto" w:fill="F2F2F2"/>
          </w:tcPr>
          <w:p w14:paraId="70B44402" w14:textId="77777777" w:rsidR="000C3C6F" w:rsidRPr="000C3C6F" w:rsidRDefault="000C3C6F" w:rsidP="000C3C6F">
            <w:pPr>
              <w:spacing w:after="0" w:line="240" w:lineRule="auto"/>
              <w:rPr>
                <w:rFonts w:ascii="Calibri" w:eastAsia="Times New Roman" w:hAnsi="Calibri" w:cs="Calibri"/>
                <w:sz w:val="20"/>
                <w:szCs w:val="20"/>
              </w:rPr>
            </w:pPr>
            <w:r w:rsidRPr="000C3C6F">
              <w:rPr>
                <w:rFonts w:ascii="Calibri" w:eastAsia="Times New Roman" w:hAnsi="Calibri" w:cs="Calibri"/>
                <w:sz w:val="20"/>
                <w:szCs w:val="20"/>
              </w:rPr>
              <w:t>Is this a faith-based organization?</w:t>
            </w:r>
          </w:p>
        </w:tc>
        <w:tc>
          <w:tcPr>
            <w:tcW w:w="5221" w:type="dxa"/>
            <w:gridSpan w:val="2"/>
            <w:tcBorders>
              <w:top w:val="single" w:sz="4" w:space="0" w:color="FFFFFF"/>
              <w:left w:val="single" w:sz="4" w:space="0" w:color="FFFFFF"/>
              <w:bottom w:val="single" w:sz="4" w:space="0" w:color="FFFFFF"/>
              <w:right w:val="single" w:sz="4" w:space="0" w:color="FFFFFF"/>
            </w:tcBorders>
            <w:shd w:val="clear" w:color="auto" w:fill="F2F2F2"/>
          </w:tcPr>
          <w:p w14:paraId="4EA1F53D" w14:textId="77777777" w:rsidR="000C3C6F" w:rsidRPr="000C3C6F" w:rsidRDefault="000C3C6F" w:rsidP="000C3C6F">
            <w:pPr>
              <w:spacing w:after="0" w:line="240" w:lineRule="auto"/>
              <w:rPr>
                <w:rFonts w:ascii="Calibri" w:eastAsia="Times New Roman" w:hAnsi="Calibri" w:cs="Calibri"/>
                <w:iCs/>
                <w:sz w:val="20"/>
                <w:szCs w:val="16"/>
              </w:rPr>
            </w:pPr>
            <w:r w:rsidRPr="000C3C6F">
              <w:rPr>
                <w:rFonts w:ascii="Calibri" w:eastAsia="Times New Roman" w:hAnsi="Calibri" w:cs="Calibri"/>
                <w:iCs/>
                <w:sz w:val="20"/>
                <w:szCs w:val="16"/>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iCs/>
                <w:sz w:val="20"/>
                <w:szCs w:val="16"/>
              </w:rPr>
              <w:instrText xml:space="preserve"> FORMTEXT </w:instrText>
            </w:r>
            <w:r w:rsidRPr="000C3C6F">
              <w:rPr>
                <w:rFonts w:ascii="Calibri" w:eastAsia="Times New Roman" w:hAnsi="Calibri" w:cs="Calibri"/>
                <w:iCs/>
                <w:sz w:val="20"/>
                <w:szCs w:val="16"/>
              </w:rPr>
            </w:r>
            <w:r w:rsidRPr="000C3C6F">
              <w:rPr>
                <w:rFonts w:ascii="Calibri" w:eastAsia="Times New Roman" w:hAnsi="Calibri" w:cs="Calibri"/>
                <w:iCs/>
                <w:sz w:val="20"/>
                <w:szCs w:val="16"/>
              </w:rPr>
              <w:fldChar w:fldCharType="separate"/>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Times New Roman" w:hAnsi="Calibri" w:cs="Calibri"/>
                <w:iCs/>
                <w:sz w:val="20"/>
                <w:szCs w:val="16"/>
              </w:rPr>
              <w:fldChar w:fldCharType="end"/>
            </w:r>
          </w:p>
        </w:tc>
      </w:tr>
      <w:tr w:rsidR="000C3C6F" w:rsidRPr="000C3C6F" w14:paraId="5EFFE5A4" w14:textId="77777777" w:rsidTr="000C3C6F">
        <w:trPr>
          <w:trHeight w:val="20"/>
        </w:trPr>
        <w:tc>
          <w:tcPr>
            <w:tcW w:w="5490" w:type="dxa"/>
            <w:gridSpan w:val="3"/>
            <w:tcBorders>
              <w:top w:val="single" w:sz="4" w:space="0" w:color="FFFFFF"/>
              <w:left w:val="single" w:sz="4" w:space="0" w:color="FFFFFF"/>
              <w:bottom w:val="single" w:sz="4" w:space="0" w:color="FFFFFF"/>
              <w:right w:val="single" w:sz="4" w:space="0" w:color="FFFFFF"/>
            </w:tcBorders>
            <w:shd w:val="clear" w:color="auto" w:fill="F2F2F2"/>
          </w:tcPr>
          <w:p w14:paraId="526356AB" w14:textId="77777777" w:rsidR="000C3C6F" w:rsidRPr="000C3C6F" w:rsidRDefault="000C3C6F" w:rsidP="000C3C6F">
            <w:pPr>
              <w:spacing w:after="0" w:line="240" w:lineRule="auto"/>
              <w:rPr>
                <w:rFonts w:ascii="Calibri" w:eastAsia="Times New Roman" w:hAnsi="Calibri" w:cs="Calibri"/>
                <w:sz w:val="20"/>
                <w:szCs w:val="20"/>
              </w:rPr>
            </w:pPr>
            <w:r w:rsidRPr="000C3C6F">
              <w:rPr>
                <w:rFonts w:ascii="Calibri" w:eastAsia="Times New Roman" w:hAnsi="Calibri" w:cs="Calibri"/>
                <w:sz w:val="20"/>
                <w:szCs w:val="20"/>
              </w:rPr>
              <w:t>Is this a grassroots organization?</w:t>
            </w:r>
          </w:p>
        </w:tc>
        <w:tc>
          <w:tcPr>
            <w:tcW w:w="5221" w:type="dxa"/>
            <w:gridSpan w:val="2"/>
            <w:tcBorders>
              <w:top w:val="single" w:sz="4" w:space="0" w:color="FFFFFF"/>
              <w:left w:val="single" w:sz="4" w:space="0" w:color="FFFFFF"/>
              <w:bottom w:val="single" w:sz="4" w:space="0" w:color="FFFFFF"/>
              <w:right w:val="single" w:sz="4" w:space="0" w:color="FFFFFF"/>
            </w:tcBorders>
            <w:shd w:val="clear" w:color="auto" w:fill="F2F2F2"/>
          </w:tcPr>
          <w:p w14:paraId="4800BA82" w14:textId="77777777" w:rsidR="000C3C6F" w:rsidRPr="000C3C6F" w:rsidRDefault="000C3C6F" w:rsidP="000C3C6F">
            <w:pPr>
              <w:spacing w:after="0" w:line="240" w:lineRule="auto"/>
              <w:rPr>
                <w:rFonts w:ascii="Calibri" w:eastAsia="Times New Roman" w:hAnsi="Calibri" w:cs="Calibri"/>
                <w:iCs/>
                <w:sz w:val="20"/>
                <w:szCs w:val="16"/>
              </w:rPr>
            </w:pPr>
            <w:r w:rsidRPr="000C3C6F">
              <w:rPr>
                <w:rFonts w:ascii="Calibri" w:eastAsia="Times New Roman" w:hAnsi="Calibri" w:cs="Calibri"/>
                <w:iCs/>
                <w:sz w:val="20"/>
                <w:szCs w:val="16"/>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iCs/>
                <w:sz w:val="20"/>
                <w:szCs w:val="16"/>
              </w:rPr>
              <w:instrText xml:space="preserve"> FORMTEXT </w:instrText>
            </w:r>
            <w:r w:rsidRPr="000C3C6F">
              <w:rPr>
                <w:rFonts w:ascii="Calibri" w:eastAsia="Times New Roman" w:hAnsi="Calibri" w:cs="Calibri"/>
                <w:iCs/>
                <w:sz w:val="20"/>
                <w:szCs w:val="16"/>
              </w:rPr>
            </w:r>
            <w:r w:rsidRPr="000C3C6F">
              <w:rPr>
                <w:rFonts w:ascii="Calibri" w:eastAsia="Times New Roman" w:hAnsi="Calibri" w:cs="Calibri"/>
                <w:iCs/>
                <w:sz w:val="20"/>
                <w:szCs w:val="16"/>
              </w:rPr>
              <w:fldChar w:fldCharType="separate"/>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Times New Roman" w:hAnsi="Calibri" w:cs="Calibri"/>
                <w:iCs/>
                <w:sz w:val="20"/>
                <w:szCs w:val="16"/>
              </w:rPr>
              <w:fldChar w:fldCharType="end"/>
            </w:r>
          </w:p>
        </w:tc>
      </w:tr>
      <w:tr w:rsidR="000C3C6F" w:rsidRPr="000C3C6F" w14:paraId="1E0B1315" w14:textId="77777777" w:rsidTr="000C3C6F">
        <w:trPr>
          <w:trHeight w:val="20"/>
        </w:trPr>
        <w:tc>
          <w:tcPr>
            <w:tcW w:w="5490" w:type="dxa"/>
            <w:gridSpan w:val="3"/>
            <w:tcBorders>
              <w:top w:val="single" w:sz="4" w:space="0" w:color="FFFFFF"/>
              <w:left w:val="single" w:sz="4" w:space="0" w:color="FFFFFF"/>
              <w:bottom w:val="single" w:sz="4" w:space="0" w:color="FFFFFF"/>
              <w:right w:val="single" w:sz="4" w:space="0" w:color="FFFFFF"/>
            </w:tcBorders>
            <w:shd w:val="clear" w:color="auto" w:fill="F2F2F2"/>
          </w:tcPr>
          <w:p w14:paraId="1A19AB4F" w14:textId="77777777" w:rsidR="000C3C6F" w:rsidRPr="000C3C6F" w:rsidRDefault="000C3C6F" w:rsidP="000C3C6F">
            <w:pPr>
              <w:spacing w:after="0" w:line="240" w:lineRule="auto"/>
              <w:rPr>
                <w:rFonts w:ascii="Calibri" w:eastAsia="Times New Roman" w:hAnsi="Calibri" w:cs="Calibri"/>
                <w:sz w:val="20"/>
                <w:szCs w:val="20"/>
              </w:rPr>
            </w:pPr>
            <w:r w:rsidRPr="000C3C6F">
              <w:rPr>
                <w:rFonts w:ascii="Calibri" w:eastAsia="Times New Roman" w:hAnsi="Calibri" w:cs="Calibri"/>
                <w:sz w:val="20"/>
                <w:szCs w:val="20"/>
              </w:rPr>
              <w:t>Cities in this HSDA:</w:t>
            </w:r>
          </w:p>
        </w:tc>
        <w:tc>
          <w:tcPr>
            <w:tcW w:w="5221" w:type="dxa"/>
            <w:gridSpan w:val="2"/>
            <w:tcBorders>
              <w:top w:val="single" w:sz="4" w:space="0" w:color="FFFFFF"/>
              <w:left w:val="single" w:sz="4" w:space="0" w:color="FFFFFF"/>
              <w:bottom w:val="single" w:sz="4" w:space="0" w:color="FFFFFF"/>
              <w:right w:val="single" w:sz="4" w:space="0" w:color="FFFFFF"/>
            </w:tcBorders>
            <w:shd w:val="clear" w:color="auto" w:fill="F2F2F2"/>
          </w:tcPr>
          <w:p w14:paraId="65CDAA4C" w14:textId="77777777" w:rsidR="000C3C6F" w:rsidRPr="000C3C6F" w:rsidRDefault="000C3C6F" w:rsidP="000C3C6F">
            <w:pPr>
              <w:spacing w:after="0" w:line="240" w:lineRule="auto"/>
              <w:rPr>
                <w:rFonts w:ascii="Calibri" w:eastAsia="Times New Roman" w:hAnsi="Calibri" w:cs="Calibri"/>
                <w:iCs/>
                <w:sz w:val="20"/>
                <w:szCs w:val="16"/>
              </w:rPr>
            </w:pPr>
            <w:r w:rsidRPr="000C3C6F">
              <w:rPr>
                <w:rFonts w:ascii="Calibri" w:eastAsia="Times New Roman" w:hAnsi="Calibri" w:cs="Calibri"/>
                <w:iCs/>
                <w:sz w:val="20"/>
                <w:szCs w:val="16"/>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iCs/>
                <w:sz w:val="20"/>
                <w:szCs w:val="16"/>
              </w:rPr>
              <w:instrText xml:space="preserve"> FORMTEXT </w:instrText>
            </w:r>
            <w:r w:rsidRPr="000C3C6F">
              <w:rPr>
                <w:rFonts w:ascii="Calibri" w:eastAsia="Times New Roman" w:hAnsi="Calibri" w:cs="Calibri"/>
                <w:iCs/>
                <w:sz w:val="20"/>
                <w:szCs w:val="16"/>
              </w:rPr>
            </w:r>
            <w:r w:rsidRPr="000C3C6F">
              <w:rPr>
                <w:rFonts w:ascii="Calibri" w:eastAsia="Times New Roman" w:hAnsi="Calibri" w:cs="Calibri"/>
                <w:iCs/>
                <w:sz w:val="20"/>
                <w:szCs w:val="16"/>
              </w:rPr>
              <w:fldChar w:fldCharType="separate"/>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Times New Roman" w:hAnsi="Calibri" w:cs="Calibri"/>
                <w:iCs/>
                <w:sz w:val="20"/>
                <w:szCs w:val="16"/>
              </w:rPr>
              <w:fldChar w:fldCharType="end"/>
            </w:r>
          </w:p>
        </w:tc>
      </w:tr>
      <w:tr w:rsidR="000C3C6F" w:rsidRPr="000C3C6F" w14:paraId="53D925F8" w14:textId="77777777" w:rsidTr="000C3C6F">
        <w:trPr>
          <w:trHeight w:val="20"/>
        </w:trPr>
        <w:tc>
          <w:tcPr>
            <w:tcW w:w="5490" w:type="dxa"/>
            <w:gridSpan w:val="3"/>
            <w:tcBorders>
              <w:top w:val="single" w:sz="4" w:space="0" w:color="FFFFFF"/>
              <w:left w:val="single" w:sz="4" w:space="0" w:color="FFFFFF"/>
              <w:bottom w:val="single" w:sz="4" w:space="0" w:color="FFFFFF"/>
              <w:right w:val="single" w:sz="4" w:space="0" w:color="FFFFFF"/>
            </w:tcBorders>
            <w:shd w:val="clear" w:color="auto" w:fill="F2F2F2"/>
          </w:tcPr>
          <w:p w14:paraId="29E7CE91" w14:textId="77777777" w:rsidR="000C3C6F" w:rsidRPr="000C3C6F" w:rsidRDefault="000C3C6F" w:rsidP="000C3C6F">
            <w:pPr>
              <w:spacing w:after="0" w:line="240" w:lineRule="auto"/>
              <w:rPr>
                <w:rFonts w:ascii="Calibri" w:eastAsia="Times New Roman" w:hAnsi="Calibri" w:cs="Calibri"/>
                <w:sz w:val="20"/>
                <w:szCs w:val="20"/>
              </w:rPr>
            </w:pPr>
            <w:r w:rsidRPr="000C3C6F">
              <w:rPr>
                <w:rFonts w:ascii="Calibri" w:eastAsia="Times New Roman" w:hAnsi="Calibri" w:cs="Calibri"/>
                <w:sz w:val="20"/>
                <w:szCs w:val="20"/>
              </w:rPr>
              <w:t>Counties in this HSDA:</w:t>
            </w:r>
          </w:p>
        </w:tc>
        <w:tc>
          <w:tcPr>
            <w:tcW w:w="5221" w:type="dxa"/>
            <w:gridSpan w:val="2"/>
            <w:tcBorders>
              <w:top w:val="single" w:sz="4" w:space="0" w:color="FFFFFF"/>
              <w:left w:val="single" w:sz="4" w:space="0" w:color="FFFFFF"/>
              <w:bottom w:val="single" w:sz="4" w:space="0" w:color="FFFFFF"/>
              <w:right w:val="single" w:sz="4" w:space="0" w:color="FFFFFF"/>
            </w:tcBorders>
            <w:shd w:val="clear" w:color="auto" w:fill="F2F2F2"/>
          </w:tcPr>
          <w:p w14:paraId="3CEC6485" w14:textId="77777777" w:rsidR="000C3C6F" w:rsidRPr="000C3C6F" w:rsidRDefault="000C3C6F" w:rsidP="000C3C6F">
            <w:pPr>
              <w:spacing w:after="0" w:line="240" w:lineRule="auto"/>
              <w:rPr>
                <w:rFonts w:ascii="Calibri" w:eastAsia="Times New Roman" w:hAnsi="Calibri" w:cs="Calibri"/>
                <w:iCs/>
                <w:sz w:val="20"/>
                <w:szCs w:val="16"/>
              </w:rPr>
            </w:pPr>
            <w:r w:rsidRPr="000C3C6F">
              <w:rPr>
                <w:rFonts w:ascii="Calibri" w:eastAsia="Times New Roman" w:hAnsi="Calibri" w:cs="Calibri"/>
                <w:iCs/>
                <w:sz w:val="20"/>
                <w:szCs w:val="16"/>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iCs/>
                <w:sz w:val="20"/>
                <w:szCs w:val="16"/>
              </w:rPr>
              <w:instrText xml:space="preserve"> FORMTEXT </w:instrText>
            </w:r>
            <w:r w:rsidRPr="000C3C6F">
              <w:rPr>
                <w:rFonts w:ascii="Calibri" w:eastAsia="Times New Roman" w:hAnsi="Calibri" w:cs="Calibri"/>
                <w:iCs/>
                <w:sz w:val="20"/>
                <w:szCs w:val="16"/>
              </w:rPr>
            </w:r>
            <w:r w:rsidRPr="000C3C6F">
              <w:rPr>
                <w:rFonts w:ascii="Calibri" w:eastAsia="Times New Roman" w:hAnsi="Calibri" w:cs="Calibri"/>
                <w:iCs/>
                <w:sz w:val="20"/>
                <w:szCs w:val="16"/>
              </w:rPr>
              <w:fldChar w:fldCharType="separate"/>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Times New Roman" w:hAnsi="Calibri" w:cs="Calibri"/>
                <w:iCs/>
                <w:sz w:val="20"/>
                <w:szCs w:val="16"/>
              </w:rPr>
              <w:fldChar w:fldCharType="end"/>
            </w:r>
          </w:p>
        </w:tc>
      </w:tr>
      <w:tr w:rsidR="000C3C6F" w:rsidRPr="000C3C6F" w14:paraId="5C6F12F1" w14:textId="77777777" w:rsidTr="000C3C6F">
        <w:trPr>
          <w:trHeight w:val="20"/>
        </w:trPr>
        <w:tc>
          <w:tcPr>
            <w:tcW w:w="5490" w:type="dxa"/>
            <w:gridSpan w:val="3"/>
            <w:tcBorders>
              <w:top w:val="single" w:sz="4" w:space="0" w:color="FFFFFF"/>
              <w:left w:val="single" w:sz="4" w:space="0" w:color="FFFFFF"/>
              <w:bottom w:val="single" w:sz="4" w:space="0" w:color="FFFFFF"/>
              <w:right w:val="single" w:sz="4" w:space="0" w:color="FFFFFF"/>
            </w:tcBorders>
            <w:shd w:val="clear" w:color="auto" w:fill="F2F2F2"/>
          </w:tcPr>
          <w:p w14:paraId="4C928B43" w14:textId="77777777" w:rsidR="000C3C6F" w:rsidRPr="000C3C6F" w:rsidRDefault="000C3C6F" w:rsidP="000C3C6F">
            <w:pPr>
              <w:spacing w:after="0" w:line="240" w:lineRule="auto"/>
              <w:rPr>
                <w:rFonts w:ascii="Calibri" w:eastAsia="Times New Roman" w:hAnsi="Calibri" w:cs="Calibri"/>
                <w:sz w:val="20"/>
                <w:szCs w:val="20"/>
              </w:rPr>
            </w:pPr>
            <w:r w:rsidRPr="000C3C6F">
              <w:rPr>
                <w:rFonts w:ascii="Calibri" w:eastAsia="Times New Roman" w:hAnsi="Calibri" w:cs="Calibri"/>
                <w:sz w:val="20"/>
                <w:szCs w:val="20"/>
              </w:rPr>
              <w:t>Congressional Districts in this HSDA:</w:t>
            </w:r>
          </w:p>
        </w:tc>
        <w:tc>
          <w:tcPr>
            <w:tcW w:w="5221" w:type="dxa"/>
            <w:gridSpan w:val="2"/>
            <w:tcBorders>
              <w:top w:val="single" w:sz="4" w:space="0" w:color="FFFFFF"/>
              <w:left w:val="single" w:sz="4" w:space="0" w:color="FFFFFF"/>
              <w:bottom w:val="single" w:sz="4" w:space="0" w:color="FFFFFF"/>
              <w:right w:val="single" w:sz="4" w:space="0" w:color="FFFFFF"/>
            </w:tcBorders>
            <w:shd w:val="clear" w:color="auto" w:fill="F2F2F2"/>
          </w:tcPr>
          <w:p w14:paraId="2CF55FF5" w14:textId="77777777" w:rsidR="000C3C6F" w:rsidRPr="000C3C6F" w:rsidRDefault="000C3C6F" w:rsidP="000C3C6F">
            <w:pPr>
              <w:spacing w:after="0" w:line="240" w:lineRule="auto"/>
              <w:rPr>
                <w:rFonts w:ascii="Calibri" w:eastAsia="Times New Roman" w:hAnsi="Calibri" w:cs="Calibri"/>
                <w:iCs/>
                <w:sz w:val="20"/>
                <w:szCs w:val="16"/>
              </w:rPr>
            </w:pPr>
            <w:r w:rsidRPr="000C3C6F">
              <w:rPr>
                <w:rFonts w:ascii="Calibri" w:eastAsia="Times New Roman" w:hAnsi="Calibri" w:cs="Calibri"/>
                <w:iCs/>
                <w:sz w:val="20"/>
                <w:szCs w:val="16"/>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iCs/>
                <w:sz w:val="20"/>
                <w:szCs w:val="16"/>
              </w:rPr>
              <w:instrText xml:space="preserve"> FORMTEXT </w:instrText>
            </w:r>
            <w:r w:rsidRPr="000C3C6F">
              <w:rPr>
                <w:rFonts w:ascii="Calibri" w:eastAsia="Times New Roman" w:hAnsi="Calibri" w:cs="Calibri"/>
                <w:iCs/>
                <w:sz w:val="20"/>
                <w:szCs w:val="16"/>
              </w:rPr>
            </w:r>
            <w:r w:rsidRPr="000C3C6F">
              <w:rPr>
                <w:rFonts w:ascii="Calibri" w:eastAsia="Times New Roman" w:hAnsi="Calibri" w:cs="Calibri"/>
                <w:iCs/>
                <w:sz w:val="20"/>
                <w:szCs w:val="16"/>
              </w:rPr>
              <w:fldChar w:fldCharType="separate"/>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Times New Roman" w:hAnsi="Calibri" w:cs="Calibri"/>
                <w:iCs/>
                <w:sz w:val="20"/>
                <w:szCs w:val="16"/>
              </w:rPr>
              <w:fldChar w:fldCharType="end"/>
            </w:r>
          </w:p>
        </w:tc>
      </w:tr>
      <w:tr w:rsidR="000C3C6F" w:rsidRPr="000C3C6F" w14:paraId="3F4D9C63" w14:textId="77777777" w:rsidTr="000C3C6F">
        <w:trPr>
          <w:trHeight w:val="20"/>
        </w:trPr>
        <w:tc>
          <w:tcPr>
            <w:tcW w:w="5490" w:type="dxa"/>
            <w:gridSpan w:val="3"/>
            <w:tcBorders>
              <w:top w:val="single" w:sz="4" w:space="0" w:color="FFFFFF"/>
              <w:left w:val="single" w:sz="4" w:space="0" w:color="FFFFFF"/>
              <w:bottom w:val="single" w:sz="4" w:space="0" w:color="FFFFFF"/>
              <w:right w:val="single" w:sz="4" w:space="0" w:color="FFFFFF"/>
            </w:tcBorders>
            <w:shd w:val="clear" w:color="auto" w:fill="F2F2F2"/>
          </w:tcPr>
          <w:p w14:paraId="2C3698B2" w14:textId="77777777" w:rsidR="000C3C6F" w:rsidRPr="000C3C6F" w:rsidRDefault="000C3C6F" w:rsidP="000C3C6F">
            <w:pPr>
              <w:spacing w:after="0" w:line="240" w:lineRule="auto"/>
              <w:rPr>
                <w:rFonts w:ascii="Calibri" w:eastAsia="Times New Roman" w:hAnsi="Calibri" w:cs="Calibri"/>
                <w:sz w:val="20"/>
                <w:szCs w:val="20"/>
              </w:rPr>
            </w:pPr>
            <w:r w:rsidRPr="000C3C6F">
              <w:rPr>
                <w:rFonts w:ascii="Calibri" w:eastAsia="Times New Roman" w:hAnsi="Calibri" w:cs="Calibri"/>
                <w:sz w:val="20"/>
                <w:szCs w:val="20"/>
              </w:rPr>
              <w:t>Congressional District of Project Sponsor:</w:t>
            </w:r>
          </w:p>
        </w:tc>
        <w:tc>
          <w:tcPr>
            <w:tcW w:w="5221" w:type="dxa"/>
            <w:gridSpan w:val="2"/>
            <w:tcBorders>
              <w:top w:val="single" w:sz="4" w:space="0" w:color="FFFFFF"/>
              <w:left w:val="single" w:sz="4" w:space="0" w:color="FFFFFF"/>
              <w:bottom w:val="single" w:sz="4" w:space="0" w:color="FFFFFF"/>
              <w:right w:val="single" w:sz="4" w:space="0" w:color="FFFFFF"/>
            </w:tcBorders>
            <w:shd w:val="clear" w:color="auto" w:fill="F2F2F2"/>
          </w:tcPr>
          <w:p w14:paraId="458CA2C8" w14:textId="77777777" w:rsidR="000C3C6F" w:rsidRPr="000C3C6F" w:rsidRDefault="000C3C6F" w:rsidP="000C3C6F">
            <w:pPr>
              <w:spacing w:after="0" w:line="240" w:lineRule="auto"/>
              <w:rPr>
                <w:rFonts w:ascii="Calibri" w:eastAsia="Times New Roman" w:hAnsi="Calibri" w:cs="Calibri"/>
                <w:iCs/>
                <w:sz w:val="20"/>
                <w:szCs w:val="16"/>
              </w:rPr>
            </w:pPr>
            <w:r w:rsidRPr="000C3C6F">
              <w:rPr>
                <w:rFonts w:ascii="Calibri" w:eastAsia="Times New Roman" w:hAnsi="Calibri" w:cs="Calibri"/>
                <w:iCs/>
                <w:sz w:val="20"/>
                <w:szCs w:val="16"/>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iCs/>
                <w:sz w:val="20"/>
                <w:szCs w:val="16"/>
              </w:rPr>
              <w:instrText xml:space="preserve"> FORMTEXT </w:instrText>
            </w:r>
            <w:r w:rsidRPr="000C3C6F">
              <w:rPr>
                <w:rFonts w:ascii="Calibri" w:eastAsia="Times New Roman" w:hAnsi="Calibri" w:cs="Calibri"/>
                <w:iCs/>
                <w:sz w:val="20"/>
                <w:szCs w:val="16"/>
              </w:rPr>
            </w:r>
            <w:r w:rsidRPr="000C3C6F">
              <w:rPr>
                <w:rFonts w:ascii="Calibri" w:eastAsia="Times New Roman" w:hAnsi="Calibri" w:cs="Calibri"/>
                <w:iCs/>
                <w:sz w:val="20"/>
                <w:szCs w:val="16"/>
              </w:rPr>
              <w:fldChar w:fldCharType="separate"/>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Times New Roman" w:hAnsi="Calibri" w:cs="Calibri"/>
                <w:iCs/>
                <w:sz w:val="20"/>
                <w:szCs w:val="16"/>
              </w:rPr>
              <w:fldChar w:fldCharType="end"/>
            </w:r>
          </w:p>
        </w:tc>
      </w:tr>
      <w:tr w:rsidR="000C3C6F" w:rsidRPr="000C3C6F" w14:paraId="1D0A767D" w14:textId="77777777" w:rsidTr="000C3C6F">
        <w:trPr>
          <w:trHeight w:val="20"/>
        </w:trPr>
        <w:tc>
          <w:tcPr>
            <w:tcW w:w="5490" w:type="dxa"/>
            <w:gridSpan w:val="3"/>
            <w:tcBorders>
              <w:top w:val="single" w:sz="4" w:space="0" w:color="FFFFFF"/>
              <w:left w:val="single" w:sz="4" w:space="0" w:color="FFFFFF"/>
              <w:bottom w:val="single" w:sz="4" w:space="0" w:color="FFFFFF"/>
              <w:right w:val="single" w:sz="4" w:space="0" w:color="FFFFFF"/>
            </w:tcBorders>
            <w:shd w:val="clear" w:color="auto" w:fill="D9D9D9"/>
          </w:tcPr>
          <w:p w14:paraId="1F75519E" w14:textId="77777777" w:rsidR="000C3C6F" w:rsidRPr="000C3C6F" w:rsidRDefault="000C3C6F" w:rsidP="000C3C6F">
            <w:pPr>
              <w:tabs>
                <w:tab w:val="left" w:pos="540"/>
              </w:tabs>
              <w:spacing w:after="0" w:line="240" w:lineRule="auto"/>
              <w:rPr>
                <w:rFonts w:ascii="Calibri" w:eastAsia="Times New Roman" w:hAnsi="Calibri" w:cs="Calibri"/>
                <w:sz w:val="20"/>
                <w:szCs w:val="20"/>
              </w:rPr>
            </w:pPr>
            <w:r w:rsidRPr="000C3C6F">
              <w:rPr>
                <w:rFonts w:ascii="Calibri" w:eastAsia="Times New Roman" w:hAnsi="Calibri" w:cs="Calibri"/>
                <w:b/>
                <w:bCs/>
                <w:color w:val="000000"/>
                <w:sz w:val="20"/>
                <w:szCs w:val="20"/>
              </w:rPr>
              <w:t>Select all that apply to the Project:</w:t>
            </w:r>
          </w:p>
        </w:tc>
        <w:tc>
          <w:tcPr>
            <w:tcW w:w="5221" w:type="dxa"/>
            <w:gridSpan w:val="2"/>
            <w:tcBorders>
              <w:top w:val="single" w:sz="4" w:space="0" w:color="FFFFFF"/>
              <w:left w:val="single" w:sz="4" w:space="0" w:color="FFFFFF"/>
              <w:bottom w:val="single" w:sz="4" w:space="0" w:color="FFFFFF"/>
              <w:right w:val="single" w:sz="4" w:space="0" w:color="FFFFFF"/>
            </w:tcBorders>
            <w:shd w:val="clear" w:color="auto" w:fill="D9D9D9"/>
            <w:vAlign w:val="bottom"/>
          </w:tcPr>
          <w:p w14:paraId="72C8D118" w14:textId="77777777" w:rsidR="000C3C6F" w:rsidRPr="000C3C6F" w:rsidRDefault="000C3C6F" w:rsidP="000C3C6F">
            <w:pPr>
              <w:spacing w:after="0" w:line="240" w:lineRule="auto"/>
              <w:rPr>
                <w:rFonts w:ascii="Calibri" w:eastAsia="Times New Roman" w:hAnsi="Calibri" w:cs="Calibri"/>
                <w:b/>
                <w:sz w:val="20"/>
                <w:szCs w:val="20"/>
              </w:rPr>
            </w:pPr>
            <w:r w:rsidRPr="000C3C6F">
              <w:rPr>
                <w:rFonts w:ascii="Calibri" w:eastAsia="Times New Roman" w:hAnsi="Calibri" w:cs="Calibri"/>
                <w:b/>
                <w:sz w:val="20"/>
                <w:szCs w:val="20"/>
              </w:rPr>
              <w:t>Selection process for Project:</w:t>
            </w:r>
          </w:p>
        </w:tc>
      </w:tr>
      <w:tr w:rsidR="000C3C6F" w:rsidRPr="000C3C6F" w14:paraId="58641954" w14:textId="77777777" w:rsidTr="000C3C6F">
        <w:trPr>
          <w:trHeight w:val="20"/>
        </w:trPr>
        <w:tc>
          <w:tcPr>
            <w:tcW w:w="5490" w:type="dxa"/>
            <w:gridSpan w:val="3"/>
            <w:tcBorders>
              <w:top w:val="single" w:sz="4" w:space="0" w:color="FFFFFF"/>
              <w:left w:val="single" w:sz="4" w:space="0" w:color="FFFFFF"/>
              <w:bottom w:val="single" w:sz="4" w:space="0" w:color="FFFFFF"/>
              <w:right w:val="single" w:sz="4" w:space="0" w:color="FFFFFF"/>
            </w:tcBorders>
            <w:shd w:val="clear" w:color="auto" w:fill="F2F2F2"/>
          </w:tcPr>
          <w:p w14:paraId="35705B20" w14:textId="77777777" w:rsidR="000C3C6F" w:rsidRPr="000C3C6F" w:rsidRDefault="00A66919" w:rsidP="000C3C6F">
            <w:pPr>
              <w:tabs>
                <w:tab w:val="left" w:pos="540"/>
              </w:tabs>
              <w:spacing w:after="0" w:line="240" w:lineRule="auto"/>
              <w:rPr>
                <w:rFonts w:ascii="Calibri" w:eastAsia="Times New Roman" w:hAnsi="Calibri" w:cs="Calibri"/>
                <w:sz w:val="20"/>
                <w:szCs w:val="20"/>
              </w:rPr>
            </w:pPr>
            <w:sdt>
              <w:sdtPr>
                <w:rPr>
                  <w:rFonts w:ascii="Calibri" w:eastAsia="Times New Roman" w:hAnsi="Calibri" w:cs="Calibri"/>
                  <w:sz w:val="20"/>
                  <w:szCs w:val="20"/>
                </w:rPr>
                <w:id w:val="1146561483"/>
                <w14:checkbox>
                  <w14:checked w14:val="0"/>
                  <w14:checkedState w14:val="2612" w14:font="MS Gothic"/>
                  <w14:uncheckedState w14:val="2610" w14:font="MS Gothic"/>
                </w14:checkbox>
              </w:sdtPr>
              <w:sdtEndPr/>
              <w:sdtContent>
                <w:r w:rsidR="000C3C6F" w:rsidRPr="000C3C6F">
                  <w:rPr>
                    <w:rFonts w:ascii="Segoe UI Symbol" w:eastAsia="Times New Roman" w:hAnsi="Segoe UI Symbol" w:cs="Segoe UI Symbol"/>
                    <w:sz w:val="20"/>
                    <w:szCs w:val="20"/>
                  </w:rPr>
                  <w:t>☐</w:t>
                </w:r>
              </w:sdtContent>
            </w:sdt>
            <w:r w:rsidR="000C3C6F" w:rsidRPr="000C3C6F">
              <w:rPr>
                <w:rFonts w:ascii="Calibri" w:eastAsia="Times New Roman" w:hAnsi="Calibri" w:cs="Calibri"/>
                <w:sz w:val="20"/>
                <w:szCs w:val="20"/>
              </w:rPr>
              <w:t xml:space="preserve"> Minority Organization*</w:t>
            </w:r>
          </w:p>
        </w:tc>
        <w:tc>
          <w:tcPr>
            <w:tcW w:w="5221" w:type="dxa"/>
            <w:gridSpan w:val="2"/>
            <w:tcBorders>
              <w:top w:val="single" w:sz="4" w:space="0" w:color="FFFFFF"/>
              <w:left w:val="single" w:sz="4" w:space="0" w:color="FFFFFF"/>
              <w:bottom w:val="single" w:sz="4" w:space="0" w:color="FFFFFF"/>
              <w:right w:val="single" w:sz="4" w:space="0" w:color="FFFFFF"/>
            </w:tcBorders>
            <w:shd w:val="clear" w:color="auto" w:fill="F2F2F2"/>
            <w:vAlign w:val="bottom"/>
          </w:tcPr>
          <w:p w14:paraId="32649991" w14:textId="77777777" w:rsidR="000C3C6F" w:rsidRPr="000C3C6F" w:rsidRDefault="00A66919" w:rsidP="000C3C6F">
            <w:pPr>
              <w:spacing w:after="0" w:line="240" w:lineRule="auto"/>
              <w:rPr>
                <w:rFonts w:ascii="Calibri" w:eastAsia="Times New Roman" w:hAnsi="Calibri" w:cs="Calibri"/>
                <w:sz w:val="20"/>
                <w:szCs w:val="20"/>
              </w:rPr>
            </w:pPr>
            <w:sdt>
              <w:sdtPr>
                <w:rPr>
                  <w:rFonts w:ascii="Calibri" w:eastAsia="Times New Roman" w:hAnsi="Calibri" w:cs="Calibri"/>
                  <w:sz w:val="20"/>
                  <w:szCs w:val="20"/>
                </w:rPr>
                <w:id w:val="1469016583"/>
                <w14:checkbox>
                  <w14:checked w14:val="0"/>
                  <w14:checkedState w14:val="2612" w14:font="MS Gothic"/>
                  <w14:uncheckedState w14:val="2610" w14:font="MS Gothic"/>
                </w14:checkbox>
              </w:sdtPr>
              <w:sdtEndPr/>
              <w:sdtContent>
                <w:r w:rsidR="000C3C6F" w:rsidRPr="000C3C6F">
                  <w:rPr>
                    <w:rFonts w:ascii="Segoe UI Symbol" w:eastAsia="Times New Roman" w:hAnsi="Segoe UI Symbol" w:cs="Segoe UI Symbol"/>
                    <w:sz w:val="20"/>
                    <w:szCs w:val="20"/>
                  </w:rPr>
                  <w:t>☐</w:t>
                </w:r>
              </w:sdtContent>
            </w:sdt>
            <w:r w:rsidR="000C3C6F" w:rsidRPr="000C3C6F">
              <w:rPr>
                <w:rFonts w:ascii="Calibri" w:eastAsia="Times New Roman" w:hAnsi="Calibri" w:cs="Calibri"/>
                <w:sz w:val="20"/>
                <w:szCs w:val="20"/>
              </w:rPr>
              <w:t xml:space="preserve"> Competitive</w:t>
            </w:r>
          </w:p>
        </w:tc>
      </w:tr>
      <w:tr w:rsidR="000C3C6F" w:rsidRPr="000C3C6F" w14:paraId="6FF97F61" w14:textId="77777777" w:rsidTr="000C3C6F">
        <w:trPr>
          <w:trHeight w:val="20"/>
        </w:trPr>
        <w:tc>
          <w:tcPr>
            <w:tcW w:w="5490" w:type="dxa"/>
            <w:gridSpan w:val="3"/>
            <w:tcBorders>
              <w:top w:val="single" w:sz="4" w:space="0" w:color="FFFFFF"/>
              <w:left w:val="single" w:sz="4" w:space="0" w:color="FFFFFF"/>
              <w:bottom w:val="single" w:sz="4" w:space="0" w:color="FFFFFF"/>
              <w:right w:val="single" w:sz="4" w:space="0" w:color="FFFFFF"/>
            </w:tcBorders>
            <w:shd w:val="clear" w:color="auto" w:fill="F2F2F2"/>
          </w:tcPr>
          <w:p w14:paraId="132C9A90" w14:textId="77777777" w:rsidR="000C3C6F" w:rsidRPr="000C3C6F" w:rsidRDefault="00A66919" w:rsidP="000C3C6F">
            <w:pPr>
              <w:tabs>
                <w:tab w:val="left" w:pos="540"/>
              </w:tabs>
              <w:spacing w:after="0" w:line="240" w:lineRule="auto"/>
              <w:rPr>
                <w:rFonts w:ascii="Calibri" w:eastAsia="Times New Roman" w:hAnsi="Calibri" w:cs="Calibri"/>
                <w:sz w:val="20"/>
                <w:szCs w:val="20"/>
              </w:rPr>
            </w:pPr>
            <w:sdt>
              <w:sdtPr>
                <w:rPr>
                  <w:rFonts w:ascii="Calibri" w:eastAsia="Times New Roman" w:hAnsi="Calibri" w:cs="Calibri"/>
                  <w:sz w:val="20"/>
                  <w:szCs w:val="20"/>
                </w:rPr>
                <w:id w:val="2086418099"/>
                <w14:checkbox>
                  <w14:checked w14:val="0"/>
                  <w14:checkedState w14:val="2612" w14:font="MS Gothic"/>
                  <w14:uncheckedState w14:val="2610" w14:font="MS Gothic"/>
                </w14:checkbox>
              </w:sdtPr>
              <w:sdtEndPr/>
              <w:sdtContent>
                <w:r w:rsidR="000C3C6F" w:rsidRPr="000C3C6F">
                  <w:rPr>
                    <w:rFonts w:ascii="Segoe UI Symbol" w:eastAsia="Times New Roman" w:hAnsi="Segoe UI Symbol" w:cs="Segoe UI Symbol"/>
                    <w:sz w:val="20"/>
                    <w:szCs w:val="20"/>
                  </w:rPr>
                  <w:t>☐</w:t>
                </w:r>
              </w:sdtContent>
            </w:sdt>
            <w:r w:rsidR="000C3C6F" w:rsidRPr="000C3C6F">
              <w:rPr>
                <w:rFonts w:ascii="Calibri" w:eastAsia="Times New Roman" w:hAnsi="Calibri" w:cs="Calibri"/>
                <w:sz w:val="20"/>
                <w:szCs w:val="20"/>
              </w:rPr>
              <w:t xml:space="preserve"> Minority Provider**</w:t>
            </w:r>
          </w:p>
        </w:tc>
        <w:tc>
          <w:tcPr>
            <w:tcW w:w="5221" w:type="dxa"/>
            <w:gridSpan w:val="2"/>
            <w:tcBorders>
              <w:top w:val="single" w:sz="4" w:space="0" w:color="FFFFFF"/>
              <w:left w:val="single" w:sz="4" w:space="0" w:color="FFFFFF"/>
              <w:bottom w:val="single" w:sz="4" w:space="0" w:color="FFFFFF"/>
              <w:right w:val="single" w:sz="4" w:space="0" w:color="FFFFFF"/>
            </w:tcBorders>
            <w:shd w:val="clear" w:color="auto" w:fill="F2F2F2"/>
            <w:vAlign w:val="bottom"/>
          </w:tcPr>
          <w:p w14:paraId="31324122" w14:textId="77777777" w:rsidR="000C3C6F" w:rsidRPr="000C3C6F" w:rsidRDefault="00A66919" w:rsidP="000C3C6F">
            <w:pPr>
              <w:spacing w:after="0" w:line="240" w:lineRule="auto"/>
              <w:rPr>
                <w:rFonts w:ascii="Calibri" w:eastAsia="Times New Roman" w:hAnsi="Calibri" w:cs="Calibri"/>
                <w:sz w:val="20"/>
                <w:szCs w:val="20"/>
              </w:rPr>
            </w:pPr>
            <w:sdt>
              <w:sdtPr>
                <w:rPr>
                  <w:rFonts w:ascii="Calibri" w:eastAsia="Times New Roman" w:hAnsi="Calibri" w:cs="Calibri"/>
                  <w:sz w:val="20"/>
                  <w:szCs w:val="20"/>
                </w:rPr>
                <w:id w:val="-611131046"/>
                <w14:checkbox>
                  <w14:checked w14:val="0"/>
                  <w14:checkedState w14:val="2612" w14:font="MS Gothic"/>
                  <w14:uncheckedState w14:val="2610" w14:font="MS Gothic"/>
                </w14:checkbox>
              </w:sdtPr>
              <w:sdtEndPr/>
              <w:sdtContent>
                <w:r w:rsidR="000C3C6F" w:rsidRPr="000C3C6F">
                  <w:rPr>
                    <w:rFonts w:ascii="Segoe UI Symbol" w:eastAsia="Times New Roman" w:hAnsi="Segoe UI Symbol" w:cs="Segoe UI Symbol"/>
                    <w:sz w:val="20"/>
                    <w:szCs w:val="20"/>
                  </w:rPr>
                  <w:t>☐</w:t>
                </w:r>
              </w:sdtContent>
            </w:sdt>
            <w:r w:rsidR="000C3C6F" w:rsidRPr="000C3C6F">
              <w:rPr>
                <w:rFonts w:ascii="Calibri" w:eastAsia="Times New Roman" w:hAnsi="Calibri" w:cs="Calibri"/>
                <w:sz w:val="20"/>
                <w:szCs w:val="20"/>
              </w:rPr>
              <w:t xml:space="preserve"> Sole source</w:t>
            </w:r>
          </w:p>
        </w:tc>
      </w:tr>
      <w:tr w:rsidR="000C3C6F" w:rsidRPr="000C3C6F" w14:paraId="176B14A6" w14:textId="77777777" w:rsidTr="000C3C6F">
        <w:trPr>
          <w:trHeight w:val="20"/>
        </w:trPr>
        <w:tc>
          <w:tcPr>
            <w:tcW w:w="5490" w:type="dxa"/>
            <w:gridSpan w:val="3"/>
            <w:tcBorders>
              <w:top w:val="single" w:sz="4" w:space="0" w:color="FFFFFF"/>
              <w:left w:val="single" w:sz="4" w:space="0" w:color="FFFFFF"/>
              <w:bottom w:val="single" w:sz="4" w:space="0" w:color="FFFFFF"/>
              <w:right w:val="single" w:sz="4" w:space="0" w:color="FFFFFF"/>
            </w:tcBorders>
            <w:shd w:val="clear" w:color="auto" w:fill="F2F2F2"/>
          </w:tcPr>
          <w:p w14:paraId="519897C2" w14:textId="77777777" w:rsidR="000C3C6F" w:rsidRPr="000C3C6F" w:rsidRDefault="00A66919" w:rsidP="000C3C6F">
            <w:pPr>
              <w:tabs>
                <w:tab w:val="left" w:pos="540"/>
              </w:tabs>
              <w:spacing w:after="0" w:line="240" w:lineRule="auto"/>
              <w:rPr>
                <w:rFonts w:ascii="Calibri" w:eastAsia="Times New Roman" w:hAnsi="Calibri" w:cs="Calibri"/>
                <w:sz w:val="20"/>
                <w:szCs w:val="20"/>
              </w:rPr>
            </w:pPr>
            <w:sdt>
              <w:sdtPr>
                <w:rPr>
                  <w:rFonts w:ascii="Calibri" w:eastAsia="Times New Roman" w:hAnsi="Calibri" w:cs="Calibri"/>
                  <w:sz w:val="20"/>
                  <w:szCs w:val="20"/>
                </w:rPr>
                <w:id w:val="-841166960"/>
                <w14:checkbox>
                  <w14:checked w14:val="0"/>
                  <w14:checkedState w14:val="2612" w14:font="MS Gothic"/>
                  <w14:uncheckedState w14:val="2610" w14:font="MS Gothic"/>
                </w14:checkbox>
              </w:sdtPr>
              <w:sdtEndPr/>
              <w:sdtContent>
                <w:r w:rsidR="000C3C6F" w:rsidRPr="000C3C6F">
                  <w:rPr>
                    <w:rFonts w:ascii="Segoe UI Symbol" w:eastAsia="Times New Roman" w:hAnsi="Segoe UI Symbol" w:cs="Segoe UI Symbol"/>
                    <w:sz w:val="20"/>
                    <w:szCs w:val="20"/>
                  </w:rPr>
                  <w:t>☐</w:t>
                </w:r>
              </w:sdtContent>
            </w:sdt>
            <w:r w:rsidR="000C3C6F" w:rsidRPr="000C3C6F">
              <w:rPr>
                <w:rFonts w:ascii="Calibri" w:eastAsia="Times New Roman" w:hAnsi="Calibri" w:cs="Calibri"/>
                <w:sz w:val="20"/>
                <w:szCs w:val="20"/>
              </w:rPr>
              <w:t xml:space="preserve"> Historically Underutilized Business (HUB) Certified</w:t>
            </w:r>
          </w:p>
        </w:tc>
        <w:tc>
          <w:tcPr>
            <w:tcW w:w="5221" w:type="dxa"/>
            <w:gridSpan w:val="2"/>
            <w:tcBorders>
              <w:top w:val="single" w:sz="4" w:space="0" w:color="FFFFFF"/>
              <w:left w:val="single" w:sz="4" w:space="0" w:color="FFFFFF"/>
              <w:bottom w:val="single" w:sz="4" w:space="0" w:color="FFFFFF"/>
              <w:right w:val="single" w:sz="4" w:space="0" w:color="FFFFFF"/>
            </w:tcBorders>
            <w:shd w:val="clear" w:color="auto" w:fill="F2F2F2"/>
            <w:vAlign w:val="bottom"/>
          </w:tcPr>
          <w:p w14:paraId="6602E07D" w14:textId="77777777" w:rsidR="000C3C6F" w:rsidRPr="000C3C6F" w:rsidRDefault="00A66919" w:rsidP="000C3C6F">
            <w:pPr>
              <w:spacing w:after="0" w:line="240" w:lineRule="auto"/>
              <w:rPr>
                <w:rFonts w:ascii="Calibri" w:eastAsia="Times New Roman" w:hAnsi="Calibri" w:cs="Calibri"/>
                <w:sz w:val="20"/>
                <w:szCs w:val="20"/>
              </w:rPr>
            </w:pPr>
            <w:sdt>
              <w:sdtPr>
                <w:rPr>
                  <w:rFonts w:ascii="Calibri" w:eastAsia="Times New Roman" w:hAnsi="Calibri" w:cs="Calibri"/>
                  <w:sz w:val="20"/>
                  <w:szCs w:val="20"/>
                </w:rPr>
                <w:id w:val="-1475905984"/>
                <w14:checkbox>
                  <w14:checked w14:val="0"/>
                  <w14:checkedState w14:val="2612" w14:font="MS Gothic"/>
                  <w14:uncheckedState w14:val="2610" w14:font="MS Gothic"/>
                </w14:checkbox>
              </w:sdtPr>
              <w:sdtEndPr/>
              <w:sdtContent>
                <w:r w:rsidR="000C3C6F" w:rsidRPr="000C3C6F">
                  <w:rPr>
                    <w:rFonts w:ascii="Segoe UI Symbol" w:eastAsia="Times New Roman" w:hAnsi="Segoe UI Symbol" w:cs="Segoe UI Symbol"/>
                    <w:sz w:val="20"/>
                    <w:szCs w:val="20"/>
                  </w:rPr>
                  <w:t>☐</w:t>
                </w:r>
              </w:sdtContent>
            </w:sdt>
            <w:r w:rsidR="000C3C6F" w:rsidRPr="000C3C6F">
              <w:rPr>
                <w:rFonts w:ascii="Calibri" w:eastAsia="Times New Roman" w:hAnsi="Calibri" w:cs="Calibri"/>
                <w:sz w:val="20"/>
                <w:szCs w:val="20"/>
              </w:rPr>
              <w:t xml:space="preserve"> Other (Specify): </w:t>
            </w:r>
            <w:r w:rsidR="000C3C6F" w:rsidRPr="000C3C6F">
              <w:rPr>
                <w:rFonts w:ascii="Calibri" w:eastAsia="Times New Roman" w:hAnsi="Calibri" w:cs="Calibri"/>
                <w:sz w:val="20"/>
                <w:szCs w:val="20"/>
              </w:rPr>
              <w:fldChar w:fldCharType="begin">
                <w:ffData>
                  <w:name w:val="Text8"/>
                  <w:enabled/>
                  <w:calcOnExit w:val="0"/>
                  <w:helpText w:type="text" w:val="Enter the legal name of applicant."/>
                  <w:statusText w:type="text" w:val="Enter the legal name of applicant."/>
                  <w:textInput>
                    <w:format w:val="FIRST CAPITAL"/>
                  </w:textInput>
                </w:ffData>
              </w:fldChar>
            </w:r>
            <w:r w:rsidR="000C3C6F" w:rsidRPr="000C3C6F">
              <w:rPr>
                <w:rFonts w:ascii="Calibri" w:eastAsia="Times New Roman" w:hAnsi="Calibri" w:cs="Calibri"/>
                <w:sz w:val="20"/>
                <w:szCs w:val="20"/>
              </w:rPr>
              <w:instrText xml:space="preserve"> FORMTEXT </w:instrText>
            </w:r>
            <w:r w:rsidR="000C3C6F" w:rsidRPr="000C3C6F">
              <w:rPr>
                <w:rFonts w:ascii="Calibri" w:eastAsia="Times New Roman" w:hAnsi="Calibri" w:cs="Calibri"/>
                <w:sz w:val="20"/>
                <w:szCs w:val="20"/>
              </w:rPr>
            </w:r>
            <w:r w:rsidR="000C3C6F" w:rsidRPr="000C3C6F">
              <w:rPr>
                <w:rFonts w:ascii="Calibri" w:eastAsia="Times New Roman" w:hAnsi="Calibri" w:cs="Calibri"/>
                <w:sz w:val="20"/>
                <w:szCs w:val="20"/>
              </w:rPr>
              <w:fldChar w:fldCharType="separate"/>
            </w:r>
            <w:r w:rsidR="000C3C6F" w:rsidRPr="000C3C6F">
              <w:rPr>
                <w:rFonts w:ascii="Calibri" w:eastAsia="Arial Unicode MS" w:hAnsi="Calibri" w:cs="Calibri"/>
                <w:noProof/>
                <w:sz w:val="20"/>
                <w:szCs w:val="20"/>
              </w:rPr>
              <w:t> </w:t>
            </w:r>
            <w:r w:rsidR="000C3C6F" w:rsidRPr="000C3C6F">
              <w:rPr>
                <w:rFonts w:ascii="Calibri" w:eastAsia="Arial Unicode MS" w:hAnsi="Calibri" w:cs="Calibri"/>
                <w:noProof/>
                <w:sz w:val="20"/>
                <w:szCs w:val="20"/>
              </w:rPr>
              <w:t> </w:t>
            </w:r>
            <w:r w:rsidR="000C3C6F" w:rsidRPr="000C3C6F">
              <w:rPr>
                <w:rFonts w:ascii="Calibri" w:eastAsia="Arial Unicode MS" w:hAnsi="Calibri" w:cs="Calibri"/>
                <w:noProof/>
                <w:sz w:val="20"/>
                <w:szCs w:val="20"/>
              </w:rPr>
              <w:t> </w:t>
            </w:r>
            <w:r w:rsidR="000C3C6F" w:rsidRPr="000C3C6F">
              <w:rPr>
                <w:rFonts w:ascii="Calibri" w:eastAsia="Arial Unicode MS" w:hAnsi="Calibri" w:cs="Calibri"/>
                <w:noProof/>
                <w:sz w:val="20"/>
                <w:szCs w:val="20"/>
              </w:rPr>
              <w:t> </w:t>
            </w:r>
            <w:r w:rsidR="000C3C6F" w:rsidRPr="000C3C6F">
              <w:rPr>
                <w:rFonts w:ascii="Calibri" w:eastAsia="Arial Unicode MS" w:hAnsi="Calibri" w:cs="Calibri"/>
                <w:noProof/>
                <w:sz w:val="20"/>
                <w:szCs w:val="20"/>
              </w:rPr>
              <w:t> </w:t>
            </w:r>
            <w:r w:rsidR="000C3C6F" w:rsidRPr="000C3C6F">
              <w:rPr>
                <w:rFonts w:ascii="Calibri" w:eastAsia="Times New Roman" w:hAnsi="Calibri" w:cs="Calibri"/>
                <w:sz w:val="20"/>
                <w:szCs w:val="20"/>
              </w:rPr>
              <w:fldChar w:fldCharType="end"/>
            </w:r>
          </w:p>
        </w:tc>
      </w:tr>
      <w:tr w:rsidR="000C3C6F" w:rsidRPr="000C3C6F" w14:paraId="67DEAC4F" w14:textId="77777777" w:rsidTr="000C3C6F">
        <w:trPr>
          <w:trHeight w:val="20"/>
        </w:trPr>
        <w:tc>
          <w:tcPr>
            <w:tcW w:w="10711" w:type="dxa"/>
            <w:gridSpan w:val="5"/>
            <w:tcBorders>
              <w:top w:val="single" w:sz="4" w:space="0" w:color="FFFFFF"/>
              <w:left w:val="single" w:sz="4" w:space="0" w:color="FFFFFF"/>
              <w:bottom w:val="single" w:sz="4" w:space="0" w:color="FFFFFF"/>
              <w:right w:val="single" w:sz="4" w:space="0" w:color="FFFFFF"/>
            </w:tcBorders>
            <w:shd w:val="clear" w:color="auto" w:fill="D9D9D9"/>
          </w:tcPr>
          <w:p w14:paraId="0203D3BD" w14:textId="77777777" w:rsidR="000C3C6F" w:rsidRPr="000C3C6F" w:rsidRDefault="000C3C6F" w:rsidP="000C3C6F">
            <w:pPr>
              <w:spacing w:after="0" w:line="240" w:lineRule="auto"/>
              <w:jc w:val="center"/>
              <w:rPr>
                <w:rFonts w:ascii="Calibri" w:eastAsia="Times New Roman" w:hAnsi="Calibri" w:cs="Calibri"/>
                <w:b/>
                <w:sz w:val="20"/>
                <w:szCs w:val="20"/>
              </w:rPr>
            </w:pPr>
            <w:r w:rsidRPr="000C3C6F">
              <w:rPr>
                <w:rFonts w:ascii="Calibri" w:eastAsia="Times New Roman" w:hAnsi="Calibri" w:cs="Calibri"/>
                <w:b/>
                <w:sz w:val="20"/>
                <w:szCs w:val="20"/>
              </w:rPr>
              <w:t>Assurances</w:t>
            </w:r>
          </w:p>
        </w:tc>
      </w:tr>
      <w:tr w:rsidR="000C3C6F" w:rsidRPr="000C3C6F" w14:paraId="6893DE8F" w14:textId="77777777" w:rsidTr="000C3C6F">
        <w:trPr>
          <w:trHeight w:val="20"/>
        </w:trPr>
        <w:tc>
          <w:tcPr>
            <w:tcW w:w="10711" w:type="dxa"/>
            <w:gridSpan w:val="5"/>
            <w:tcBorders>
              <w:top w:val="single" w:sz="4" w:space="0" w:color="FFFFFF"/>
              <w:left w:val="single" w:sz="4" w:space="0" w:color="FFFFFF"/>
              <w:bottom w:val="single" w:sz="4" w:space="0" w:color="FFFFFF"/>
              <w:right w:val="single" w:sz="4" w:space="0" w:color="FFFFFF"/>
            </w:tcBorders>
            <w:shd w:val="clear" w:color="auto" w:fill="F2F2F2"/>
          </w:tcPr>
          <w:p w14:paraId="64854ACF" w14:textId="77777777" w:rsidR="000C3C6F" w:rsidRPr="000C3C6F" w:rsidRDefault="000C3C6F" w:rsidP="000C3C6F">
            <w:pPr>
              <w:spacing w:after="0" w:line="240" w:lineRule="auto"/>
              <w:rPr>
                <w:rFonts w:ascii="Calibri" w:eastAsia="Times New Roman" w:hAnsi="Calibri" w:cs="Calibri"/>
                <w:b/>
                <w:sz w:val="20"/>
                <w:szCs w:val="20"/>
              </w:rPr>
            </w:pPr>
            <w:r w:rsidRPr="000C3C6F">
              <w:rPr>
                <w:rFonts w:ascii="Calibri" w:eastAsia="Times New Roman" w:hAnsi="Calibri" w:cs="Calibri"/>
                <w:b/>
                <w:sz w:val="20"/>
                <w:szCs w:val="20"/>
              </w:rPr>
              <w:t>I certify that this Project has not:</w:t>
            </w:r>
          </w:p>
        </w:tc>
      </w:tr>
      <w:tr w:rsidR="000C3C6F" w:rsidRPr="000C3C6F" w14:paraId="783078A5" w14:textId="77777777" w:rsidTr="000C3C6F">
        <w:trPr>
          <w:trHeight w:val="20"/>
        </w:trPr>
        <w:tc>
          <w:tcPr>
            <w:tcW w:w="10711" w:type="dxa"/>
            <w:gridSpan w:val="5"/>
            <w:tcBorders>
              <w:top w:val="single" w:sz="4" w:space="0" w:color="FFFFFF"/>
              <w:left w:val="single" w:sz="4" w:space="0" w:color="FFFFFF"/>
              <w:bottom w:val="single" w:sz="4" w:space="0" w:color="FFFFFF"/>
              <w:right w:val="single" w:sz="4" w:space="0" w:color="FFFFFF"/>
            </w:tcBorders>
            <w:shd w:val="clear" w:color="auto" w:fill="F2F2F2"/>
          </w:tcPr>
          <w:p w14:paraId="0BCDFB5B" w14:textId="77777777" w:rsidR="000C3C6F" w:rsidRPr="000C3C6F" w:rsidRDefault="00A66919" w:rsidP="000C3C6F">
            <w:pPr>
              <w:spacing w:after="0" w:line="240" w:lineRule="auto"/>
              <w:rPr>
                <w:rFonts w:ascii="Calibri" w:eastAsia="Times New Roman" w:hAnsi="Calibri" w:cs="Calibri"/>
                <w:sz w:val="20"/>
                <w:szCs w:val="20"/>
              </w:rPr>
            </w:pPr>
            <w:sdt>
              <w:sdtPr>
                <w:rPr>
                  <w:rFonts w:ascii="Calibri" w:eastAsia="Times New Roman" w:hAnsi="Calibri" w:cs="Calibri"/>
                  <w:sz w:val="20"/>
                  <w:szCs w:val="20"/>
                </w:rPr>
                <w:id w:val="862870579"/>
                <w14:checkbox>
                  <w14:checked w14:val="0"/>
                  <w14:checkedState w14:val="2612" w14:font="MS Gothic"/>
                  <w14:uncheckedState w14:val="2610" w14:font="MS Gothic"/>
                </w14:checkbox>
              </w:sdtPr>
              <w:sdtEndPr/>
              <w:sdtContent>
                <w:r w:rsidR="000C3C6F" w:rsidRPr="000C3C6F">
                  <w:rPr>
                    <w:rFonts w:ascii="Segoe UI Symbol" w:eastAsia="Times New Roman" w:hAnsi="Segoe UI Symbol" w:cs="Segoe UI Symbol"/>
                    <w:sz w:val="20"/>
                    <w:szCs w:val="20"/>
                  </w:rPr>
                  <w:t>☐</w:t>
                </w:r>
              </w:sdtContent>
            </w:sdt>
            <w:r w:rsidR="000C3C6F" w:rsidRPr="000C3C6F">
              <w:rPr>
                <w:rFonts w:ascii="Calibri" w:eastAsia="Times New Roman" w:hAnsi="Calibri" w:cs="Calibri"/>
                <w:sz w:val="20"/>
                <w:szCs w:val="20"/>
              </w:rPr>
              <w:t xml:space="preserve"> Been suspended by DSHS or is delinquent on a repayment agreement to DSHS;</w:t>
            </w:r>
          </w:p>
        </w:tc>
      </w:tr>
      <w:tr w:rsidR="000C3C6F" w:rsidRPr="000C3C6F" w14:paraId="3D6B6566" w14:textId="77777777" w:rsidTr="000C3C6F">
        <w:trPr>
          <w:trHeight w:val="20"/>
        </w:trPr>
        <w:tc>
          <w:tcPr>
            <w:tcW w:w="10711" w:type="dxa"/>
            <w:gridSpan w:val="5"/>
            <w:tcBorders>
              <w:top w:val="single" w:sz="4" w:space="0" w:color="FFFFFF"/>
              <w:left w:val="single" w:sz="4" w:space="0" w:color="FFFFFF"/>
              <w:bottom w:val="single" w:sz="4" w:space="0" w:color="FFFFFF"/>
              <w:right w:val="single" w:sz="4" w:space="0" w:color="FFFFFF"/>
            </w:tcBorders>
            <w:shd w:val="clear" w:color="auto" w:fill="F2F2F2"/>
          </w:tcPr>
          <w:p w14:paraId="769140AF" w14:textId="77777777" w:rsidR="000C3C6F" w:rsidRPr="000C3C6F" w:rsidRDefault="00A66919" w:rsidP="000C3C6F">
            <w:pPr>
              <w:spacing w:after="0" w:line="240" w:lineRule="auto"/>
              <w:rPr>
                <w:rFonts w:ascii="Calibri" w:eastAsia="Times New Roman" w:hAnsi="Calibri" w:cs="Calibri"/>
                <w:sz w:val="20"/>
                <w:szCs w:val="20"/>
              </w:rPr>
            </w:pPr>
            <w:sdt>
              <w:sdtPr>
                <w:rPr>
                  <w:rFonts w:ascii="Calibri" w:eastAsia="Times New Roman" w:hAnsi="Calibri" w:cs="Calibri"/>
                  <w:sz w:val="20"/>
                  <w:szCs w:val="20"/>
                </w:rPr>
                <w:id w:val="2041930204"/>
                <w14:checkbox>
                  <w14:checked w14:val="0"/>
                  <w14:checkedState w14:val="2612" w14:font="MS Gothic"/>
                  <w14:uncheckedState w14:val="2610" w14:font="MS Gothic"/>
                </w14:checkbox>
              </w:sdtPr>
              <w:sdtEndPr/>
              <w:sdtContent>
                <w:r w:rsidR="000C3C6F" w:rsidRPr="000C3C6F">
                  <w:rPr>
                    <w:rFonts w:ascii="Segoe UI Symbol" w:eastAsia="Times New Roman" w:hAnsi="Segoe UI Symbol" w:cs="Segoe UI Symbol"/>
                    <w:sz w:val="20"/>
                    <w:szCs w:val="20"/>
                  </w:rPr>
                  <w:t>☐</w:t>
                </w:r>
              </w:sdtContent>
            </w:sdt>
            <w:r w:rsidR="000C3C6F" w:rsidRPr="000C3C6F">
              <w:rPr>
                <w:rFonts w:ascii="Calibri" w:eastAsia="Times New Roman" w:hAnsi="Calibri" w:cs="Calibri"/>
                <w:sz w:val="20"/>
                <w:szCs w:val="20"/>
              </w:rPr>
              <w:t xml:space="preserve"> Had a contract terminated by DSHS for cause;</w:t>
            </w:r>
          </w:p>
        </w:tc>
      </w:tr>
      <w:tr w:rsidR="000C3C6F" w:rsidRPr="000C3C6F" w14:paraId="7BCA72BA" w14:textId="77777777" w:rsidTr="000C3C6F">
        <w:trPr>
          <w:trHeight w:val="20"/>
        </w:trPr>
        <w:tc>
          <w:tcPr>
            <w:tcW w:w="10711" w:type="dxa"/>
            <w:gridSpan w:val="5"/>
            <w:tcBorders>
              <w:top w:val="single" w:sz="4" w:space="0" w:color="FFFFFF"/>
              <w:left w:val="single" w:sz="4" w:space="0" w:color="FFFFFF"/>
              <w:bottom w:val="single" w:sz="4" w:space="0" w:color="FFFFFF"/>
              <w:right w:val="single" w:sz="4" w:space="0" w:color="FFFFFF"/>
            </w:tcBorders>
            <w:shd w:val="clear" w:color="auto" w:fill="F2F2F2"/>
          </w:tcPr>
          <w:p w14:paraId="5C1DBC37" w14:textId="77777777" w:rsidR="000C3C6F" w:rsidRPr="000C3C6F" w:rsidRDefault="00A66919" w:rsidP="000C3C6F">
            <w:pPr>
              <w:spacing w:after="0" w:line="240" w:lineRule="auto"/>
              <w:rPr>
                <w:rFonts w:ascii="Calibri" w:eastAsia="Times New Roman" w:hAnsi="Calibri" w:cs="Calibri"/>
                <w:sz w:val="20"/>
                <w:szCs w:val="20"/>
              </w:rPr>
            </w:pPr>
            <w:sdt>
              <w:sdtPr>
                <w:rPr>
                  <w:rFonts w:ascii="Calibri" w:eastAsia="Times New Roman" w:hAnsi="Calibri" w:cs="Calibri"/>
                  <w:sz w:val="20"/>
                  <w:szCs w:val="20"/>
                </w:rPr>
                <w:id w:val="-1646115451"/>
                <w14:checkbox>
                  <w14:checked w14:val="0"/>
                  <w14:checkedState w14:val="2612" w14:font="MS Gothic"/>
                  <w14:uncheckedState w14:val="2610" w14:font="MS Gothic"/>
                </w14:checkbox>
              </w:sdtPr>
              <w:sdtEndPr/>
              <w:sdtContent>
                <w:r w:rsidR="000C3C6F" w:rsidRPr="000C3C6F">
                  <w:rPr>
                    <w:rFonts w:ascii="Segoe UI Symbol" w:eastAsia="Times New Roman" w:hAnsi="Segoe UI Symbol" w:cs="Segoe UI Symbol"/>
                    <w:sz w:val="20"/>
                    <w:szCs w:val="20"/>
                  </w:rPr>
                  <w:t>☐</w:t>
                </w:r>
              </w:sdtContent>
            </w:sdt>
            <w:r w:rsidR="000C3C6F" w:rsidRPr="000C3C6F">
              <w:rPr>
                <w:rFonts w:ascii="Calibri" w:eastAsia="Times New Roman" w:hAnsi="Calibri" w:cs="Calibri"/>
                <w:sz w:val="20"/>
                <w:szCs w:val="20"/>
              </w:rPr>
              <w:t xml:space="preserve"> Had a required license or certification revoked that is required to carry out the terms of the subcontract; and</w:t>
            </w:r>
          </w:p>
        </w:tc>
      </w:tr>
      <w:tr w:rsidR="000C3C6F" w:rsidRPr="000C3C6F" w14:paraId="3FD94713" w14:textId="77777777" w:rsidTr="000C3C6F">
        <w:trPr>
          <w:trHeight w:val="20"/>
        </w:trPr>
        <w:tc>
          <w:tcPr>
            <w:tcW w:w="10711" w:type="dxa"/>
            <w:gridSpan w:val="5"/>
            <w:tcBorders>
              <w:top w:val="single" w:sz="4" w:space="0" w:color="FFFFFF"/>
              <w:left w:val="single" w:sz="4" w:space="0" w:color="FFFFFF"/>
              <w:bottom w:val="single" w:sz="4" w:space="0" w:color="FFFFFF"/>
              <w:right w:val="single" w:sz="4" w:space="0" w:color="FFFFFF"/>
            </w:tcBorders>
            <w:shd w:val="clear" w:color="auto" w:fill="F2F2F2"/>
          </w:tcPr>
          <w:p w14:paraId="20A0473A" w14:textId="77777777" w:rsidR="000C3C6F" w:rsidRPr="000C3C6F" w:rsidRDefault="00A66919" w:rsidP="000C3C6F">
            <w:pPr>
              <w:spacing w:after="0" w:line="240" w:lineRule="auto"/>
              <w:rPr>
                <w:rFonts w:ascii="Calibri" w:eastAsia="Times New Roman" w:hAnsi="Calibri" w:cs="Calibri"/>
                <w:sz w:val="20"/>
                <w:szCs w:val="20"/>
              </w:rPr>
            </w:pPr>
            <w:sdt>
              <w:sdtPr>
                <w:rPr>
                  <w:rFonts w:ascii="Calibri" w:eastAsia="Times New Roman" w:hAnsi="Calibri" w:cs="Calibri"/>
                  <w:sz w:val="20"/>
                  <w:szCs w:val="20"/>
                </w:rPr>
                <w:id w:val="1348521962"/>
                <w14:checkbox>
                  <w14:checked w14:val="0"/>
                  <w14:checkedState w14:val="2612" w14:font="MS Gothic"/>
                  <w14:uncheckedState w14:val="2610" w14:font="MS Gothic"/>
                </w14:checkbox>
              </w:sdtPr>
              <w:sdtEndPr/>
              <w:sdtContent>
                <w:r w:rsidR="000C3C6F" w:rsidRPr="000C3C6F">
                  <w:rPr>
                    <w:rFonts w:ascii="Segoe UI Symbol" w:eastAsia="Times New Roman" w:hAnsi="Segoe UI Symbol" w:cs="Segoe UI Symbol"/>
                    <w:sz w:val="20"/>
                    <w:szCs w:val="20"/>
                  </w:rPr>
                  <w:t>☐</w:t>
                </w:r>
              </w:sdtContent>
            </w:sdt>
            <w:r w:rsidR="000C3C6F" w:rsidRPr="000C3C6F">
              <w:rPr>
                <w:rFonts w:ascii="Calibri" w:eastAsia="Times New Roman" w:hAnsi="Calibri" w:cs="Calibri"/>
                <w:sz w:val="20"/>
                <w:szCs w:val="20"/>
              </w:rPr>
              <w:t xml:space="preserve"> Voluntarily surrendered any license issued by DSHS within the past three (3) years.</w:t>
            </w:r>
          </w:p>
        </w:tc>
      </w:tr>
      <w:tr w:rsidR="000C3C6F" w:rsidRPr="000C3C6F" w14:paraId="47471F77" w14:textId="77777777" w:rsidTr="000C3C6F">
        <w:trPr>
          <w:trHeight w:val="20"/>
        </w:trPr>
        <w:tc>
          <w:tcPr>
            <w:tcW w:w="10711" w:type="dxa"/>
            <w:gridSpan w:val="5"/>
            <w:tcBorders>
              <w:top w:val="single" w:sz="4" w:space="0" w:color="FFFFFF"/>
              <w:left w:val="single" w:sz="4" w:space="0" w:color="FFFFFF"/>
              <w:bottom w:val="single" w:sz="4" w:space="0" w:color="FFFFFF"/>
              <w:right w:val="single" w:sz="4" w:space="0" w:color="FFFFFF"/>
            </w:tcBorders>
            <w:shd w:val="clear" w:color="auto" w:fill="F2F2F2"/>
          </w:tcPr>
          <w:p w14:paraId="0D8876ED" w14:textId="77777777" w:rsidR="000C3C6F" w:rsidRPr="000C3C6F" w:rsidRDefault="000C3C6F" w:rsidP="000C3C6F">
            <w:pPr>
              <w:spacing w:after="0" w:line="240" w:lineRule="auto"/>
              <w:rPr>
                <w:rFonts w:ascii="Calibri" w:eastAsia="Times New Roman" w:hAnsi="Calibri" w:cs="Calibri"/>
                <w:b/>
                <w:sz w:val="20"/>
                <w:szCs w:val="20"/>
              </w:rPr>
            </w:pPr>
            <w:r w:rsidRPr="000C3C6F">
              <w:rPr>
                <w:rFonts w:ascii="Calibri" w:eastAsia="Times New Roman" w:hAnsi="Calibri" w:cs="Calibri"/>
                <w:b/>
                <w:sz w:val="20"/>
                <w:szCs w:val="20"/>
              </w:rPr>
              <w:t>I certify that the following is in place:</w:t>
            </w:r>
          </w:p>
        </w:tc>
      </w:tr>
      <w:tr w:rsidR="000C3C6F" w:rsidRPr="000C3C6F" w14:paraId="1B8D9DDD" w14:textId="77777777" w:rsidTr="000C3C6F">
        <w:trPr>
          <w:trHeight w:val="20"/>
        </w:trPr>
        <w:tc>
          <w:tcPr>
            <w:tcW w:w="10711" w:type="dxa"/>
            <w:gridSpan w:val="5"/>
            <w:tcBorders>
              <w:top w:val="single" w:sz="4" w:space="0" w:color="FFFFFF"/>
              <w:left w:val="single" w:sz="4" w:space="0" w:color="FFFFFF"/>
              <w:bottom w:val="single" w:sz="4" w:space="0" w:color="FFFFFF"/>
              <w:right w:val="single" w:sz="4" w:space="0" w:color="FFFFFF"/>
            </w:tcBorders>
            <w:shd w:val="clear" w:color="auto" w:fill="F2F2F2"/>
          </w:tcPr>
          <w:p w14:paraId="0E8EE902" w14:textId="299A7F62" w:rsidR="000C3C6F" w:rsidRPr="000C3C6F" w:rsidRDefault="00A66919" w:rsidP="000C3C6F">
            <w:pPr>
              <w:spacing w:after="0" w:line="240" w:lineRule="auto"/>
              <w:rPr>
                <w:rFonts w:ascii="Calibri" w:eastAsia="Times New Roman" w:hAnsi="Calibri" w:cs="Calibri"/>
                <w:sz w:val="20"/>
                <w:szCs w:val="20"/>
              </w:rPr>
            </w:pPr>
            <w:sdt>
              <w:sdtPr>
                <w:rPr>
                  <w:rFonts w:ascii="Calibri" w:eastAsia="Times New Roman" w:hAnsi="Calibri" w:cs="Calibri"/>
                  <w:sz w:val="20"/>
                  <w:szCs w:val="20"/>
                </w:rPr>
                <w:id w:val="182023969"/>
                <w14:checkbox>
                  <w14:checked w14:val="0"/>
                  <w14:checkedState w14:val="2612" w14:font="MS Gothic"/>
                  <w14:uncheckedState w14:val="2610" w14:font="MS Gothic"/>
                </w14:checkbox>
              </w:sdtPr>
              <w:sdtEndPr/>
              <w:sdtContent>
                <w:r w:rsidR="000C3C6F" w:rsidRPr="000C3C6F">
                  <w:rPr>
                    <w:rFonts w:ascii="Segoe UI Symbol" w:eastAsia="Times New Roman" w:hAnsi="Segoe UI Symbol" w:cs="Segoe UI Symbol"/>
                    <w:sz w:val="20"/>
                    <w:szCs w:val="20"/>
                  </w:rPr>
                  <w:t>☐</w:t>
                </w:r>
              </w:sdtContent>
            </w:sdt>
            <w:r w:rsidR="000C3C6F" w:rsidRPr="000C3C6F">
              <w:rPr>
                <w:rFonts w:ascii="Calibri" w:eastAsia="Times New Roman" w:hAnsi="Calibri" w:cs="Calibri"/>
                <w:sz w:val="20"/>
                <w:szCs w:val="20"/>
              </w:rPr>
              <w:t xml:space="preserve"> Subcontract is in writing, consistent with the DSHS contract, and signed by both parties;</w:t>
            </w:r>
          </w:p>
        </w:tc>
      </w:tr>
      <w:tr w:rsidR="000C3C6F" w:rsidRPr="000C3C6F" w14:paraId="19DA1D6B" w14:textId="77777777" w:rsidTr="000C3C6F">
        <w:trPr>
          <w:trHeight w:val="20"/>
        </w:trPr>
        <w:tc>
          <w:tcPr>
            <w:tcW w:w="10711" w:type="dxa"/>
            <w:gridSpan w:val="5"/>
            <w:tcBorders>
              <w:top w:val="single" w:sz="4" w:space="0" w:color="FFFFFF"/>
              <w:left w:val="single" w:sz="4" w:space="0" w:color="FFFFFF"/>
              <w:bottom w:val="single" w:sz="4" w:space="0" w:color="FFFFFF"/>
              <w:right w:val="single" w:sz="4" w:space="0" w:color="FFFFFF"/>
            </w:tcBorders>
            <w:shd w:val="clear" w:color="auto" w:fill="F2F2F2"/>
          </w:tcPr>
          <w:p w14:paraId="22EDDA3D" w14:textId="77777777" w:rsidR="000C3C6F" w:rsidRPr="000C3C6F" w:rsidRDefault="00A66919" w:rsidP="000C3C6F">
            <w:pPr>
              <w:spacing w:after="0" w:line="240" w:lineRule="auto"/>
              <w:rPr>
                <w:rFonts w:ascii="Calibri" w:eastAsia="Times New Roman" w:hAnsi="Calibri" w:cs="Calibri"/>
                <w:sz w:val="20"/>
                <w:szCs w:val="20"/>
              </w:rPr>
            </w:pPr>
            <w:sdt>
              <w:sdtPr>
                <w:rPr>
                  <w:rFonts w:ascii="Calibri" w:eastAsia="Times New Roman" w:hAnsi="Calibri" w:cs="Calibri"/>
                  <w:sz w:val="20"/>
                  <w:szCs w:val="20"/>
                </w:rPr>
                <w:id w:val="2144541336"/>
                <w14:checkbox>
                  <w14:checked w14:val="0"/>
                  <w14:checkedState w14:val="2612" w14:font="MS Gothic"/>
                  <w14:uncheckedState w14:val="2610" w14:font="MS Gothic"/>
                </w14:checkbox>
              </w:sdtPr>
              <w:sdtEndPr/>
              <w:sdtContent>
                <w:r w:rsidR="000C3C6F" w:rsidRPr="000C3C6F">
                  <w:rPr>
                    <w:rFonts w:ascii="Segoe UI Symbol" w:eastAsia="Times New Roman" w:hAnsi="Segoe UI Symbol" w:cs="Segoe UI Symbol"/>
                    <w:sz w:val="20"/>
                    <w:szCs w:val="20"/>
                  </w:rPr>
                  <w:t>☐</w:t>
                </w:r>
              </w:sdtContent>
            </w:sdt>
            <w:r w:rsidR="000C3C6F" w:rsidRPr="000C3C6F">
              <w:rPr>
                <w:rFonts w:ascii="Calibri" w:eastAsia="Times New Roman" w:hAnsi="Calibri" w:cs="Calibri"/>
                <w:sz w:val="20"/>
                <w:szCs w:val="20"/>
              </w:rPr>
              <w:t xml:space="preserve"> Programmatic/financial review of Project is conducted in accordance with 2 CFR § 200 et seq.;</w:t>
            </w:r>
          </w:p>
        </w:tc>
      </w:tr>
      <w:tr w:rsidR="000C3C6F" w:rsidRPr="000C3C6F" w14:paraId="335DA7FE" w14:textId="77777777" w:rsidTr="000C3C6F">
        <w:trPr>
          <w:trHeight w:val="20"/>
        </w:trPr>
        <w:tc>
          <w:tcPr>
            <w:tcW w:w="10711" w:type="dxa"/>
            <w:gridSpan w:val="5"/>
            <w:tcBorders>
              <w:top w:val="single" w:sz="4" w:space="0" w:color="FFFFFF"/>
              <w:left w:val="single" w:sz="4" w:space="0" w:color="FFFFFF"/>
              <w:bottom w:val="single" w:sz="4" w:space="0" w:color="FFFFFF"/>
              <w:right w:val="single" w:sz="4" w:space="0" w:color="FFFFFF"/>
            </w:tcBorders>
            <w:shd w:val="clear" w:color="auto" w:fill="F2F2F2"/>
          </w:tcPr>
          <w:p w14:paraId="5FA761BE" w14:textId="77777777" w:rsidR="000C3C6F" w:rsidRPr="000C3C6F" w:rsidRDefault="00A66919" w:rsidP="000C3C6F">
            <w:pPr>
              <w:spacing w:after="0" w:line="240" w:lineRule="auto"/>
              <w:rPr>
                <w:rFonts w:ascii="Calibri" w:eastAsia="Times New Roman" w:hAnsi="Calibri" w:cs="Calibri"/>
                <w:sz w:val="20"/>
                <w:szCs w:val="20"/>
              </w:rPr>
            </w:pPr>
            <w:sdt>
              <w:sdtPr>
                <w:rPr>
                  <w:rFonts w:ascii="Calibri" w:eastAsia="Times New Roman" w:hAnsi="Calibri" w:cs="Calibri"/>
                  <w:sz w:val="20"/>
                  <w:szCs w:val="20"/>
                </w:rPr>
                <w:id w:val="-1792354576"/>
                <w14:checkbox>
                  <w14:checked w14:val="0"/>
                  <w14:checkedState w14:val="2612" w14:font="MS Gothic"/>
                  <w14:uncheckedState w14:val="2610" w14:font="MS Gothic"/>
                </w14:checkbox>
              </w:sdtPr>
              <w:sdtEndPr/>
              <w:sdtContent>
                <w:r w:rsidR="000C3C6F" w:rsidRPr="000C3C6F">
                  <w:rPr>
                    <w:rFonts w:ascii="Segoe UI Symbol" w:eastAsia="Times New Roman" w:hAnsi="Segoe UI Symbol" w:cs="Segoe UI Symbol"/>
                    <w:sz w:val="20"/>
                    <w:szCs w:val="20"/>
                  </w:rPr>
                  <w:t>☐</w:t>
                </w:r>
              </w:sdtContent>
            </w:sdt>
            <w:r w:rsidR="000C3C6F" w:rsidRPr="000C3C6F">
              <w:rPr>
                <w:rFonts w:ascii="Calibri" w:eastAsia="Times New Roman" w:hAnsi="Calibri" w:cs="Calibri"/>
                <w:sz w:val="20"/>
                <w:szCs w:val="20"/>
              </w:rPr>
              <w:t xml:space="preserve"> Procedures used to advertise and award these funds meet the minimum standards required by 2 CFR § 200 et seq.;</w:t>
            </w:r>
          </w:p>
        </w:tc>
      </w:tr>
      <w:tr w:rsidR="000C3C6F" w:rsidRPr="000C3C6F" w14:paraId="18F4DB31" w14:textId="77777777" w:rsidTr="000C3C6F">
        <w:trPr>
          <w:trHeight w:val="20"/>
        </w:trPr>
        <w:tc>
          <w:tcPr>
            <w:tcW w:w="10711" w:type="dxa"/>
            <w:gridSpan w:val="5"/>
            <w:tcBorders>
              <w:top w:val="single" w:sz="4" w:space="0" w:color="FFFFFF"/>
              <w:left w:val="single" w:sz="4" w:space="0" w:color="FFFFFF"/>
              <w:bottom w:val="single" w:sz="4" w:space="0" w:color="FFFFFF"/>
              <w:right w:val="single" w:sz="4" w:space="0" w:color="FFFFFF"/>
            </w:tcBorders>
            <w:shd w:val="clear" w:color="auto" w:fill="F2F2F2"/>
          </w:tcPr>
          <w:p w14:paraId="2B027951" w14:textId="77777777" w:rsidR="000C3C6F" w:rsidRPr="000C3C6F" w:rsidRDefault="00A66919" w:rsidP="000C3C6F">
            <w:pPr>
              <w:spacing w:after="0" w:line="240" w:lineRule="auto"/>
              <w:rPr>
                <w:rFonts w:ascii="Calibri" w:eastAsia="Times New Roman" w:hAnsi="Calibri" w:cs="Calibri"/>
                <w:sz w:val="20"/>
                <w:szCs w:val="20"/>
              </w:rPr>
            </w:pPr>
            <w:sdt>
              <w:sdtPr>
                <w:rPr>
                  <w:rFonts w:ascii="Calibri" w:eastAsia="Times New Roman" w:hAnsi="Calibri" w:cs="Calibri"/>
                  <w:sz w:val="20"/>
                  <w:szCs w:val="20"/>
                </w:rPr>
                <w:id w:val="725651669"/>
                <w14:checkbox>
                  <w14:checked w14:val="0"/>
                  <w14:checkedState w14:val="2612" w14:font="MS Gothic"/>
                  <w14:uncheckedState w14:val="2610" w14:font="MS Gothic"/>
                </w14:checkbox>
              </w:sdtPr>
              <w:sdtEndPr/>
              <w:sdtContent>
                <w:r w:rsidR="000C3C6F" w:rsidRPr="000C3C6F">
                  <w:rPr>
                    <w:rFonts w:ascii="Segoe UI Symbol" w:eastAsia="Times New Roman" w:hAnsi="Segoe UI Symbol" w:cs="Segoe UI Symbol"/>
                    <w:sz w:val="20"/>
                    <w:szCs w:val="20"/>
                  </w:rPr>
                  <w:t>☐</w:t>
                </w:r>
              </w:sdtContent>
            </w:sdt>
            <w:r w:rsidR="000C3C6F" w:rsidRPr="000C3C6F">
              <w:rPr>
                <w:rFonts w:ascii="Calibri" w:eastAsia="Times New Roman" w:hAnsi="Calibri" w:cs="Calibri"/>
                <w:sz w:val="20"/>
                <w:szCs w:val="20"/>
              </w:rPr>
              <w:t xml:space="preserve"> Subcontractor receives a written report of the results of all monitoring activities conducted; and</w:t>
            </w:r>
          </w:p>
        </w:tc>
      </w:tr>
      <w:tr w:rsidR="000C3C6F" w:rsidRPr="000C3C6F" w14:paraId="2D0791F1" w14:textId="77777777" w:rsidTr="000C3C6F">
        <w:trPr>
          <w:trHeight w:val="20"/>
        </w:trPr>
        <w:tc>
          <w:tcPr>
            <w:tcW w:w="10711" w:type="dxa"/>
            <w:gridSpan w:val="5"/>
            <w:tcBorders>
              <w:top w:val="single" w:sz="4" w:space="0" w:color="FFFFFF"/>
              <w:left w:val="single" w:sz="4" w:space="0" w:color="FFFFFF"/>
              <w:bottom w:val="single" w:sz="4" w:space="0" w:color="FFFFFF"/>
              <w:right w:val="single" w:sz="4" w:space="0" w:color="FFFFFF"/>
            </w:tcBorders>
            <w:shd w:val="clear" w:color="auto" w:fill="F2F2F2"/>
          </w:tcPr>
          <w:p w14:paraId="04899436" w14:textId="77777777" w:rsidR="000C3C6F" w:rsidRPr="000C3C6F" w:rsidRDefault="00A66919" w:rsidP="000C3C6F">
            <w:pPr>
              <w:spacing w:after="0" w:line="240" w:lineRule="auto"/>
              <w:rPr>
                <w:rFonts w:ascii="Calibri" w:eastAsia="Times New Roman" w:hAnsi="Calibri" w:cs="Calibri"/>
                <w:sz w:val="20"/>
                <w:szCs w:val="20"/>
              </w:rPr>
            </w:pPr>
            <w:sdt>
              <w:sdtPr>
                <w:rPr>
                  <w:rFonts w:ascii="Calibri" w:eastAsia="Times New Roman" w:hAnsi="Calibri" w:cs="Calibri"/>
                  <w:sz w:val="20"/>
                  <w:szCs w:val="20"/>
                </w:rPr>
                <w:id w:val="-1605341099"/>
                <w14:checkbox>
                  <w14:checked w14:val="0"/>
                  <w14:checkedState w14:val="2612" w14:font="MS Gothic"/>
                  <w14:uncheckedState w14:val="2610" w14:font="MS Gothic"/>
                </w14:checkbox>
              </w:sdtPr>
              <w:sdtEndPr/>
              <w:sdtContent>
                <w:r w:rsidR="000C3C6F" w:rsidRPr="000C3C6F">
                  <w:rPr>
                    <w:rFonts w:ascii="Segoe UI Symbol" w:eastAsia="Times New Roman" w:hAnsi="Segoe UI Symbol" w:cs="Segoe UI Symbol"/>
                    <w:sz w:val="20"/>
                    <w:szCs w:val="20"/>
                  </w:rPr>
                  <w:t>☐</w:t>
                </w:r>
              </w:sdtContent>
            </w:sdt>
            <w:r w:rsidR="000C3C6F" w:rsidRPr="000C3C6F">
              <w:rPr>
                <w:rFonts w:ascii="Calibri" w:eastAsia="Times New Roman" w:hAnsi="Calibri" w:cs="Calibri"/>
                <w:sz w:val="20"/>
                <w:szCs w:val="20"/>
              </w:rPr>
              <w:t xml:space="preserve"> Appropriate corrective action steps are taken when subcontractor is not in compliance with contract terms.</w:t>
            </w:r>
          </w:p>
        </w:tc>
      </w:tr>
      <w:tr w:rsidR="000C3C6F" w:rsidRPr="000C3C6F" w14:paraId="18F2C151" w14:textId="77777777" w:rsidTr="000C3C6F">
        <w:trPr>
          <w:trHeight w:val="20"/>
        </w:trPr>
        <w:tc>
          <w:tcPr>
            <w:tcW w:w="3600" w:type="dxa"/>
            <w:tcBorders>
              <w:top w:val="single" w:sz="4" w:space="0" w:color="FFFFFF"/>
              <w:left w:val="single" w:sz="4" w:space="0" w:color="FFFFFF"/>
              <w:bottom w:val="single" w:sz="4" w:space="0" w:color="FFFFFF"/>
              <w:right w:val="single" w:sz="4" w:space="0" w:color="FFFFFF"/>
            </w:tcBorders>
            <w:shd w:val="clear" w:color="auto" w:fill="D9D9D9"/>
          </w:tcPr>
          <w:p w14:paraId="1676987B" w14:textId="77777777" w:rsidR="000C3C6F" w:rsidRPr="000C3C6F" w:rsidRDefault="000C3C6F" w:rsidP="000C3C6F">
            <w:pPr>
              <w:spacing w:after="0" w:line="240" w:lineRule="auto"/>
              <w:contextualSpacing/>
              <w:rPr>
                <w:rFonts w:ascii="Calibri" w:eastAsia="Times New Roman" w:hAnsi="Calibri" w:cs="Calibri"/>
                <w:b/>
                <w:sz w:val="20"/>
                <w:szCs w:val="20"/>
              </w:rPr>
            </w:pPr>
            <w:r w:rsidRPr="000C3C6F">
              <w:rPr>
                <w:rFonts w:ascii="Calibri" w:eastAsia="Times New Roman" w:hAnsi="Calibri" w:cs="Calibri"/>
                <w:b/>
                <w:sz w:val="20"/>
                <w:szCs w:val="20"/>
              </w:rPr>
              <w:t>Activity</w:t>
            </w:r>
          </w:p>
        </w:tc>
        <w:tc>
          <w:tcPr>
            <w:tcW w:w="3691" w:type="dxa"/>
            <w:gridSpan w:val="3"/>
            <w:tcBorders>
              <w:top w:val="single" w:sz="4" w:space="0" w:color="FFFFFF"/>
              <w:left w:val="single" w:sz="4" w:space="0" w:color="FFFFFF"/>
              <w:bottom w:val="single" w:sz="4" w:space="0" w:color="FFFFFF"/>
              <w:right w:val="single" w:sz="4" w:space="0" w:color="FFFFFF"/>
            </w:tcBorders>
            <w:shd w:val="clear" w:color="auto" w:fill="D9D9D9"/>
          </w:tcPr>
          <w:p w14:paraId="5EC45690" w14:textId="77777777" w:rsidR="000C3C6F" w:rsidRPr="000C3C6F" w:rsidRDefault="000C3C6F" w:rsidP="000C3C6F">
            <w:pPr>
              <w:spacing w:after="0" w:line="240" w:lineRule="auto"/>
              <w:contextualSpacing/>
              <w:jc w:val="right"/>
              <w:rPr>
                <w:rFonts w:ascii="Calibri" w:eastAsia="Times New Roman" w:hAnsi="Calibri" w:cs="Calibri"/>
                <w:b/>
                <w:sz w:val="20"/>
                <w:szCs w:val="20"/>
              </w:rPr>
            </w:pPr>
            <w:r w:rsidRPr="000C3C6F">
              <w:rPr>
                <w:rFonts w:ascii="Calibri" w:eastAsia="Times New Roman" w:hAnsi="Calibri" w:cs="Calibri"/>
                <w:b/>
                <w:sz w:val="20"/>
                <w:szCs w:val="20"/>
              </w:rPr>
              <w:t>Allocation</w:t>
            </w:r>
          </w:p>
        </w:tc>
        <w:tc>
          <w:tcPr>
            <w:tcW w:w="3420" w:type="dxa"/>
            <w:tcBorders>
              <w:top w:val="single" w:sz="4" w:space="0" w:color="FFFFFF"/>
              <w:left w:val="single" w:sz="4" w:space="0" w:color="FFFFFF"/>
              <w:bottom w:val="single" w:sz="4" w:space="0" w:color="FFFFFF"/>
              <w:right w:val="single" w:sz="4" w:space="0" w:color="FFFFFF"/>
            </w:tcBorders>
            <w:shd w:val="clear" w:color="auto" w:fill="D9D9D9"/>
          </w:tcPr>
          <w:p w14:paraId="2D39AEC7" w14:textId="77777777" w:rsidR="000C3C6F" w:rsidRPr="000C3C6F" w:rsidRDefault="000C3C6F" w:rsidP="000C3C6F">
            <w:pPr>
              <w:spacing w:after="0" w:line="240" w:lineRule="auto"/>
              <w:contextualSpacing/>
              <w:jc w:val="right"/>
              <w:rPr>
                <w:rFonts w:ascii="Calibri" w:eastAsia="Times New Roman" w:hAnsi="Calibri" w:cs="Calibri"/>
                <w:b/>
                <w:sz w:val="20"/>
                <w:szCs w:val="20"/>
              </w:rPr>
            </w:pPr>
            <w:r w:rsidRPr="000C3C6F">
              <w:rPr>
                <w:rFonts w:ascii="Calibri" w:eastAsia="Times New Roman" w:hAnsi="Calibri" w:cs="Calibri"/>
                <w:b/>
                <w:sz w:val="20"/>
                <w:szCs w:val="20"/>
              </w:rPr>
              <w:t>Households to be served:</w:t>
            </w:r>
          </w:p>
        </w:tc>
      </w:tr>
      <w:tr w:rsidR="000C3C6F" w:rsidRPr="000C3C6F" w14:paraId="4A738D34" w14:textId="77777777" w:rsidTr="000C3C6F">
        <w:trPr>
          <w:trHeight w:val="20"/>
        </w:trPr>
        <w:tc>
          <w:tcPr>
            <w:tcW w:w="3600" w:type="dxa"/>
            <w:tcBorders>
              <w:top w:val="single" w:sz="4" w:space="0" w:color="FFFFFF"/>
              <w:left w:val="single" w:sz="4" w:space="0" w:color="FFFFFF"/>
              <w:bottom w:val="single" w:sz="4" w:space="0" w:color="FFFFFF"/>
              <w:right w:val="single" w:sz="4" w:space="0" w:color="FFFFFF"/>
            </w:tcBorders>
            <w:shd w:val="clear" w:color="auto" w:fill="F2F2F2"/>
          </w:tcPr>
          <w:p w14:paraId="33EEFCAB" w14:textId="77777777" w:rsidR="000C3C6F" w:rsidRPr="000C3C6F" w:rsidRDefault="000C3C6F" w:rsidP="000C3C6F">
            <w:pPr>
              <w:spacing w:after="0" w:line="240" w:lineRule="auto"/>
              <w:contextualSpacing/>
              <w:rPr>
                <w:rFonts w:ascii="Calibri" w:eastAsia="Times New Roman" w:hAnsi="Calibri" w:cs="Calibri"/>
                <w:sz w:val="20"/>
                <w:szCs w:val="20"/>
              </w:rPr>
            </w:pPr>
            <w:r w:rsidRPr="000C3C6F">
              <w:rPr>
                <w:rFonts w:ascii="Calibri" w:eastAsia="Times New Roman" w:hAnsi="Calibri" w:cs="Calibri"/>
                <w:sz w:val="20"/>
                <w:szCs w:val="20"/>
              </w:rPr>
              <w:t>Tenant-Based Rental Assistance</w:t>
            </w:r>
          </w:p>
        </w:tc>
        <w:tc>
          <w:tcPr>
            <w:tcW w:w="270" w:type="dxa"/>
            <w:tcBorders>
              <w:top w:val="single" w:sz="4" w:space="0" w:color="FFFFFF"/>
              <w:left w:val="single" w:sz="4" w:space="0" w:color="FFFFFF"/>
              <w:bottom w:val="single" w:sz="4" w:space="0" w:color="FFFFFF"/>
              <w:right w:val="nil"/>
            </w:tcBorders>
            <w:shd w:val="clear" w:color="auto" w:fill="DEEAF6"/>
          </w:tcPr>
          <w:p w14:paraId="72600775" w14:textId="77777777" w:rsidR="000C3C6F" w:rsidRPr="000C3C6F" w:rsidRDefault="000C3C6F" w:rsidP="000C3C6F">
            <w:pPr>
              <w:spacing w:after="0" w:line="240" w:lineRule="auto"/>
              <w:contextualSpacing/>
              <w:rPr>
                <w:rFonts w:ascii="Calibri" w:eastAsia="Times New Roman" w:hAnsi="Calibri" w:cs="Calibri"/>
                <w:sz w:val="20"/>
                <w:szCs w:val="20"/>
              </w:rPr>
            </w:pPr>
            <w:r w:rsidRPr="000C3C6F">
              <w:rPr>
                <w:rFonts w:ascii="Calibri" w:eastAsia="Times New Roman" w:hAnsi="Calibri" w:cs="Calibri"/>
                <w:sz w:val="20"/>
                <w:szCs w:val="20"/>
              </w:rPr>
              <w:t>$</w:t>
            </w:r>
          </w:p>
        </w:tc>
        <w:tc>
          <w:tcPr>
            <w:tcW w:w="3421" w:type="dxa"/>
            <w:gridSpan w:val="2"/>
            <w:tcBorders>
              <w:top w:val="single" w:sz="4" w:space="0" w:color="FFFFFF"/>
              <w:left w:val="nil"/>
              <w:bottom w:val="single" w:sz="4" w:space="0" w:color="FFFFFF"/>
              <w:right w:val="single" w:sz="4" w:space="0" w:color="FFFFFF"/>
            </w:tcBorders>
            <w:shd w:val="clear" w:color="auto" w:fill="DEEAF6"/>
          </w:tcPr>
          <w:p w14:paraId="690AFD73" w14:textId="77777777" w:rsidR="000C3C6F" w:rsidRPr="000C3C6F" w:rsidRDefault="000C3C6F" w:rsidP="000C3C6F">
            <w:pPr>
              <w:spacing w:after="0" w:line="240" w:lineRule="auto"/>
              <w:contextualSpacing/>
              <w:jc w:val="right"/>
              <w:rPr>
                <w:rFonts w:ascii="Calibri" w:eastAsia="Times New Roman" w:hAnsi="Calibri" w:cs="Calibri"/>
                <w:sz w:val="20"/>
                <w:szCs w:val="20"/>
              </w:rPr>
            </w:pPr>
            <w:r w:rsidRPr="000C3C6F">
              <w:rPr>
                <w:rFonts w:ascii="Calibri" w:eastAsia="Times New Roman" w:hAnsi="Calibri" w:cs="Calibri"/>
                <w:sz w:val="20"/>
                <w:szCs w:val="20"/>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sz w:val="20"/>
                <w:szCs w:val="20"/>
              </w:rPr>
              <w:instrText xml:space="preserve"> FORMTEXT </w:instrText>
            </w:r>
            <w:r w:rsidRPr="000C3C6F">
              <w:rPr>
                <w:rFonts w:ascii="Calibri" w:eastAsia="Times New Roman" w:hAnsi="Calibri" w:cs="Calibri"/>
                <w:sz w:val="20"/>
                <w:szCs w:val="20"/>
              </w:rPr>
            </w:r>
            <w:r w:rsidRPr="000C3C6F">
              <w:rPr>
                <w:rFonts w:ascii="Calibri" w:eastAsia="Times New Roman" w:hAnsi="Calibri" w:cs="Calibri"/>
                <w:sz w:val="20"/>
                <w:szCs w:val="20"/>
              </w:rPr>
              <w:fldChar w:fldCharType="separate"/>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Times New Roman" w:hAnsi="Calibri" w:cs="Calibri"/>
                <w:sz w:val="20"/>
                <w:szCs w:val="20"/>
              </w:rPr>
              <w:fldChar w:fldCharType="end"/>
            </w:r>
          </w:p>
        </w:tc>
        <w:tc>
          <w:tcPr>
            <w:tcW w:w="3420" w:type="dxa"/>
            <w:tcBorders>
              <w:top w:val="single" w:sz="4" w:space="0" w:color="FFFFFF"/>
              <w:left w:val="single" w:sz="4" w:space="0" w:color="FFFFFF"/>
              <w:bottom w:val="single" w:sz="4" w:space="0" w:color="FFFFFF"/>
              <w:right w:val="single" w:sz="4" w:space="0" w:color="FFFFFF"/>
            </w:tcBorders>
            <w:shd w:val="clear" w:color="auto" w:fill="F2F2F2"/>
          </w:tcPr>
          <w:p w14:paraId="65AA1EFC" w14:textId="77777777" w:rsidR="000C3C6F" w:rsidRPr="000C3C6F" w:rsidRDefault="000C3C6F" w:rsidP="000C3C6F">
            <w:pPr>
              <w:spacing w:after="0" w:line="240" w:lineRule="auto"/>
              <w:contextualSpacing/>
              <w:jc w:val="right"/>
              <w:rPr>
                <w:rFonts w:ascii="Calibri" w:eastAsia="Times New Roman" w:hAnsi="Calibri" w:cs="Calibri"/>
                <w:sz w:val="20"/>
                <w:szCs w:val="20"/>
              </w:rPr>
            </w:pPr>
            <w:r w:rsidRPr="000C3C6F">
              <w:rPr>
                <w:rFonts w:ascii="Calibri" w:eastAsia="Times New Roman" w:hAnsi="Calibri" w:cs="Calibri"/>
                <w:sz w:val="20"/>
                <w:szCs w:val="20"/>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sz w:val="20"/>
                <w:szCs w:val="20"/>
              </w:rPr>
              <w:instrText xml:space="preserve"> FORMTEXT </w:instrText>
            </w:r>
            <w:r w:rsidRPr="000C3C6F">
              <w:rPr>
                <w:rFonts w:ascii="Calibri" w:eastAsia="Times New Roman" w:hAnsi="Calibri" w:cs="Calibri"/>
                <w:sz w:val="20"/>
                <w:szCs w:val="20"/>
              </w:rPr>
            </w:r>
            <w:r w:rsidRPr="000C3C6F">
              <w:rPr>
                <w:rFonts w:ascii="Calibri" w:eastAsia="Times New Roman" w:hAnsi="Calibri" w:cs="Calibri"/>
                <w:sz w:val="20"/>
                <w:szCs w:val="20"/>
              </w:rPr>
              <w:fldChar w:fldCharType="separate"/>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Times New Roman" w:hAnsi="Calibri" w:cs="Calibri"/>
                <w:sz w:val="20"/>
                <w:szCs w:val="20"/>
              </w:rPr>
              <w:fldChar w:fldCharType="end"/>
            </w:r>
          </w:p>
        </w:tc>
      </w:tr>
      <w:tr w:rsidR="000C3C6F" w:rsidRPr="000C3C6F" w14:paraId="1B6A6846" w14:textId="77777777" w:rsidTr="000C3C6F">
        <w:trPr>
          <w:trHeight w:val="20"/>
        </w:trPr>
        <w:tc>
          <w:tcPr>
            <w:tcW w:w="3600" w:type="dxa"/>
            <w:tcBorders>
              <w:top w:val="single" w:sz="4" w:space="0" w:color="FFFFFF"/>
              <w:left w:val="single" w:sz="4" w:space="0" w:color="FFFFFF"/>
              <w:bottom w:val="single" w:sz="4" w:space="0" w:color="FFFFFF"/>
              <w:right w:val="single" w:sz="4" w:space="0" w:color="FFFFFF"/>
            </w:tcBorders>
            <w:shd w:val="clear" w:color="auto" w:fill="F2F2F2"/>
          </w:tcPr>
          <w:p w14:paraId="4DFCCDB2" w14:textId="77777777" w:rsidR="000C3C6F" w:rsidRPr="000C3C6F" w:rsidRDefault="000C3C6F" w:rsidP="000C3C6F">
            <w:pPr>
              <w:spacing w:after="0" w:line="240" w:lineRule="auto"/>
              <w:contextualSpacing/>
              <w:rPr>
                <w:rFonts w:ascii="Calibri" w:eastAsia="Times New Roman" w:hAnsi="Calibri" w:cs="Calibri"/>
                <w:sz w:val="20"/>
                <w:szCs w:val="20"/>
              </w:rPr>
            </w:pPr>
            <w:r w:rsidRPr="000C3C6F">
              <w:rPr>
                <w:rFonts w:ascii="Calibri" w:eastAsia="Times New Roman" w:hAnsi="Calibri" w:cs="Calibri"/>
                <w:sz w:val="20"/>
                <w:szCs w:val="20"/>
              </w:rPr>
              <w:t>Short-Term Rent, Mortgage, Utility</w:t>
            </w:r>
          </w:p>
        </w:tc>
        <w:tc>
          <w:tcPr>
            <w:tcW w:w="270" w:type="dxa"/>
            <w:tcBorders>
              <w:top w:val="single" w:sz="4" w:space="0" w:color="FFFFFF"/>
              <w:left w:val="single" w:sz="4" w:space="0" w:color="FFFFFF"/>
              <w:bottom w:val="single" w:sz="4" w:space="0" w:color="FFFFFF"/>
              <w:right w:val="nil"/>
            </w:tcBorders>
            <w:shd w:val="clear" w:color="auto" w:fill="DEEAF6"/>
          </w:tcPr>
          <w:p w14:paraId="766BFC47" w14:textId="77777777" w:rsidR="000C3C6F" w:rsidRPr="000C3C6F" w:rsidRDefault="000C3C6F" w:rsidP="000C3C6F">
            <w:pPr>
              <w:spacing w:after="0" w:line="240" w:lineRule="auto"/>
              <w:contextualSpacing/>
              <w:rPr>
                <w:rFonts w:ascii="Calibri" w:eastAsia="Times New Roman" w:hAnsi="Calibri" w:cs="Calibri"/>
                <w:sz w:val="20"/>
                <w:szCs w:val="20"/>
              </w:rPr>
            </w:pPr>
            <w:r w:rsidRPr="000C3C6F">
              <w:rPr>
                <w:rFonts w:ascii="Calibri" w:eastAsia="Times New Roman" w:hAnsi="Calibri" w:cs="Calibri"/>
                <w:sz w:val="20"/>
                <w:szCs w:val="20"/>
              </w:rPr>
              <w:t>$</w:t>
            </w:r>
          </w:p>
        </w:tc>
        <w:tc>
          <w:tcPr>
            <w:tcW w:w="3421" w:type="dxa"/>
            <w:gridSpan w:val="2"/>
            <w:tcBorders>
              <w:top w:val="single" w:sz="4" w:space="0" w:color="FFFFFF"/>
              <w:left w:val="nil"/>
              <w:bottom w:val="single" w:sz="4" w:space="0" w:color="FFFFFF"/>
              <w:right w:val="single" w:sz="4" w:space="0" w:color="FFFFFF"/>
            </w:tcBorders>
            <w:shd w:val="clear" w:color="auto" w:fill="DEEAF6"/>
          </w:tcPr>
          <w:p w14:paraId="27BA2F19" w14:textId="77777777" w:rsidR="000C3C6F" w:rsidRPr="000C3C6F" w:rsidRDefault="000C3C6F" w:rsidP="000C3C6F">
            <w:pPr>
              <w:spacing w:after="0" w:line="240" w:lineRule="auto"/>
              <w:contextualSpacing/>
              <w:jc w:val="right"/>
              <w:rPr>
                <w:rFonts w:ascii="Calibri" w:eastAsia="Times New Roman" w:hAnsi="Calibri" w:cs="Calibri"/>
                <w:sz w:val="20"/>
                <w:szCs w:val="20"/>
              </w:rPr>
            </w:pPr>
            <w:r w:rsidRPr="000C3C6F">
              <w:rPr>
                <w:rFonts w:ascii="Calibri" w:eastAsia="Times New Roman" w:hAnsi="Calibri" w:cs="Calibri"/>
                <w:sz w:val="20"/>
                <w:szCs w:val="20"/>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sz w:val="20"/>
                <w:szCs w:val="20"/>
              </w:rPr>
              <w:instrText xml:space="preserve"> FORMTEXT </w:instrText>
            </w:r>
            <w:r w:rsidRPr="000C3C6F">
              <w:rPr>
                <w:rFonts w:ascii="Calibri" w:eastAsia="Times New Roman" w:hAnsi="Calibri" w:cs="Calibri"/>
                <w:sz w:val="20"/>
                <w:szCs w:val="20"/>
              </w:rPr>
            </w:r>
            <w:r w:rsidRPr="000C3C6F">
              <w:rPr>
                <w:rFonts w:ascii="Calibri" w:eastAsia="Times New Roman" w:hAnsi="Calibri" w:cs="Calibri"/>
                <w:sz w:val="20"/>
                <w:szCs w:val="20"/>
              </w:rPr>
              <w:fldChar w:fldCharType="separate"/>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Times New Roman" w:hAnsi="Calibri" w:cs="Calibri"/>
                <w:sz w:val="20"/>
                <w:szCs w:val="20"/>
              </w:rPr>
              <w:fldChar w:fldCharType="end"/>
            </w:r>
          </w:p>
        </w:tc>
        <w:tc>
          <w:tcPr>
            <w:tcW w:w="3420" w:type="dxa"/>
            <w:tcBorders>
              <w:top w:val="single" w:sz="4" w:space="0" w:color="FFFFFF"/>
              <w:left w:val="single" w:sz="4" w:space="0" w:color="FFFFFF"/>
              <w:bottom w:val="single" w:sz="4" w:space="0" w:color="FFFFFF"/>
              <w:right w:val="single" w:sz="4" w:space="0" w:color="FFFFFF"/>
            </w:tcBorders>
            <w:shd w:val="clear" w:color="auto" w:fill="F2F2F2"/>
          </w:tcPr>
          <w:p w14:paraId="2CAD9CF0" w14:textId="77777777" w:rsidR="000C3C6F" w:rsidRPr="000C3C6F" w:rsidRDefault="000C3C6F" w:rsidP="000C3C6F">
            <w:pPr>
              <w:spacing w:after="0" w:line="240" w:lineRule="auto"/>
              <w:contextualSpacing/>
              <w:jc w:val="right"/>
              <w:rPr>
                <w:rFonts w:ascii="Calibri" w:eastAsia="Times New Roman" w:hAnsi="Calibri" w:cs="Calibri"/>
                <w:sz w:val="20"/>
                <w:szCs w:val="20"/>
              </w:rPr>
            </w:pPr>
            <w:r w:rsidRPr="000C3C6F">
              <w:rPr>
                <w:rFonts w:ascii="Calibri" w:eastAsia="Times New Roman" w:hAnsi="Calibri" w:cs="Calibri"/>
                <w:sz w:val="20"/>
                <w:szCs w:val="20"/>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sz w:val="20"/>
                <w:szCs w:val="20"/>
              </w:rPr>
              <w:instrText xml:space="preserve"> FORMTEXT </w:instrText>
            </w:r>
            <w:r w:rsidRPr="000C3C6F">
              <w:rPr>
                <w:rFonts w:ascii="Calibri" w:eastAsia="Times New Roman" w:hAnsi="Calibri" w:cs="Calibri"/>
                <w:sz w:val="20"/>
                <w:szCs w:val="20"/>
              </w:rPr>
            </w:r>
            <w:r w:rsidRPr="000C3C6F">
              <w:rPr>
                <w:rFonts w:ascii="Calibri" w:eastAsia="Times New Roman" w:hAnsi="Calibri" w:cs="Calibri"/>
                <w:sz w:val="20"/>
                <w:szCs w:val="20"/>
              </w:rPr>
              <w:fldChar w:fldCharType="separate"/>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Times New Roman" w:hAnsi="Calibri" w:cs="Calibri"/>
                <w:sz w:val="20"/>
                <w:szCs w:val="20"/>
              </w:rPr>
              <w:fldChar w:fldCharType="end"/>
            </w:r>
          </w:p>
        </w:tc>
      </w:tr>
      <w:tr w:rsidR="000C3C6F" w:rsidRPr="000C3C6F" w14:paraId="5DDE7366" w14:textId="77777777" w:rsidTr="000C3C6F">
        <w:trPr>
          <w:trHeight w:val="20"/>
        </w:trPr>
        <w:tc>
          <w:tcPr>
            <w:tcW w:w="3600" w:type="dxa"/>
            <w:tcBorders>
              <w:top w:val="single" w:sz="4" w:space="0" w:color="FFFFFF"/>
              <w:left w:val="single" w:sz="4" w:space="0" w:color="FFFFFF"/>
              <w:bottom w:val="single" w:sz="4" w:space="0" w:color="FFFFFF"/>
              <w:right w:val="single" w:sz="4" w:space="0" w:color="FFFFFF"/>
            </w:tcBorders>
            <w:shd w:val="clear" w:color="auto" w:fill="F2F2F2"/>
          </w:tcPr>
          <w:p w14:paraId="5C2F0B09" w14:textId="77777777" w:rsidR="000C3C6F" w:rsidRPr="000C3C6F" w:rsidRDefault="000C3C6F" w:rsidP="000C3C6F">
            <w:pPr>
              <w:spacing w:after="0" w:line="240" w:lineRule="auto"/>
              <w:contextualSpacing/>
              <w:rPr>
                <w:rFonts w:ascii="Calibri" w:eastAsia="Times New Roman" w:hAnsi="Calibri" w:cs="Calibri"/>
                <w:sz w:val="20"/>
                <w:szCs w:val="20"/>
              </w:rPr>
            </w:pPr>
            <w:r w:rsidRPr="000C3C6F">
              <w:rPr>
                <w:rFonts w:ascii="Calibri" w:eastAsia="Times New Roman" w:hAnsi="Calibri" w:cs="Calibri"/>
                <w:sz w:val="20"/>
                <w:szCs w:val="20"/>
              </w:rPr>
              <w:t>Facility-Based Housing Assistance</w:t>
            </w:r>
          </w:p>
        </w:tc>
        <w:tc>
          <w:tcPr>
            <w:tcW w:w="270" w:type="dxa"/>
            <w:tcBorders>
              <w:top w:val="single" w:sz="4" w:space="0" w:color="FFFFFF"/>
              <w:left w:val="single" w:sz="4" w:space="0" w:color="FFFFFF"/>
              <w:bottom w:val="single" w:sz="4" w:space="0" w:color="FFFFFF"/>
              <w:right w:val="nil"/>
            </w:tcBorders>
            <w:shd w:val="clear" w:color="auto" w:fill="DEEAF6"/>
          </w:tcPr>
          <w:p w14:paraId="13C74EA9" w14:textId="77777777" w:rsidR="000C3C6F" w:rsidRPr="000C3C6F" w:rsidRDefault="000C3C6F" w:rsidP="000C3C6F">
            <w:pPr>
              <w:spacing w:after="0" w:line="240" w:lineRule="auto"/>
              <w:contextualSpacing/>
              <w:rPr>
                <w:rFonts w:ascii="Calibri" w:eastAsia="Times New Roman" w:hAnsi="Calibri" w:cs="Calibri"/>
                <w:sz w:val="20"/>
                <w:szCs w:val="20"/>
              </w:rPr>
            </w:pPr>
            <w:r w:rsidRPr="000C3C6F">
              <w:rPr>
                <w:rFonts w:ascii="Calibri" w:eastAsia="Times New Roman" w:hAnsi="Calibri" w:cs="Calibri"/>
                <w:sz w:val="20"/>
                <w:szCs w:val="20"/>
              </w:rPr>
              <w:t>$</w:t>
            </w:r>
          </w:p>
        </w:tc>
        <w:tc>
          <w:tcPr>
            <w:tcW w:w="3421" w:type="dxa"/>
            <w:gridSpan w:val="2"/>
            <w:tcBorders>
              <w:top w:val="single" w:sz="4" w:space="0" w:color="FFFFFF"/>
              <w:left w:val="nil"/>
              <w:bottom w:val="single" w:sz="4" w:space="0" w:color="FFFFFF"/>
              <w:right w:val="single" w:sz="4" w:space="0" w:color="FFFFFF"/>
            </w:tcBorders>
            <w:shd w:val="clear" w:color="auto" w:fill="DEEAF6"/>
          </w:tcPr>
          <w:p w14:paraId="60215C92" w14:textId="77777777" w:rsidR="000C3C6F" w:rsidRPr="000C3C6F" w:rsidRDefault="000C3C6F" w:rsidP="000C3C6F">
            <w:pPr>
              <w:spacing w:after="0" w:line="240" w:lineRule="auto"/>
              <w:contextualSpacing/>
              <w:jc w:val="right"/>
              <w:rPr>
                <w:rFonts w:ascii="Calibri" w:eastAsia="Times New Roman" w:hAnsi="Calibri" w:cs="Calibri"/>
                <w:sz w:val="20"/>
                <w:szCs w:val="20"/>
              </w:rPr>
            </w:pPr>
            <w:r w:rsidRPr="000C3C6F">
              <w:rPr>
                <w:rFonts w:ascii="Calibri" w:eastAsia="Times New Roman" w:hAnsi="Calibri" w:cs="Calibri"/>
                <w:sz w:val="20"/>
                <w:szCs w:val="20"/>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sz w:val="20"/>
                <w:szCs w:val="20"/>
              </w:rPr>
              <w:instrText xml:space="preserve"> FORMTEXT </w:instrText>
            </w:r>
            <w:r w:rsidRPr="000C3C6F">
              <w:rPr>
                <w:rFonts w:ascii="Calibri" w:eastAsia="Times New Roman" w:hAnsi="Calibri" w:cs="Calibri"/>
                <w:sz w:val="20"/>
                <w:szCs w:val="20"/>
              </w:rPr>
            </w:r>
            <w:r w:rsidRPr="000C3C6F">
              <w:rPr>
                <w:rFonts w:ascii="Calibri" w:eastAsia="Times New Roman" w:hAnsi="Calibri" w:cs="Calibri"/>
                <w:sz w:val="20"/>
                <w:szCs w:val="20"/>
              </w:rPr>
              <w:fldChar w:fldCharType="separate"/>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Times New Roman" w:hAnsi="Calibri" w:cs="Calibri"/>
                <w:sz w:val="20"/>
                <w:szCs w:val="20"/>
              </w:rPr>
              <w:fldChar w:fldCharType="end"/>
            </w:r>
          </w:p>
        </w:tc>
        <w:tc>
          <w:tcPr>
            <w:tcW w:w="3420" w:type="dxa"/>
            <w:tcBorders>
              <w:top w:val="single" w:sz="4" w:space="0" w:color="FFFFFF"/>
              <w:left w:val="single" w:sz="4" w:space="0" w:color="FFFFFF"/>
              <w:bottom w:val="single" w:sz="4" w:space="0" w:color="FFFFFF"/>
              <w:right w:val="single" w:sz="4" w:space="0" w:color="FFFFFF"/>
            </w:tcBorders>
            <w:shd w:val="clear" w:color="auto" w:fill="F2F2F2"/>
          </w:tcPr>
          <w:p w14:paraId="7AE92933" w14:textId="77777777" w:rsidR="000C3C6F" w:rsidRPr="000C3C6F" w:rsidRDefault="000C3C6F" w:rsidP="000C3C6F">
            <w:pPr>
              <w:spacing w:after="0" w:line="240" w:lineRule="auto"/>
              <w:contextualSpacing/>
              <w:jc w:val="right"/>
              <w:rPr>
                <w:rFonts w:ascii="Calibri" w:eastAsia="Times New Roman" w:hAnsi="Calibri" w:cs="Calibri"/>
                <w:sz w:val="20"/>
                <w:szCs w:val="20"/>
              </w:rPr>
            </w:pPr>
            <w:r w:rsidRPr="000C3C6F">
              <w:rPr>
                <w:rFonts w:ascii="Calibri" w:eastAsia="Times New Roman" w:hAnsi="Calibri" w:cs="Calibri"/>
                <w:sz w:val="20"/>
                <w:szCs w:val="20"/>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sz w:val="20"/>
                <w:szCs w:val="20"/>
              </w:rPr>
              <w:instrText xml:space="preserve"> FORMTEXT </w:instrText>
            </w:r>
            <w:r w:rsidRPr="000C3C6F">
              <w:rPr>
                <w:rFonts w:ascii="Calibri" w:eastAsia="Times New Roman" w:hAnsi="Calibri" w:cs="Calibri"/>
                <w:sz w:val="20"/>
                <w:szCs w:val="20"/>
              </w:rPr>
            </w:r>
            <w:r w:rsidRPr="000C3C6F">
              <w:rPr>
                <w:rFonts w:ascii="Calibri" w:eastAsia="Times New Roman" w:hAnsi="Calibri" w:cs="Calibri"/>
                <w:sz w:val="20"/>
                <w:szCs w:val="20"/>
              </w:rPr>
              <w:fldChar w:fldCharType="separate"/>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Times New Roman" w:hAnsi="Calibri" w:cs="Calibri"/>
                <w:sz w:val="20"/>
                <w:szCs w:val="20"/>
              </w:rPr>
              <w:fldChar w:fldCharType="end"/>
            </w:r>
          </w:p>
        </w:tc>
      </w:tr>
      <w:tr w:rsidR="000C3C6F" w:rsidRPr="000C3C6F" w14:paraId="0937C061" w14:textId="77777777" w:rsidTr="000C3C6F">
        <w:trPr>
          <w:trHeight w:val="20"/>
        </w:trPr>
        <w:tc>
          <w:tcPr>
            <w:tcW w:w="3600" w:type="dxa"/>
            <w:tcBorders>
              <w:top w:val="single" w:sz="4" w:space="0" w:color="FFFFFF"/>
              <w:left w:val="single" w:sz="4" w:space="0" w:color="FFFFFF"/>
              <w:bottom w:val="single" w:sz="4" w:space="0" w:color="FFFFFF"/>
              <w:right w:val="single" w:sz="4" w:space="0" w:color="FFFFFF"/>
            </w:tcBorders>
            <w:shd w:val="clear" w:color="auto" w:fill="F2F2F2"/>
          </w:tcPr>
          <w:p w14:paraId="39FE0338" w14:textId="77777777" w:rsidR="000C3C6F" w:rsidRPr="000C3C6F" w:rsidRDefault="000C3C6F" w:rsidP="000C3C6F">
            <w:pPr>
              <w:spacing w:after="0" w:line="240" w:lineRule="auto"/>
              <w:contextualSpacing/>
              <w:rPr>
                <w:rFonts w:ascii="Calibri" w:eastAsia="Times New Roman" w:hAnsi="Calibri" w:cs="Calibri"/>
                <w:sz w:val="20"/>
                <w:szCs w:val="20"/>
              </w:rPr>
            </w:pPr>
            <w:r w:rsidRPr="000C3C6F">
              <w:rPr>
                <w:rFonts w:ascii="Calibri" w:eastAsia="Times New Roman" w:hAnsi="Calibri" w:cs="Calibri"/>
                <w:sz w:val="20"/>
                <w:szCs w:val="20"/>
              </w:rPr>
              <w:t>Permanent Housing Placement</w:t>
            </w:r>
          </w:p>
        </w:tc>
        <w:tc>
          <w:tcPr>
            <w:tcW w:w="270" w:type="dxa"/>
            <w:tcBorders>
              <w:top w:val="single" w:sz="4" w:space="0" w:color="FFFFFF"/>
              <w:left w:val="single" w:sz="4" w:space="0" w:color="FFFFFF"/>
              <w:bottom w:val="single" w:sz="4" w:space="0" w:color="FFFFFF"/>
              <w:right w:val="nil"/>
            </w:tcBorders>
            <w:shd w:val="clear" w:color="auto" w:fill="DEEAF6"/>
          </w:tcPr>
          <w:p w14:paraId="60CE5C26" w14:textId="77777777" w:rsidR="000C3C6F" w:rsidRPr="000C3C6F" w:rsidRDefault="000C3C6F" w:rsidP="000C3C6F">
            <w:pPr>
              <w:spacing w:after="0" w:line="240" w:lineRule="auto"/>
              <w:contextualSpacing/>
              <w:rPr>
                <w:rFonts w:ascii="Calibri" w:eastAsia="Times New Roman" w:hAnsi="Calibri" w:cs="Calibri"/>
                <w:sz w:val="20"/>
                <w:szCs w:val="20"/>
              </w:rPr>
            </w:pPr>
            <w:r w:rsidRPr="000C3C6F">
              <w:rPr>
                <w:rFonts w:ascii="Calibri" w:eastAsia="Times New Roman" w:hAnsi="Calibri" w:cs="Calibri"/>
                <w:sz w:val="20"/>
                <w:szCs w:val="20"/>
              </w:rPr>
              <w:t>$</w:t>
            </w:r>
          </w:p>
        </w:tc>
        <w:tc>
          <w:tcPr>
            <w:tcW w:w="3421" w:type="dxa"/>
            <w:gridSpan w:val="2"/>
            <w:tcBorders>
              <w:top w:val="single" w:sz="4" w:space="0" w:color="FFFFFF"/>
              <w:left w:val="nil"/>
              <w:bottom w:val="single" w:sz="4" w:space="0" w:color="FFFFFF"/>
              <w:right w:val="single" w:sz="4" w:space="0" w:color="FFFFFF"/>
            </w:tcBorders>
            <w:shd w:val="clear" w:color="auto" w:fill="DEEAF6"/>
          </w:tcPr>
          <w:p w14:paraId="67B211B7" w14:textId="77777777" w:rsidR="000C3C6F" w:rsidRPr="000C3C6F" w:rsidRDefault="000C3C6F" w:rsidP="000C3C6F">
            <w:pPr>
              <w:spacing w:after="0" w:line="240" w:lineRule="auto"/>
              <w:contextualSpacing/>
              <w:jc w:val="right"/>
              <w:rPr>
                <w:rFonts w:ascii="Calibri" w:eastAsia="Times New Roman" w:hAnsi="Calibri" w:cs="Calibri"/>
                <w:sz w:val="20"/>
                <w:szCs w:val="20"/>
              </w:rPr>
            </w:pPr>
            <w:r w:rsidRPr="000C3C6F">
              <w:rPr>
                <w:rFonts w:ascii="Calibri" w:eastAsia="Times New Roman" w:hAnsi="Calibri" w:cs="Calibri"/>
                <w:sz w:val="20"/>
                <w:szCs w:val="20"/>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sz w:val="20"/>
                <w:szCs w:val="20"/>
              </w:rPr>
              <w:instrText xml:space="preserve"> FORMTEXT </w:instrText>
            </w:r>
            <w:r w:rsidRPr="000C3C6F">
              <w:rPr>
                <w:rFonts w:ascii="Calibri" w:eastAsia="Times New Roman" w:hAnsi="Calibri" w:cs="Calibri"/>
                <w:sz w:val="20"/>
                <w:szCs w:val="20"/>
              </w:rPr>
            </w:r>
            <w:r w:rsidRPr="000C3C6F">
              <w:rPr>
                <w:rFonts w:ascii="Calibri" w:eastAsia="Times New Roman" w:hAnsi="Calibri" w:cs="Calibri"/>
                <w:sz w:val="20"/>
                <w:szCs w:val="20"/>
              </w:rPr>
              <w:fldChar w:fldCharType="separate"/>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Times New Roman" w:hAnsi="Calibri" w:cs="Calibri"/>
                <w:sz w:val="20"/>
                <w:szCs w:val="20"/>
              </w:rPr>
              <w:fldChar w:fldCharType="end"/>
            </w:r>
          </w:p>
        </w:tc>
        <w:tc>
          <w:tcPr>
            <w:tcW w:w="3420" w:type="dxa"/>
            <w:tcBorders>
              <w:top w:val="single" w:sz="4" w:space="0" w:color="FFFFFF"/>
              <w:left w:val="single" w:sz="4" w:space="0" w:color="FFFFFF"/>
              <w:bottom w:val="single" w:sz="4" w:space="0" w:color="FFFFFF"/>
              <w:right w:val="single" w:sz="4" w:space="0" w:color="FFFFFF"/>
            </w:tcBorders>
            <w:shd w:val="clear" w:color="auto" w:fill="F2F2F2"/>
          </w:tcPr>
          <w:p w14:paraId="355E999C" w14:textId="77777777" w:rsidR="000C3C6F" w:rsidRPr="000C3C6F" w:rsidRDefault="000C3C6F" w:rsidP="000C3C6F">
            <w:pPr>
              <w:spacing w:after="0" w:line="240" w:lineRule="auto"/>
              <w:contextualSpacing/>
              <w:jc w:val="right"/>
              <w:rPr>
                <w:rFonts w:ascii="Calibri" w:eastAsia="Times New Roman" w:hAnsi="Calibri" w:cs="Calibri"/>
                <w:sz w:val="20"/>
                <w:szCs w:val="20"/>
              </w:rPr>
            </w:pPr>
            <w:r w:rsidRPr="000C3C6F">
              <w:rPr>
                <w:rFonts w:ascii="Calibri" w:eastAsia="Times New Roman" w:hAnsi="Calibri" w:cs="Calibri"/>
                <w:sz w:val="20"/>
                <w:szCs w:val="20"/>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sz w:val="20"/>
                <w:szCs w:val="20"/>
              </w:rPr>
              <w:instrText xml:space="preserve"> FORMTEXT </w:instrText>
            </w:r>
            <w:r w:rsidRPr="000C3C6F">
              <w:rPr>
                <w:rFonts w:ascii="Calibri" w:eastAsia="Times New Roman" w:hAnsi="Calibri" w:cs="Calibri"/>
                <w:sz w:val="20"/>
                <w:szCs w:val="20"/>
              </w:rPr>
            </w:r>
            <w:r w:rsidRPr="000C3C6F">
              <w:rPr>
                <w:rFonts w:ascii="Calibri" w:eastAsia="Times New Roman" w:hAnsi="Calibri" w:cs="Calibri"/>
                <w:sz w:val="20"/>
                <w:szCs w:val="20"/>
              </w:rPr>
              <w:fldChar w:fldCharType="separate"/>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Times New Roman" w:hAnsi="Calibri" w:cs="Calibri"/>
                <w:sz w:val="20"/>
                <w:szCs w:val="20"/>
              </w:rPr>
              <w:fldChar w:fldCharType="end"/>
            </w:r>
          </w:p>
        </w:tc>
      </w:tr>
      <w:tr w:rsidR="000C3C6F" w:rsidRPr="000C3C6F" w14:paraId="0FC47A2F" w14:textId="77777777" w:rsidTr="000C3C6F">
        <w:trPr>
          <w:trHeight w:val="20"/>
        </w:trPr>
        <w:tc>
          <w:tcPr>
            <w:tcW w:w="3600" w:type="dxa"/>
            <w:tcBorders>
              <w:top w:val="single" w:sz="4" w:space="0" w:color="FFFFFF"/>
              <w:left w:val="single" w:sz="4" w:space="0" w:color="FFFFFF"/>
              <w:bottom w:val="single" w:sz="4" w:space="0" w:color="FFFFFF"/>
              <w:right w:val="single" w:sz="4" w:space="0" w:color="FFFFFF"/>
            </w:tcBorders>
            <w:shd w:val="clear" w:color="auto" w:fill="F2F2F2"/>
          </w:tcPr>
          <w:p w14:paraId="3ADC0063" w14:textId="77777777" w:rsidR="000C3C6F" w:rsidRPr="000C3C6F" w:rsidRDefault="000C3C6F" w:rsidP="000C3C6F">
            <w:pPr>
              <w:spacing w:after="0" w:line="240" w:lineRule="auto"/>
              <w:contextualSpacing/>
              <w:rPr>
                <w:rFonts w:ascii="Calibri" w:eastAsia="Times New Roman" w:hAnsi="Calibri" w:cs="Calibri"/>
                <w:sz w:val="20"/>
                <w:szCs w:val="20"/>
              </w:rPr>
            </w:pPr>
            <w:r w:rsidRPr="000C3C6F">
              <w:rPr>
                <w:rFonts w:ascii="Calibri" w:eastAsia="Times New Roman" w:hAnsi="Calibri" w:cs="Calibri"/>
                <w:sz w:val="20"/>
                <w:szCs w:val="20"/>
              </w:rPr>
              <w:t>Housing Case Management</w:t>
            </w:r>
          </w:p>
        </w:tc>
        <w:tc>
          <w:tcPr>
            <w:tcW w:w="270" w:type="dxa"/>
            <w:tcBorders>
              <w:top w:val="single" w:sz="4" w:space="0" w:color="FFFFFF"/>
              <w:left w:val="single" w:sz="4" w:space="0" w:color="FFFFFF"/>
              <w:bottom w:val="single" w:sz="4" w:space="0" w:color="FFFFFF"/>
              <w:right w:val="nil"/>
            </w:tcBorders>
            <w:shd w:val="clear" w:color="auto" w:fill="DEEAF6"/>
          </w:tcPr>
          <w:p w14:paraId="2507A3D1" w14:textId="77777777" w:rsidR="000C3C6F" w:rsidRPr="000C3C6F" w:rsidRDefault="000C3C6F" w:rsidP="000C3C6F">
            <w:pPr>
              <w:spacing w:after="0" w:line="240" w:lineRule="auto"/>
              <w:contextualSpacing/>
              <w:rPr>
                <w:rFonts w:ascii="Calibri" w:eastAsia="Times New Roman" w:hAnsi="Calibri" w:cs="Calibri"/>
                <w:sz w:val="20"/>
                <w:szCs w:val="20"/>
              </w:rPr>
            </w:pPr>
            <w:r w:rsidRPr="000C3C6F">
              <w:rPr>
                <w:rFonts w:ascii="Calibri" w:eastAsia="Times New Roman" w:hAnsi="Calibri" w:cs="Calibri"/>
                <w:sz w:val="20"/>
                <w:szCs w:val="20"/>
              </w:rPr>
              <w:t>$</w:t>
            </w:r>
          </w:p>
        </w:tc>
        <w:tc>
          <w:tcPr>
            <w:tcW w:w="3421" w:type="dxa"/>
            <w:gridSpan w:val="2"/>
            <w:tcBorders>
              <w:top w:val="single" w:sz="4" w:space="0" w:color="FFFFFF"/>
              <w:left w:val="nil"/>
              <w:bottom w:val="single" w:sz="4" w:space="0" w:color="FFFFFF"/>
              <w:right w:val="single" w:sz="4" w:space="0" w:color="FFFFFF"/>
            </w:tcBorders>
            <w:shd w:val="clear" w:color="auto" w:fill="DEEAF6"/>
          </w:tcPr>
          <w:p w14:paraId="31245833" w14:textId="77777777" w:rsidR="000C3C6F" w:rsidRPr="000C3C6F" w:rsidRDefault="000C3C6F" w:rsidP="000C3C6F">
            <w:pPr>
              <w:spacing w:after="0" w:line="240" w:lineRule="auto"/>
              <w:contextualSpacing/>
              <w:jc w:val="right"/>
              <w:rPr>
                <w:rFonts w:ascii="Calibri" w:eastAsia="Times New Roman" w:hAnsi="Calibri" w:cs="Calibri"/>
                <w:sz w:val="20"/>
                <w:szCs w:val="20"/>
              </w:rPr>
            </w:pPr>
            <w:r w:rsidRPr="000C3C6F">
              <w:rPr>
                <w:rFonts w:ascii="Calibri" w:eastAsia="Times New Roman" w:hAnsi="Calibri" w:cs="Calibri"/>
                <w:sz w:val="20"/>
                <w:szCs w:val="20"/>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sz w:val="20"/>
                <w:szCs w:val="20"/>
              </w:rPr>
              <w:instrText xml:space="preserve"> FORMTEXT </w:instrText>
            </w:r>
            <w:r w:rsidRPr="000C3C6F">
              <w:rPr>
                <w:rFonts w:ascii="Calibri" w:eastAsia="Times New Roman" w:hAnsi="Calibri" w:cs="Calibri"/>
                <w:sz w:val="20"/>
                <w:szCs w:val="20"/>
              </w:rPr>
            </w:r>
            <w:r w:rsidRPr="000C3C6F">
              <w:rPr>
                <w:rFonts w:ascii="Calibri" w:eastAsia="Times New Roman" w:hAnsi="Calibri" w:cs="Calibri"/>
                <w:sz w:val="20"/>
                <w:szCs w:val="20"/>
              </w:rPr>
              <w:fldChar w:fldCharType="separate"/>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Times New Roman" w:hAnsi="Calibri" w:cs="Calibri"/>
                <w:sz w:val="20"/>
                <w:szCs w:val="20"/>
              </w:rPr>
              <w:fldChar w:fldCharType="end"/>
            </w:r>
          </w:p>
        </w:tc>
        <w:tc>
          <w:tcPr>
            <w:tcW w:w="3420" w:type="dxa"/>
            <w:tcBorders>
              <w:top w:val="single" w:sz="4" w:space="0" w:color="FFFFFF"/>
              <w:left w:val="single" w:sz="4" w:space="0" w:color="FFFFFF"/>
              <w:bottom w:val="single" w:sz="4" w:space="0" w:color="FFFFFF"/>
              <w:right w:val="single" w:sz="4" w:space="0" w:color="FFFFFF"/>
            </w:tcBorders>
            <w:shd w:val="clear" w:color="auto" w:fill="F2F2F2"/>
          </w:tcPr>
          <w:p w14:paraId="5A587D1C" w14:textId="77777777" w:rsidR="000C3C6F" w:rsidRPr="000C3C6F" w:rsidRDefault="000C3C6F" w:rsidP="000C3C6F">
            <w:pPr>
              <w:spacing w:after="0" w:line="240" w:lineRule="auto"/>
              <w:contextualSpacing/>
              <w:jc w:val="right"/>
              <w:rPr>
                <w:rFonts w:ascii="Calibri" w:eastAsia="Times New Roman" w:hAnsi="Calibri" w:cs="Calibri"/>
                <w:sz w:val="20"/>
                <w:szCs w:val="20"/>
              </w:rPr>
            </w:pPr>
            <w:r w:rsidRPr="000C3C6F">
              <w:rPr>
                <w:rFonts w:ascii="Calibri" w:eastAsia="Times New Roman" w:hAnsi="Calibri" w:cs="Calibri"/>
                <w:sz w:val="20"/>
                <w:szCs w:val="20"/>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sz w:val="20"/>
                <w:szCs w:val="20"/>
              </w:rPr>
              <w:instrText xml:space="preserve"> FORMTEXT </w:instrText>
            </w:r>
            <w:r w:rsidRPr="000C3C6F">
              <w:rPr>
                <w:rFonts w:ascii="Calibri" w:eastAsia="Times New Roman" w:hAnsi="Calibri" w:cs="Calibri"/>
                <w:sz w:val="20"/>
                <w:szCs w:val="20"/>
              </w:rPr>
            </w:r>
            <w:r w:rsidRPr="000C3C6F">
              <w:rPr>
                <w:rFonts w:ascii="Calibri" w:eastAsia="Times New Roman" w:hAnsi="Calibri" w:cs="Calibri"/>
                <w:sz w:val="20"/>
                <w:szCs w:val="20"/>
              </w:rPr>
              <w:fldChar w:fldCharType="separate"/>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Times New Roman" w:hAnsi="Calibri" w:cs="Calibri"/>
                <w:sz w:val="20"/>
                <w:szCs w:val="20"/>
              </w:rPr>
              <w:fldChar w:fldCharType="end"/>
            </w:r>
          </w:p>
        </w:tc>
      </w:tr>
      <w:tr w:rsidR="000C3C6F" w:rsidRPr="000C3C6F" w14:paraId="6751591B" w14:textId="77777777" w:rsidTr="000C3C6F">
        <w:trPr>
          <w:trHeight w:val="20"/>
        </w:trPr>
        <w:tc>
          <w:tcPr>
            <w:tcW w:w="3600" w:type="dxa"/>
            <w:tcBorders>
              <w:top w:val="single" w:sz="4" w:space="0" w:color="FFFFFF"/>
              <w:left w:val="single" w:sz="4" w:space="0" w:color="FFFFFF"/>
              <w:bottom w:val="single" w:sz="4" w:space="0" w:color="FFFFFF"/>
              <w:right w:val="single" w:sz="4" w:space="0" w:color="FFFFFF"/>
            </w:tcBorders>
            <w:shd w:val="clear" w:color="auto" w:fill="F2F2F2"/>
          </w:tcPr>
          <w:p w14:paraId="7F901CD6" w14:textId="77777777" w:rsidR="000C3C6F" w:rsidRPr="000C3C6F" w:rsidRDefault="000C3C6F" w:rsidP="000C3C6F">
            <w:pPr>
              <w:spacing w:after="0" w:line="240" w:lineRule="auto"/>
              <w:contextualSpacing/>
              <w:rPr>
                <w:rFonts w:ascii="Calibri" w:eastAsia="Times New Roman" w:hAnsi="Calibri" w:cs="Calibri"/>
                <w:sz w:val="20"/>
                <w:szCs w:val="20"/>
              </w:rPr>
            </w:pPr>
            <w:r w:rsidRPr="000C3C6F">
              <w:rPr>
                <w:rFonts w:ascii="Calibri" w:eastAsia="Times New Roman" w:hAnsi="Calibri" w:cs="Calibri"/>
                <w:sz w:val="20"/>
                <w:szCs w:val="20"/>
              </w:rPr>
              <w:t>Housing Information Services</w:t>
            </w:r>
          </w:p>
        </w:tc>
        <w:tc>
          <w:tcPr>
            <w:tcW w:w="270" w:type="dxa"/>
            <w:tcBorders>
              <w:top w:val="single" w:sz="4" w:space="0" w:color="FFFFFF"/>
              <w:left w:val="single" w:sz="4" w:space="0" w:color="FFFFFF"/>
              <w:bottom w:val="single" w:sz="4" w:space="0" w:color="FFFFFF"/>
              <w:right w:val="nil"/>
            </w:tcBorders>
            <w:shd w:val="clear" w:color="auto" w:fill="DEEAF6"/>
          </w:tcPr>
          <w:p w14:paraId="56AF2DAF" w14:textId="77777777" w:rsidR="000C3C6F" w:rsidRPr="000C3C6F" w:rsidRDefault="000C3C6F" w:rsidP="000C3C6F">
            <w:pPr>
              <w:spacing w:after="0" w:line="240" w:lineRule="auto"/>
              <w:contextualSpacing/>
              <w:rPr>
                <w:rFonts w:ascii="Calibri" w:eastAsia="Times New Roman" w:hAnsi="Calibri" w:cs="Calibri"/>
                <w:sz w:val="20"/>
                <w:szCs w:val="20"/>
              </w:rPr>
            </w:pPr>
            <w:r w:rsidRPr="000C3C6F">
              <w:rPr>
                <w:rFonts w:ascii="Calibri" w:eastAsia="Times New Roman" w:hAnsi="Calibri" w:cs="Calibri"/>
                <w:sz w:val="20"/>
                <w:szCs w:val="20"/>
              </w:rPr>
              <w:t>$</w:t>
            </w:r>
          </w:p>
        </w:tc>
        <w:tc>
          <w:tcPr>
            <w:tcW w:w="3421" w:type="dxa"/>
            <w:gridSpan w:val="2"/>
            <w:tcBorders>
              <w:top w:val="single" w:sz="4" w:space="0" w:color="FFFFFF"/>
              <w:left w:val="nil"/>
              <w:bottom w:val="single" w:sz="4" w:space="0" w:color="FFFFFF"/>
              <w:right w:val="single" w:sz="4" w:space="0" w:color="FFFFFF"/>
            </w:tcBorders>
            <w:shd w:val="clear" w:color="auto" w:fill="DEEAF6"/>
          </w:tcPr>
          <w:p w14:paraId="19787ACD" w14:textId="77777777" w:rsidR="000C3C6F" w:rsidRPr="000C3C6F" w:rsidRDefault="000C3C6F" w:rsidP="000C3C6F">
            <w:pPr>
              <w:spacing w:after="0" w:line="240" w:lineRule="auto"/>
              <w:contextualSpacing/>
              <w:jc w:val="right"/>
              <w:rPr>
                <w:rFonts w:ascii="Calibri" w:eastAsia="Times New Roman" w:hAnsi="Calibri" w:cs="Calibri"/>
                <w:sz w:val="20"/>
                <w:szCs w:val="20"/>
              </w:rPr>
            </w:pPr>
            <w:r w:rsidRPr="000C3C6F">
              <w:rPr>
                <w:rFonts w:ascii="Calibri" w:eastAsia="Times New Roman" w:hAnsi="Calibri" w:cs="Calibri"/>
                <w:sz w:val="20"/>
                <w:szCs w:val="20"/>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sz w:val="20"/>
                <w:szCs w:val="20"/>
              </w:rPr>
              <w:instrText xml:space="preserve"> FORMTEXT </w:instrText>
            </w:r>
            <w:r w:rsidRPr="000C3C6F">
              <w:rPr>
                <w:rFonts w:ascii="Calibri" w:eastAsia="Times New Roman" w:hAnsi="Calibri" w:cs="Calibri"/>
                <w:sz w:val="20"/>
                <w:szCs w:val="20"/>
              </w:rPr>
            </w:r>
            <w:r w:rsidRPr="000C3C6F">
              <w:rPr>
                <w:rFonts w:ascii="Calibri" w:eastAsia="Times New Roman" w:hAnsi="Calibri" w:cs="Calibri"/>
                <w:sz w:val="20"/>
                <w:szCs w:val="20"/>
              </w:rPr>
              <w:fldChar w:fldCharType="separate"/>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Times New Roman" w:hAnsi="Calibri" w:cs="Calibri"/>
                <w:sz w:val="20"/>
                <w:szCs w:val="20"/>
              </w:rPr>
              <w:fldChar w:fldCharType="end"/>
            </w:r>
          </w:p>
        </w:tc>
        <w:tc>
          <w:tcPr>
            <w:tcW w:w="3420" w:type="dxa"/>
            <w:tcBorders>
              <w:top w:val="single" w:sz="4" w:space="0" w:color="FFFFFF"/>
              <w:left w:val="single" w:sz="4" w:space="0" w:color="FFFFFF"/>
              <w:bottom w:val="single" w:sz="4" w:space="0" w:color="FFFFFF"/>
              <w:right w:val="single" w:sz="4" w:space="0" w:color="FFFFFF"/>
            </w:tcBorders>
            <w:shd w:val="clear" w:color="auto" w:fill="F2F2F2"/>
          </w:tcPr>
          <w:p w14:paraId="3E0BD759" w14:textId="77777777" w:rsidR="000C3C6F" w:rsidRPr="000C3C6F" w:rsidRDefault="000C3C6F" w:rsidP="000C3C6F">
            <w:pPr>
              <w:spacing w:after="0" w:line="240" w:lineRule="auto"/>
              <w:contextualSpacing/>
              <w:jc w:val="right"/>
              <w:rPr>
                <w:rFonts w:ascii="Calibri" w:eastAsia="Times New Roman" w:hAnsi="Calibri" w:cs="Calibri"/>
                <w:sz w:val="20"/>
                <w:szCs w:val="20"/>
              </w:rPr>
            </w:pPr>
            <w:r w:rsidRPr="000C3C6F">
              <w:rPr>
                <w:rFonts w:ascii="Calibri" w:eastAsia="Times New Roman" w:hAnsi="Calibri" w:cs="Calibri"/>
                <w:sz w:val="20"/>
                <w:szCs w:val="20"/>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sz w:val="20"/>
                <w:szCs w:val="20"/>
              </w:rPr>
              <w:instrText xml:space="preserve"> FORMTEXT </w:instrText>
            </w:r>
            <w:r w:rsidRPr="000C3C6F">
              <w:rPr>
                <w:rFonts w:ascii="Calibri" w:eastAsia="Times New Roman" w:hAnsi="Calibri" w:cs="Calibri"/>
                <w:sz w:val="20"/>
                <w:szCs w:val="20"/>
              </w:rPr>
            </w:r>
            <w:r w:rsidRPr="000C3C6F">
              <w:rPr>
                <w:rFonts w:ascii="Calibri" w:eastAsia="Times New Roman" w:hAnsi="Calibri" w:cs="Calibri"/>
                <w:sz w:val="20"/>
                <w:szCs w:val="20"/>
              </w:rPr>
              <w:fldChar w:fldCharType="separate"/>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Times New Roman" w:hAnsi="Calibri" w:cs="Calibri"/>
                <w:sz w:val="20"/>
                <w:szCs w:val="20"/>
              </w:rPr>
              <w:fldChar w:fldCharType="end"/>
            </w:r>
          </w:p>
        </w:tc>
      </w:tr>
      <w:tr w:rsidR="000C3C6F" w:rsidRPr="000C3C6F" w14:paraId="15077957" w14:textId="77777777" w:rsidTr="000C3C6F">
        <w:trPr>
          <w:trHeight w:val="20"/>
        </w:trPr>
        <w:tc>
          <w:tcPr>
            <w:tcW w:w="3600" w:type="dxa"/>
            <w:tcBorders>
              <w:top w:val="single" w:sz="4" w:space="0" w:color="FFFFFF"/>
              <w:left w:val="single" w:sz="4" w:space="0" w:color="FFFFFF"/>
              <w:bottom w:val="single" w:sz="4" w:space="0" w:color="FFFFFF"/>
              <w:right w:val="single" w:sz="4" w:space="0" w:color="FFFFFF"/>
            </w:tcBorders>
            <w:shd w:val="clear" w:color="auto" w:fill="F2F2F2"/>
          </w:tcPr>
          <w:p w14:paraId="36D4509A" w14:textId="77777777" w:rsidR="000C3C6F" w:rsidRPr="000C3C6F" w:rsidRDefault="000C3C6F" w:rsidP="000C3C6F">
            <w:pPr>
              <w:spacing w:after="0" w:line="240" w:lineRule="auto"/>
              <w:contextualSpacing/>
              <w:rPr>
                <w:rFonts w:ascii="Calibri" w:eastAsia="Times New Roman" w:hAnsi="Calibri" w:cs="Calibri"/>
                <w:sz w:val="20"/>
                <w:szCs w:val="20"/>
              </w:rPr>
            </w:pPr>
            <w:r w:rsidRPr="000C3C6F">
              <w:rPr>
                <w:rFonts w:ascii="Calibri" w:eastAsia="Times New Roman" w:hAnsi="Calibri" w:cs="Calibri"/>
                <w:sz w:val="20"/>
                <w:szCs w:val="20"/>
              </w:rPr>
              <w:t>Resource Identification</w:t>
            </w:r>
          </w:p>
        </w:tc>
        <w:tc>
          <w:tcPr>
            <w:tcW w:w="270" w:type="dxa"/>
            <w:tcBorders>
              <w:top w:val="single" w:sz="4" w:space="0" w:color="FFFFFF"/>
              <w:left w:val="single" w:sz="4" w:space="0" w:color="FFFFFF"/>
              <w:bottom w:val="single" w:sz="4" w:space="0" w:color="FFFFFF"/>
              <w:right w:val="nil"/>
            </w:tcBorders>
            <w:shd w:val="clear" w:color="auto" w:fill="DEEAF6"/>
          </w:tcPr>
          <w:p w14:paraId="0A24FE16" w14:textId="77777777" w:rsidR="000C3C6F" w:rsidRPr="000C3C6F" w:rsidRDefault="000C3C6F" w:rsidP="000C3C6F">
            <w:pPr>
              <w:spacing w:after="0" w:line="240" w:lineRule="auto"/>
              <w:contextualSpacing/>
              <w:rPr>
                <w:rFonts w:ascii="Calibri" w:eastAsia="Times New Roman" w:hAnsi="Calibri" w:cs="Calibri"/>
                <w:sz w:val="20"/>
                <w:szCs w:val="20"/>
              </w:rPr>
            </w:pPr>
            <w:r w:rsidRPr="000C3C6F">
              <w:rPr>
                <w:rFonts w:ascii="Calibri" w:eastAsia="Times New Roman" w:hAnsi="Calibri" w:cs="Calibri"/>
                <w:sz w:val="20"/>
                <w:szCs w:val="20"/>
              </w:rPr>
              <w:t>$</w:t>
            </w:r>
          </w:p>
        </w:tc>
        <w:tc>
          <w:tcPr>
            <w:tcW w:w="3421" w:type="dxa"/>
            <w:gridSpan w:val="2"/>
            <w:tcBorders>
              <w:top w:val="single" w:sz="4" w:space="0" w:color="FFFFFF"/>
              <w:left w:val="nil"/>
              <w:bottom w:val="single" w:sz="4" w:space="0" w:color="FFFFFF"/>
              <w:right w:val="single" w:sz="4" w:space="0" w:color="FFFFFF"/>
            </w:tcBorders>
            <w:shd w:val="clear" w:color="auto" w:fill="DEEAF6"/>
          </w:tcPr>
          <w:p w14:paraId="4834592D" w14:textId="77777777" w:rsidR="000C3C6F" w:rsidRPr="000C3C6F" w:rsidRDefault="000C3C6F" w:rsidP="000C3C6F">
            <w:pPr>
              <w:spacing w:after="0" w:line="240" w:lineRule="auto"/>
              <w:contextualSpacing/>
              <w:jc w:val="right"/>
              <w:rPr>
                <w:rFonts w:ascii="Calibri" w:eastAsia="Times New Roman" w:hAnsi="Calibri" w:cs="Calibri"/>
                <w:sz w:val="20"/>
                <w:szCs w:val="20"/>
              </w:rPr>
            </w:pPr>
            <w:r w:rsidRPr="000C3C6F">
              <w:rPr>
                <w:rFonts w:ascii="Calibri" w:eastAsia="Times New Roman" w:hAnsi="Calibri" w:cs="Calibri"/>
                <w:sz w:val="20"/>
                <w:szCs w:val="20"/>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sz w:val="20"/>
                <w:szCs w:val="20"/>
              </w:rPr>
              <w:instrText xml:space="preserve"> FORMTEXT </w:instrText>
            </w:r>
            <w:r w:rsidRPr="000C3C6F">
              <w:rPr>
                <w:rFonts w:ascii="Calibri" w:eastAsia="Times New Roman" w:hAnsi="Calibri" w:cs="Calibri"/>
                <w:sz w:val="20"/>
                <w:szCs w:val="20"/>
              </w:rPr>
            </w:r>
            <w:r w:rsidRPr="000C3C6F">
              <w:rPr>
                <w:rFonts w:ascii="Calibri" w:eastAsia="Times New Roman" w:hAnsi="Calibri" w:cs="Calibri"/>
                <w:sz w:val="20"/>
                <w:szCs w:val="20"/>
              </w:rPr>
              <w:fldChar w:fldCharType="separate"/>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Times New Roman" w:hAnsi="Calibri" w:cs="Calibri"/>
                <w:sz w:val="20"/>
                <w:szCs w:val="20"/>
              </w:rPr>
              <w:fldChar w:fldCharType="end"/>
            </w:r>
          </w:p>
        </w:tc>
        <w:tc>
          <w:tcPr>
            <w:tcW w:w="3420" w:type="dxa"/>
            <w:tcBorders>
              <w:top w:val="single" w:sz="4" w:space="0" w:color="FFFFFF"/>
              <w:left w:val="single" w:sz="4" w:space="0" w:color="FFFFFF"/>
              <w:bottom w:val="single" w:sz="4" w:space="0" w:color="auto"/>
              <w:right w:val="single" w:sz="4" w:space="0" w:color="FFFFFF"/>
            </w:tcBorders>
            <w:shd w:val="clear" w:color="auto" w:fill="000000"/>
          </w:tcPr>
          <w:p w14:paraId="1B4DDC41" w14:textId="77777777" w:rsidR="000C3C6F" w:rsidRPr="000C3C6F" w:rsidRDefault="000C3C6F" w:rsidP="000C3C6F">
            <w:pPr>
              <w:spacing w:after="0" w:line="240" w:lineRule="auto"/>
              <w:contextualSpacing/>
              <w:jc w:val="right"/>
              <w:rPr>
                <w:rFonts w:ascii="Calibri" w:eastAsia="Times New Roman" w:hAnsi="Calibri" w:cs="Calibri"/>
                <w:sz w:val="20"/>
                <w:szCs w:val="20"/>
              </w:rPr>
            </w:pPr>
          </w:p>
        </w:tc>
      </w:tr>
      <w:tr w:rsidR="000C3C6F" w:rsidRPr="000C3C6F" w14:paraId="78C48F06" w14:textId="77777777" w:rsidTr="000C3C6F">
        <w:trPr>
          <w:trHeight w:val="20"/>
        </w:trPr>
        <w:tc>
          <w:tcPr>
            <w:tcW w:w="3600" w:type="dxa"/>
            <w:tcBorders>
              <w:top w:val="single" w:sz="4" w:space="0" w:color="FFFFFF"/>
              <w:left w:val="single" w:sz="4" w:space="0" w:color="FFFFFF"/>
              <w:bottom w:val="single" w:sz="4" w:space="0" w:color="FFFFFF"/>
              <w:right w:val="single" w:sz="4" w:space="0" w:color="FFFFFF"/>
            </w:tcBorders>
            <w:shd w:val="clear" w:color="auto" w:fill="F2F2F2"/>
          </w:tcPr>
          <w:p w14:paraId="5AC6BC45" w14:textId="77777777" w:rsidR="000C3C6F" w:rsidRPr="000C3C6F" w:rsidRDefault="000C3C6F" w:rsidP="000C3C6F">
            <w:pPr>
              <w:spacing w:after="0" w:line="240" w:lineRule="auto"/>
              <w:contextualSpacing/>
              <w:rPr>
                <w:rFonts w:ascii="Calibri" w:eastAsia="Times New Roman" w:hAnsi="Calibri" w:cs="Calibri"/>
                <w:sz w:val="20"/>
                <w:szCs w:val="20"/>
              </w:rPr>
            </w:pPr>
            <w:r w:rsidRPr="000C3C6F">
              <w:rPr>
                <w:rFonts w:ascii="Calibri" w:eastAsia="Times New Roman" w:hAnsi="Calibri" w:cs="Calibri"/>
                <w:sz w:val="20"/>
                <w:szCs w:val="20"/>
              </w:rPr>
              <w:t>Project Sponsor Administration</w:t>
            </w:r>
          </w:p>
        </w:tc>
        <w:tc>
          <w:tcPr>
            <w:tcW w:w="270" w:type="dxa"/>
            <w:tcBorders>
              <w:top w:val="single" w:sz="4" w:space="0" w:color="FFFFFF"/>
              <w:left w:val="single" w:sz="4" w:space="0" w:color="FFFFFF"/>
              <w:bottom w:val="single" w:sz="4" w:space="0" w:color="FFFFFF"/>
              <w:right w:val="nil"/>
            </w:tcBorders>
            <w:shd w:val="clear" w:color="auto" w:fill="DEEAF6"/>
          </w:tcPr>
          <w:p w14:paraId="15318FB7" w14:textId="77777777" w:rsidR="000C3C6F" w:rsidRPr="000C3C6F" w:rsidRDefault="000C3C6F" w:rsidP="000C3C6F">
            <w:pPr>
              <w:spacing w:after="0" w:line="240" w:lineRule="auto"/>
              <w:contextualSpacing/>
              <w:rPr>
                <w:rFonts w:ascii="Calibri" w:eastAsia="Times New Roman" w:hAnsi="Calibri" w:cs="Calibri"/>
                <w:sz w:val="20"/>
                <w:szCs w:val="20"/>
              </w:rPr>
            </w:pPr>
            <w:r w:rsidRPr="000C3C6F">
              <w:rPr>
                <w:rFonts w:ascii="Calibri" w:eastAsia="Times New Roman" w:hAnsi="Calibri" w:cs="Calibri"/>
                <w:sz w:val="20"/>
                <w:szCs w:val="20"/>
              </w:rPr>
              <w:t>$</w:t>
            </w:r>
          </w:p>
        </w:tc>
        <w:tc>
          <w:tcPr>
            <w:tcW w:w="3421" w:type="dxa"/>
            <w:gridSpan w:val="2"/>
            <w:tcBorders>
              <w:top w:val="single" w:sz="4" w:space="0" w:color="FFFFFF"/>
              <w:left w:val="nil"/>
              <w:bottom w:val="single" w:sz="4" w:space="0" w:color="FFFFFF"/>
              <w:right w:val="single" w:sz="4" w:space="0" w:color="FFFFFF"/>
            </w:tcBorders>
            <w:shd w:val="clear" w:color="auto" w:fill="DEEAF6"/>
          </w:tcPr>
          <w:p w14:paraId="2963217E" w14:textId="77777777" w:rsidR="000C3C6F" w:rsidRPr="000C3C6F" w:rsidRDefault="000C3C6F" w:rsidP="000C3C6F">
            <w:pPr>
              <w:spacing w:after="0" w:line="240" w:lineRule="auto"/>
              <w:contextualSpacing/>
              <w:jc w:val="right"/>
              <w:rPr>
                <w:rFonts w:ascii="Calibri" w:eastAsia="Times New Roman" w:hAnsi="Calibri" w:cs="Calibri"/>
                <w:sz w:val="20"/>
                <w:szCs w:val="20"/>
              </w:rPr>
            </w:pPr>
            <w:r w:rsidRPr="000C3C6F">
              <w:rPr>
                <w:rFonts w:ascii="Calibri" w:eastAsia="Times New Roman" w:hAnsi="Calibri" w:cs="Calibri"/>
                <w:sz w:val="20"/>
                <w:szCs w:val="20"/>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sz w:val="20"/>
                <w:szCs w:val="20"/>
              </w:rPr>
              <w:instrText xml:space="preserve"> FORMTEXT </w:instrText>
            </w:r>
            <w:r w:rsidRPr="000C3C6F">
              <w:rPr>
                <w:rFonts w:ascii="Calibri" w:eastAsia="Times New Roman" w:hAnsi="Calibri" w:cs="Calibri"/>
                <w:sz w:val="20"/>
                <w:szCs w:val="20"/>
              </w:rPr>
            </w:r>
            <w:r w:rsidRPr="000C3C6F">
              <w:rPr>
                <w:rFonts w:ascii="Calibri" w:eastAsia="Times New Roman" w:hAnsi="Calibri" w:cs="Calibri"/>
                <w:sz w:val="20"/>
                <w:szCs w:val="20"/>
              </w:rPr>
              <w:fldChar w:fldCharType="separate"/>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Times New Roman" w:hAnsi="Calibri" w:cs="Calibri"/>
                <w:sz w:val="20"/>
                <w:szCs w:val="20"/>
              </w:rPr>
              <w:fldChar w:fldCharType="end"/>
            </w:r>
          </w:p>
        </w:tc>
        <w:tc>
          <w:tcPr>
            <w:tcW w:w="3420" w:type="dxa"/>
            <w:tcBorders>
              <w:top w:val="single" w:sz="4" w:space="0" w:color="auto"/>
              <w:left w:val="single" w:sz="4" w:space="0" w:color="FFFFFF"/>
              <w:bottom w:val="single" w:sz="4" w:space="0" w:color="auto"/>
              <w:right w:val="single" w:sz="4" w:space="0" w:color="FFFFFF"/>
            </w:tcBorders>
            <w:shd w:val="clear" w:color="auto" w:fill="000000"/>
          </w:tcPr>
          <w:p w14:paraId="5B08B996" w14:textId="77777777" w:rsidR="000C3C6F" w:rsidRPr="000C3C6F" w:rsidRDefault="000C3C6F" w:rsidP="000C3C6F">
            <w:pPr>
              <w:spacing w:after="0" w:line="240" w:lineRule="auto"/>
              <w:contextualSpacing/>
              <w:jc w:val="right"/>
              <w:rPr>
                <w:rFonts w:ascii="Calibri" w:eastAsia="Times New Roman" w:hAnsi="Calibri" w:cs="Calibri"/>
                <w:sz w:val="20"/>
                <w:szCs w:val="20"/>
              </w:rPr>
            </w:pPr>
          </w:p>
        </w:tc>
      </w:tr>
      <w:tr w:rsidR="000C3C6F" w:rsidRPr="000C3C6F" w14:paraId="71E401FD" w14:textId="77777777" w:rsidTr="000C3C6F">
        <w:trPr>
          <w:trHeight w:val="20"/>
        </w:trPr>
        <w:tc>
          <w:tcPr>
            <w:tcW w:w="3600" w:type="dxa"/>
            <w:tcBorders>
              <w:top w:val="single" w:sz="4" w:space="0" w:color="FFFFFF"/>
              <w:left w:val="single" w:sz="4" w:space="0" w:color="FFFFFF"/>
              <w:bottom w:val="single" w:sz="4" w:space="0" w:color="FFFFFF"/>
              <w:right w:val="single" w:sz="4" w:space="0" w:color="FFFFFF"/>
            </w:tcBorders>
            <w:shd w:val="clear" w:color="auto" w:fill="F2F2F2"/>
          </w:tcPr>
          <w:p w14:paraId="27AFC9B9" w14:textId="77777777" w:rsidR="000C3C6F" w:rsidRPr="000C3C6F" w:rsidRDefault="000C3C6F" w:rsidP="000C3C6F">
            <w:pPr>
              <w:spacing w:after="0" w:line="240" w:lineRule="auto"/>
              <w:contextualSpacing/>
              <w:rPr>
                <w:rFonts w:ascii="Calibri" w:eastAsia="Times New Roman" w:hAnsi="Calibri" w:cs="Calibri"/>
                <w:b/>
                <w:sz w:val="20"/>
                <w:szCs w:val="20"/>
              </w:rPr>
            </w:pPr>
            <w:r w:rsidRPr="000C3C6F">
              <w:rPr>
                <w:rFonts w:ascii="Calibri" w:eastAsia="Times New Roman" w:hAnsi="Calibri" w:cs="Calibri"/>
                <w:b/>
                <w:sz w:val="20"/>
                <w:szCs w:val="20"/>
              </w:rPr>
              <w:t>Total</w:t>
            </w:r>
          </w:p>
        </w:tc>
        <w:tc>
          <w:tcPr>
            <w:tcW w:w="270" w:type="dxa"/>
            <w:tcBorders>
              <w:top w:val="single" w:sz="4" w:space="0" w:color="FFFFFF"/>
              <w:left w:val="single" w:sz="4" w:space="0" w:color="FFFFFF"/>
              <w:bottom w:val="single" w:sz="4" w:space="0" w:color="FFFFFF"/>
              <w:right w:val="nil"/>
            </w:tcBorders>
            <w:shd w:val="clear" w:color="auto" w:fill="FFFF00"/>
          </w:tcPr>
          <w:p w14:paraId="1DDA9174" w14:textId="77777777" w:rsidR="000C3C6F" w:rsidRPr="000C3C6F" w:rsidRDefault="000C3C6F" w:rsidP="000C3C6F">
            <w:pPr>
              <w:spacing w:after="0" w:line="240" w:lineRule="auto"/>
              <w:contextualSpacing/>
              <w:rPr>
                <w:rFonts w:ascii="Calibri" w:eastAsia="Times New Roman" w:hAnsi="Calibri" w:cs="Calibri"/>
                <w:b/>
                <w:bCs/>
                <w:sz w:val="20"/>
                <w:szCs w:val="20"/>
              </w:rPr>
            </w:pPr>
            <w:r w:rsidRPr="000C3C6F">
              <w:rPr>
                <w:rFonts w:ascii="Calibri" w:eastAsia="Times New Roman" w:hAnsi="Calibri" w:cs="Calibri"/>
                <w:b/>
                <w:bCs/>
                <w:sz w:val="20"/>
                <w:szCs w:val="20"/>
              </w:rPr>
              <w:t>$</w:t>
            </w:r>
          </w:p>
        </w:tc>
        <w:tc>
          <w:tcPr>
            <w:tcW w:w="3421" w:type="dxa"/>
            <w:gridSpan w:val="2"/>
            <w:tcBorders>
              <w:top w:val="single" w:sz="4" w:space="0" w:color="FFFFFF"/>
              <w:left w:val="nil"/>
              <w:bottom w:val="single" w:sz="4" w:space="0" w:color="FFFFFF"/>
              <w:right w:val="single" w:sz="4" w:space="0" w:color="FFFFFF"/>
            </w:tcBorders>
            <w:shd w:val="clear" w:color="auto" w:fill="FFFF00"/>
          </w:tcPr>
          <w:p w14:paraId="650AE169" w14:textId="77777777" w:rsidR="000C3C6F" w:rsidRPr="000C3C6F" w:rsidRDefault="000C3C6F" w:rsidP="000C3C6F">
            <w:pPr>
              <w:spacing w:after="0" w:line="240" w:lineRule="auto"/>
              <w:contextualSpacing/>
              <w:jc w:val="right"/>
              <w:rPr>
                <w:rFonts w:ascii="Calibri" w:eastAsia="Times New Roman" w:hAnsi="Calibri" w:cs="Calibri"/>
                <w:b/>
                <w:bCs/>
                <w:sz w:val="20"/>
                <w:szCs w:val="20"/>
              </w:rPr>
            </w:pPr>
            <w:r w:rsidRPr="000C3C6F">
              <w:rPr>
                <w:rFonts w:ascii="Calibri" w:eastAsia="Times New Roman" w:hAnsi="Calibri" w:cs="Calibri"/>
                <w:b/>
                <w:bCs/>
                <w:sz w:val="20"/>
                <w:szCs w:val="20"/>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b/>
                <w:bCs/>
                <w:sz w:val="20"/>
                <w:szCs w:val="20"/>
              </w:rPr>
              <w:instrText xml:space="preserve"> FORMTEXT </w:instrText>
            </w:r>
            <w:r w:rsidRPr="000C3C6F">
              <w:rPr>
                <w:rFonts w:ascii="Calibri" w:eastAsia="Times New Roman" w:hAnsi="Calibri" w:cs="Calibri"/>
                <w:b/>
                <w:bCs/>
                <w:sz w:val="20"/>
                <w:szCs w:val="20"/>
              </w:rPr>
            </w:r>
            <w:r w:rsidRPr="000C3C6F">
              <w:rPr>
                <w:rFonts w:ascii="Calibri" w:eastAsia="Times New Roman" w:hAnsi="Calibri" w:cs="Calibri"/>
                <w:b/>
                <w:bCs/>
                <w:sz w:val="20"/>
                <w:szCs w:val="20"/>
              </w:rPr>
              <w:fldChar w:fldCharType="separate"/>
            </w:r>
            <w:r w:rsidRPr="000C3C6F">
              <w:rPr>
                <w:rFonts w:ascii="Calibri" w:eastAsia="Arial Unicode MS" w:hAnsi="Calibri" w:cs="Calibri"/>
                <w:b/>
                <w:bCs/>
                <w:noProof/>
                <w:sz w:val="20"/>
                <w:szCs w:val="20"/>
              </w:rPr>
              <w:t> </w:t>
            </w:r>
            <w:r w:rsidRPr="000C3C6F">
              <w:rPr>
                <w:rFonts w:ascii="Calibri" w:eastAsia="Arial Unicode MS" w:hAnsi="Calibri" w:cs="Calibri"/>
                <w:b/>
                <w:bCs/>
                <w:noProof/>
                <w:sz w:val="20"/>
                <w:szCs w:val="20"/>
              </w:rPr>
              <w:t> </w:t>
            </w:r>
            <w:r w:rsidRPr="000C3C6F">
              <w:rPr>
                <w:rFonts w:ascii="Calibri" w:eastAsia="Arial Unicode MS" w:hAnsi="Calibri" w:cs="Calibri"/>
                <w:b/>
                <w:bCs/>
                <w:noProof/>
                <w:sz w:val="20"/>
                <w:szCs w:val="20"/>
              </w:rPr>
              <w:t> </w:t>
            </w:r>
            <w:r w:rsidRPr="000C3C6F">
              <w:rPr>
                <w:rFonts w:ascii="Calibri" w:eastAsia="Arial Unicode MS" w:hAnsi="Calibri" w:cs="Calibri"/>
                <w:b/>
                <w:bCs/>
                <w:noProof/>
                <w:sz w:val="20"/>
                <w:szCs w:val="20"/>
              </w:rPr>
              <w:t> </w:t>
            </w:r>
            <w:r w:rsidRPr="000C3C6F">
              <w:rPr>
                <w:rFonts w:ascii="Calibri" w:eastAsia="Arial Unicode MS" w:hAnsi="Calibri" w:cs="Calibri"/>
                <w:b/>
                <w:bCs/>
                <w:noProof/>
                <w:sz w:val="20"/>
                <w:szCs w:val="20"/>
              </w:rPr>
              <w:t> </w:t>
            </w:r>
            <w:r w:rsidRPr="000C3C6F">
              <w:rPr>
                <w:rFonts w:ascii="Calibri" w:eastAsia="Times New Roman" w:hAnsi="Calibri" w:cs="Calibri"/>
                <w:b/>
                <w:bCs/>
                <w:sz w:val="20"/>
                <w:szCs w:val="20"/>
              </w:rPr>
              <w:fldChar w:fldCharType="end"/>
            </w:r>
          </w:p>
        </w:tc>
        <w:tc>
          <w:tcPr>
            <w:tcW w:w="3420" w:type="dxa"/>
            <w:tcBorders>
              <w:top w:val="single" w:sz="4" w:space="0" w:color="auto"/>
              <w:left w:val="single" w:sz="4" w:space="0" w:color="FFFFFF"/>
              <w:bottom w:val="single" w:sz="4" w:space="0" w:color="FFFFFF"/>
              <w:right w:val="single" w:sz="4" w:space="0" w:color="FFFFFF"/>
            </w:tcBorders>
            <w:shd w:val="clear" w:color="auto" w:fill="000000"/>
          </w:tcPr>
          <w:p w14:paraId="6D7663EA" w14:textId="77777777" w:rsidR="000C3C6F" w:rsidRPr="000C3C6F" w:rsidRDefault="000C3C6F" w:rsidP="000C3C6F">
            <w:pPr>
              <w:spacing w:after="0" w:line="240" w:lineRule="auto"/>
              <w:contextualSpacing/>
              <w:jc w:val="right"/>
              <w:rPr>
                <w:rFonts w:ascii="Calibri" w:eastAsia="Times New Roman" w:hAnsi="Calibri" w:cs="Calibri"/>
                <w:sz w:val="20"/>
                <w:szCs w:val="20"/>
              </w:rPr>
            </w:pPr>
          </w:p>
        </w:tc>
      </w:tr>
      <w:tr w:rsidR="000C3C6F" w:rsidRPr="000C3C6F" w14:paraId="0964886D" w14:textId="77777777" w:rsidTr="000C3C6F">
        <w:trPr>
          <w:trHeight w:val="20"/>
        </w:trPr>
        <w:tc>
          <w:tcPr>
            <w:tcW w:w="10711" w:type="dxa"/>
            <w:gridSpan w:val="5"/>
            <w:tcBorders>
              <w:top w:val="single" w:sz="4" w:space="0" w:color="FFFFFF"/>
              <w:left w:val="single" w:sz="4" w:space="0" w:color="FFFFFF"/>
              <w:bottom w:val="nil"/>
              <w:right w:val="single" w:sz="4" w:space="0" w:color="FFFFFF"/>
            </w:tcBorders>
            <w:shd w:val="clear" w:color="auto" w:fill="auto"/>
          </w:tcPr>
          <w:p w14:paraId="532D3C06" w14:textId="77777777" w:rsidR="000C3C6F" w:rsidRPr="000C3C6F" w:rsidRDefault="000C3C6F" w:rsidP="000C3C6F">
            <w:pPr>
              <w:spacing w:after="0" w:line="240" w:lineRule="auto"/>
              <w:rPr>
                <w:rFonts w:ascii="Calibri" w:eastAsia="Times New Roman" w:hAnsi="Calibri" w:cs="Calibri"/>
                <w:sz w:val="16"/>
                <w:szCs w:val="20"/>
              </w:rPr>
            </w:pPr>
            <w:r w:rsidRPr="000C3C6F">
              <w:rPr>
                <w:rFonts w:ascii="Calibri" w:eastAsia="Times New Roman" w:hAnsi="Calibri" w:cs="Calibri"/>
                <w:sz w:val="16"/>
                <w:szCs w:val="20"/>
              </w:rPr>
              <w:t>* Minority Organization: Board of Directors has 50% racial/ethnic minority members.  ** Minority Provider: a) history of targeting racial/ethnic minorities; b) located in/near racial/ethnic minority communities; c) offers culturally/linguistically appropriate services to reduce disparities.</w:t>
            </w:r>
          </w:p>
        </w:tc>
      </w:tr>
    </w:tbl>
    <w:p w14:paraId="2036C7C4" w14:textId="3268B78F" w:rsidR="006831AD" w:rsidRPr="0087032F" w:rsidRDefault="006831AD" w:rsidP="006831AD">
      <w:pPr>
        <w:pStyle w:val="NoSpacing"/>
        <w:rPr>
          <w:sz w:val="2"/>
        </w:rPr>
      </w:pPr>
    </w:p>
    <w:p w14:paraId="66C6C986" w14:textId="732DF491" w:rsidR="00DD6511" w:rsidRPr="00DE48B8" w:rsidRDefault="00DD6511">
      <w:pPr>
        <w:rPr>
          <w:rStyle w:val="Strong"/>
          <w:rFonts w:eastAsiaTheme="majorEastAsia" w:cstheme="majorBidi"/>
          <w:color w:val="auto"/>
          <w:sz w:val="14"/>
          <w:szCs w:val="14"/>
        </w:rPr>
      </w:pPr>
      <w:r w:rsidRPr="00DE48B8">
        <w:rPr>
          <w:rStyle w:val="Strong"/>
          <w:bCs w:val="0"/>
          <w:color w:val="auto"/>
          <w:sz w:val="14"/>
          <w:szCs w:val="14"/>
        </w:rPr>
        <w:br w:type="page"/>
      </w:r>
    </w:p>
    <w:p w14:paraId="73793638" w14:textId="47D2384D" w:rsidR="009C0E78" w:rsidRPr="004D594B" w:rsidRDefault="009C0E78" w:rsidP="009C0E78">
      <w:pPr>
        <w:pStyle w:val="Heading2"/>
        <w:jc w:val="center"/>
        <w:rPr>
          <w:rFonts w:asciiTheme="minorHAnsi" w:hAnsiTheme="minorHAnsi"/>
          <w:color w:val="auto"/>
          <w:sz w:val="22"/>
          <w:szCs w:val="22"/>
        </w:rPr>
      </w:pPr>
      <w:bookmarkStart w:id="68" w:name="_Toc140755491"/>
      <w:r w:rsidRPr="004D594B">
        <w:rPr>
          <w:rStyle w:val="Strong"/>
          <w:rFonts w:asciiTheme="minorHAnsi" w:hAnsiTheme="minorHAnsi"/>
          <w:bCs/>
          <w:color w:val="auto"/>
          <w:sz w:val="22"/>
          <w:szCs w:val="22"/>
        </w:rPr>
        <w:lastRenderedPageBreak/>
        <w:t>Appendix F: Frequently Asked Questions</w:t>
      </w:r>
      <w:bookmarkEnd w:id="68"/>
    </w:p>
    <w:p w14:paraId="25644813" w14:textId="77777777" w:rsidR="009C0E78" w:rsidRPr="009C0E78" w:rsidRDefault="009C0E78" w:rsidP="009C0E78">
      <w:pPr>
        <w:pStyle w:val="NoSpacing"/>
        <w:rPr>
          <w:rFonts w:cs="Times New Roman"/>
          <w:sz w:val="16"/>
        </w:rPr>
      </w:pPr>
    </w:p>
    <w:p w14:paraId="166BF887" w14:textId="6A29379F" w:rsidR="00C57BD3" w:rsidRPr="004D594B" w:rsidRDefault="006831AD" w:rsidP="00DA098E">
      <w:pPr>
        <w:pStyle w:val="Quote"/>
        <w:rPr>
          <w:rStyle w:val="Strong"/>
        </w:rPr>
      </w:pPr>
      <w:r w:rsidRPr="004D594B">
        <w:t xml:space="preserve">Program </w:t>
      </w:r>
      <w:r w:rsidR="007E2A00" w:rsidRPr="004D594B">
        <w:t>Eligibility</w:t>
      </w:r>
    </w:p>
    <w:p w14:paraId="549C7798" w14:textId="315A3F0C" w:rsidR="006831AD" w:rsidRDefault="006831AD" w:rsidP="00754E9B">
      <w:pPr>
        <w:pStyle w:val="NoSpacing"/>
        <w:numPr>
          <w:ilvl w:val="0"/>
          <w:numId w:val="22"/>
        </w:numPr>
        <w:rPr>
          <w:rFonts w:cs="Times New Roman"/>
          <w:b/>
        </w:rPr>
      </w:pPr>
      <w:r w:rsidRPr="00166252">
        <w:rPr>
          <w:rFonts w:cs="Times New Roman"/>
          <w:b/>
        </w:rPr>
        <w:t xml:space="preserve">Does HOPWA allow conditional </w:t>
      </w:r>
      <w:r w:rsidR="005A2088">
        <w:rPr>
          <w:rFonts w:cs="Times New Roman"/>
          <w:b/>
        </w:rPr>
        <w:t xml:space="preserve">program </w:t>
      </w:r>
      <w:r w:rsidRPr="00166252">
        <w:rPr>
          <w:rFonts w:cs="Times New Roman"/>
          <w:b/>
        </w:rPr>
        <w:t>eligibility?</w:t>
      </w:r>
    </w:p>
    <w:p w14:paraId="2413BB3D" w14:textId="4BC3E4F6" w:rsidR="00C57BD3" w:rsidRPr="00C57BD3" w:rsidRDefault="00C57BD3" w:rsidP="00C57BD3">
      <w:pPr>
        <w:pStyle w:val="NoSpacing"/>
        <w:ind w:left="720"/>
        <w:rPr>
          <w:rFonts w:cs="Times New Roman"/>
        </w:rPr>
      </w:pPr>
      <w:r>
        <w:rPr>
          <w:rFonts w:cs="Times New Roman"/>
        </w:rPr>
        <w:t xml:space="preserve">No, a household </w:t>
      </w:r>
      <w:r w:rsidR="005A2088">
        <w:rPr>
          <w:rFonts w:cs="Times New Roman"/>
        </w:rPr>
        <w:t xml:space="preserve">either meets or does not meet </w:t>
      </w:r>
      <w:r w:rsidR="00F60BE9">
        <w:rPr>
          <w:rFonts w:cs="Times New Roman"/>
        </w:rPr>
        <w:t xml:space="preserve">the </w:t>
      </w:r>
      <w:r w:rsidR="005A2088">
        <w:rPr>
          <w:rFonts w:cs="Times New Roman"/>
        </w:rPr>
        <w:t>program eligibility criteria.</w:t>
      </w:r>
      <w:r>
        <w:rPr>
          <w:rFonts w:cs="Times New Roman"/>
        </w:rPr>
        <w:t xml:space="preserve"> </w:t>
      </w:r>
    </w:p>
    <w:p w14:paraId="7CEE595E" w14:textId="0E2431A8" w:rsidR="006831AD" w:rsidRDefault="006831AD" w:rsidP="00754E9B">
      <w:pPr>
        <w:pStyle w:val="NoSpacing"/>
        <w:numPr>
          <w:ilvl w:val="0"/>
          <w:numId w:val="22"/>
        </w:numPr>
        <w:rPr>
          <w:rFonts w:cs="Times New Roman"/>
          <w:b/>
        </w:rPr>
      </w:pPr>
      <w:r w:rsidRPr="00166252">
        <w:rPr>
          <w:rFonts w:cs="Times New Roman"/>
          <w:b/>
        </w:rPr>
        <w:t xml:space="preserve">Can </w:t>
      </w:r>
      <w:r w:rsidR="0076705A">
        <w:rPr>
          <w:rFonts w:cs="Times New Roman"/>
          <w:b/>
        </w:rPr>
        <w:t>a PLWH</w:t>
      </w:r>
      <w:r w:rsidRPr="00166252">
        <w:rPr>
          <w:rFonts w:cs="Times New Roman"/>
          <w:b/>
        </w:rPr>
        <w:t xml:space="preserve"> receive assistance under this program or must the </w:t>
      </w:r>
      <w:r w:rsidR="0076705A">
        <w:rPr>
          <w:rFonts w:cs="Times New Roman"/>
          <w:b/>
        </w:rPr>
        <w:t>diagnosis</w:t>
      </w:r>
      <w:r w:rsidR="0076705A" w:rsidRPr="00166252">
        <w:rPr>
          <w:rFonts w:cs="Times New Roman"/>
          <w:b/>
        </w:rPr>
        <w:t xml:space="preserve"> </w:t>
      </w:r>
      <w:r w:rsidRPr="00166252">
        <w:rPr>
          <w:rFonts w:cs="Times New Roman"/>
          <w:b/>
        </w:rPr>
        <w:t>be more advanced?</w:t>
      </w:r>
    </w:p>
    <w:p w14:paraId="1CE98617" w14:textId="0C918BF6" w:rsidR="00C57BD3" w:rsidRPr="00C57BD3" w:rsidRDefault="00C57BD3" w:rsidP="00C57BD3">
      <w:pPr>
        <w:pStyle w:val="NoSpacing"/>
        <w:ind w:left="720"/>
        <w:rPr>
          <w:rFonts w:cs="Times New Roman"/>
        </w:rPr>
      </w:pPr>
      <w:r>
        <w:rPr>
          <w:rFonts w:cs="Times New Roman"/>
        </w:rPr>
        <w:t xml:space="preserve">HUD has </w:t>
      </w:r>
      <w:r w:rsidR="009807E5">
        <w:rPr>
          <w:rFonts w:cs="Times New Roman"/>
        </w:rPr>
        <w:t xml:space="preserve">confirmed </w:t>
      </w:r>
      <w:r>
        <w:rPr>
          <w:rFonts w:cs="Times New Roman"/>
        </w:rPr>
        <w:t xml:space="preserve">that </w:t>
      </w:r>
      <w:r w:rsidR="00364F25">
        <w:rPr>
          <w:rFonts w:cs="Times New Roman"/>
        </w:rPr>
        <w:t xml:space="preserve">all </w:t>
      </w:r>
      <w:r w:rsidR="00E053CE">
        <w:rPr>
          <w:rFonts w:cs="Times New Roman"/>
        </w:rPr>
        <w:t>PLWH</w:t>
      </w:r>
      <w:r w:rsidR="00ED2020">
        <w:rPr>
          <w:rFonts w:cs="Times New Roman"/>
        </w:rPr>
        <w:t xml:space="preserve"> – regardless of how advanced – </w:t>
      </w:r>
      <w:r w:rsidR="009807E5">
        <w:rPr>
          <w:rFonts w:cs="Times New Roman"/>
        </w:rPr>
        <w:t xml:space="preserve">meet </w:t>
      </w:r>
      <w:r w:rsidR="00F60BE9">
        <w:rPr>
          <w:rFonts w:cs="Times New Roman"/>
        </w:rPr>
        <w:t xml:space="preserve">this </w:t>
      </w:r>
      <w:r w:rsidR="0006360E">
        <w:rPr>
          <w:rFonts w:cs="Times New Roman"/>
        </w:rPr>
        <w:t xml:space="preserve">program </w:t>
      </w:r>
      <w:r w:rsidR="009807E5">
        <w:rPr>
          <w:rFonts w:cs="Times New Roman"/>
        </w:rPr>
        <w:t>eligibility criteri</w:t>
      </w:r>
      <w:r w:rsidR="00F60BE9">
        <w:rPr>
          <w:rFonts w:cs="Times New Roman"/>
        </w:rPr>
        <w:t>on</w:t>
      </w:r>
      <w:r>
        <w:rPr>
          <w:rFonts w:cs="Times New Roman"/>
        </w:rPr>
        <w:t xml:space="preserve">. </w:t>
      </w:r>
      <w:r w:rsidR="00ED7FE7" w:rsidRPr="00ED7FE7">
        <w:rPr>
          <w:rFonts w:cs="Times New Roman"/>
        </w:rPr>
        <w:t xml:space="preserve">If a Project Sponsor establishes additional </w:t>
      </w:r>
      <w:r w:rsidR="0006360E">
        <w:rPr>
          <w:rFonts w:cs="Times New Roman"/>
        </w:rPr>
        <w:t xml:space="preserve">program </w:t>
      </w:r>
      <w:r w:rsidR="00ED7FE7" w:rsidRPr="00ED7FE7">
        <w:rPr>
          <w:rFonts w:cs="Times New Roman"/>
        </w:rPr>
        <w:t xml:space="preserve">eligibility criteria, they must collaborate with </w:t>
      </w:r>
      <w:r w:rsidR="00570DA0">
        <w:rPr>
          <w:rFonts w:cs="Times New Roman"/>
        </w:rPr>
        <w:t>their AA</w:t>
      </w:r>
      <w:r w:rsidR="00ED7FE7" w:rsidRPr="00ED7FE7">
        <w:rPr>
          <w:rFonts w:cs="Times New Roman"/>
        </w:rPr>
        <w:t xml:space="preserve"> to develop a local program policy.</w:t>
      </w:r>
    </w:p>
    <w:p w14:paraId="5747BD0A" w14:textId="46B3181F" w:rsidR="007E2A00" w:rsidRPr="00166252" w:rsidRDefault="007E2A00" w:rsidP="00754E9B">
      <w:pPr>
        <w:pStyle w:val="NoSpacing"/>
        <w:numPr>
          <w:ilvl w:val="0"/>
          <w:numId w:val="22"/>
        </w:numPr>
        <w:rPr>
          <w:rFonts w:cs="Times New Roman"/>
          <w:b/>
        </w:rPr>
      </w:pPr>
      <w:r w:rsidRPr="00166252">
        <w:rPr>
          <w:rFonts w:cs="Times New Roman"/>
          <w:b/>
        </w:rPr>
        <w:t xml:space="preserve">Can a household </w:t>
      </w:r>
      <w:r w:rsidR="00E053CE">
        <w:rPr>
          <w:rFonts w:cs="Times New Roman"/>
          <w:b/>
        </w:rPr>
        <w:t>exclude</w:t>
      </w:r>
      <w:r w:rsidRPr="00166252">
        <w:rPr>
          <w:rFonts w:cs="Times New Roman"/>
          <w:b/>
        </w:rPr>
        <w:t xml:space="preserve"> child support expenses from annual income?</w:t>
      </w:r>
    </w:p>
    <w:p w14:paraId="29A04D13" w14:textId="2EAB2A6D" w:rsidR="007E2A00" w:rsidRPr="00B107A8" w:rsidRDefault="007E2A00" w:rsidP="00C57BD3">
      <w:pPr>
        <w:pStyle w:val="NoSpacing"/>
        <w:ind w:left="720"/>
        <w:rPr>
          <w:rFonts w:cs="Times New Roman"/>
        </w:rPr>
      </w:pPr>
      <w:r w:rsidRPr="00B107A8">
        <w:rPr>
          <w:rFonts w:cs="Times New Roman"/>
        </w:rPr>
        <w:t xml:space="preserve">No, </w:t>
      </w:r>
      <w:r w:rsidR="00E053CE">
        <w:rPr>
          <w:rFonts w:cs="Times New Roman"/>
        </w:rPr>
        <w:t>child support expenses</w:t>
      </w:r>
      <w:r w:rsidR="009365D9" w:rsidRPr="00B107A8">
        <w:rPr>
          <w:rFonts w:cs="Times New Roman"/>
        </w:rPr>
        <w:t xml:space="preserve"> </w:t>
      </w:r>
      <w:r w:rsidR="00B70170">
        <w:rPr>
          <w:rFonts w:cs="Times New Roman"/>
        </w:rPr>
        <w:t>cannot</w:t>
      </w:r>
      <w:r w:rsidR="009365D9" w:rsidRPr="00B107A8">
        <w:rPr>
          <w:rFonts w:cs="Times New Roman"/>
        </w:rPr>
        <w:t xml:space="preserve"> be excluded from household annual income.</w:t>
      </w:r>
    </w:p>
    <w:p w14:paraId="6B6A4586" w14:textId="1E745143" w:rsidR="00657C04" w:rsidRDefault="00657C04" w:rsidP="00657C04">
      <w:pPr>
        <w:pStyle w:val="NoSpacing"/>
        <w:numPr>
          <w:ilvl w:val="0"/>
          <w:numId w:val="22"/>
        </w:numPr>
        <w:rPr>
          <w:rFonts w:cs="Times New Roman"/>
          <w:b/>
        </w:rPr>
      </w:pPr>
      <w:r w:rsidRPr="00657C04">
        <w:rPr>
          <w:rFonts w:cs="Times New Roman"/>
          <w:b/>
        </w:rPr>
        <w:t xml:space="preserve">Are financial contributions from family and friends </w:t>
      </w:r>
      <w:r w:rsidR="00E053CE">
        <w:rPr>
          <w:rFonts w:cs="Times New Roman"/>
          <w:b/>
        </w:rPr>
        <w:t xml:space="preserve">included in annual </w:t>
      </w:r>
      <w:r w:rsidRPr="00657C04">
        <w:rPr>
          <w:rFonts w:cs="Times New Roman"/>
          <w:b/>
        </w:rPr>
        <w:t>income?</w:t>
      </w:r>
    </w:p>
    <w:p w14:paraId="44B871B5" w14:textId="0F3230D6" w:rsidR="00657C04" w:rsidRPr="00657C04" w:rsidRDefault="00657C04" w:rsidP="00657C04">
      <w:pPr>
        <w:pStyle w:val="NoSpacing"/>
        <w:ind w:left="720"/>
        <w:rPr>
          <w:rFonts w:cs="Times New Roman"/>
        </w:rPr>
      </w:pPr>
      <w:r w:rsidRPr="00657C04">
        <w:rPr>
          <w:rFonts w:cs="Times New Roman"/>
        </w:rPr>
        <w:t xml:space="preserve">The answer depends on whether the </w:t>
      </w:r>
      <w:r w:rsidR="00CD1A41">
        <w:rPr>
          <w:rFonts w:cs="Times New Roman"/>
        </w:rPr>
        <w:t xml:space="preserve">household member receives the </w:t>
      </w:r>
      <w:r w:rsidRPr="00657C04">
        <w:rPr>
          <w:rFonts w:cs="Times New Roman"/>
        </w:rPr>
        <w:t>contribution</w:t>
      </w:r>
      <w:r w:rsidR="00CD1A41">
        <w:rPr>
          <w:rFonts w:cs="Times New Roman"/>
        </w:rPr>
        <w:t>/</w:t>
      </w:r>
      <w:r w:rsidRPr="00657C04">
        <w:rPr>
          <w:rFonts w:cs="Times New Roman"/>
        </w:rPr>
        <w:t>gift “</w:t>
      </w:r>
      <w:r w:rsidR="00E053CE">
        <w:rPr>
          <w:rFonts w:cs="Times New Roman"/>
        </w:rPr>
        <w:t xml:space="preserve">periodically” </w:t>
      </w:r>
      <w:r w:rsidR="00CD1A41">
        <w:rPr>
          <w:rFonts w:cs="Times New Roman"/>
        </w:rPr>
        <w:t xml:space="preserve">or </w:t>
      </w:r>
      <w:r w:rsidR="00E053CE">
        <w:rPr>
          <w:rFonts w:cs="Times New Roman"/>
        </w:rPr>
        <w:t>“sporadically.”</w:t>
      </w:r>
      <w:r w:rsidRPr="00657C04">
        <w:rPr>
          <w:rFonts w:cs="Times New Roman"/>
        </w:rPr>
        <w:t xml:space="preserve"> </w:t>
      </w:r>
      <w:r w:rsidR="00CD1A41">
        <w:rPr>
          <w:rFonts w:cs="Times New Roman"/>
        </w:rPr>
        <w:t xml:space="preserve">The Project Sponsor and household must determine if the source of income is periodic or sporadic. </w:t>
      </w:r>
      <w:r w:rsidR="00E053CE">
        <w:rPr>
          <w:rFonts w:cs="Times New Roman"/>
        </w:rPr>
        <w:t>I</w:t>
      </w:r>
      <w:r w:rsidRPr="00657C04">
        <w:rPr>
          <w:rFonts w:cs="Times New Roman"/>
        </w:rPr>
        <w:t xml:space="preserve">f the </w:t>
      </w:r>
      <w:r w:rsidR="00E053CE">
        <w:rPr>
          <w:rFonts w:cs="Times New Roman"/>
        </w:rPr>
        <w:t>household member</w:t>
      </w:r>
      <w:r w:rsidR="00E053CE" w:rsidRPr="00657C04">
        <w:rPr>
          <w:rFonts w:cs="Times New Roman"/>
        </w:rPr>
        <w:t xml:space="preserve"> </w:t>
      </w:r>
      <w:r w:rsidRPr="00657C04">
        <w:rPr>
          <w:rFonts w:cs="Times New Roman"/>
        </w:rPr>
        <w:t xml:space="preserve">expects to receive </w:t>
      </w:r>
      <w:r w:rsidR="00ED2020">
        <w:rPr>
          <w:rFonts w:cs="Times New Roman"/>
        </w:rPr>
        <w:t xml:space="preserve">a contribution/gift of </w:t>
      </w:r>
      <w:r w:rsidRPr="00657C04">
        <w:rPr>
          <w:rFonts w:cs="Times New Roman"/>
        </w:rPr>
        <w:t xml:space="preserve">$200.00 per month for a year, then yes, </w:t>
      </w:r>
      <w:r w:rsidR="00CD1A41">
        <w:rPr>
          <w:rFonts w:cs="Times New Roman"/>
        </w:rPr>
        <w:t>the income is periodic and</w:t>
      </w:r>
      <w:r w:rsidRPr="00657C04">
        <w:rPr>
          <w:rFonts w:cs="Times New Roman"/>
        </w:rPr>
        <w:t xml:space="preserve"> would be included in </w:t>
      </w:r>
      <w:r w:rsidR="00CD1A41">
        <w:rPr>
          <w:rFonts w:cs="Times New Roman"/>
        </w:rPr>
        <w:t>annual income</w:t>
      </w:r>
      <w:r>
        <w:rPr>
          <w:rFonts w:cs="Times New Roman"/>
        </w:rPr>
        <w:t xml:space="preserve">. </w:t>
      </w:r>
      <w:r w:rsidRPr="00657C04">
        <w:rPr>
          <w:rFonts w:cs="Times New Roman"/>
        </w:rPr>
        <w:t xml:space="preserve">If it is sporadic, then it </w:t>
      </w:r>
      <w:r w:rsidR="00CD1A41">
        <w:rPr>
          <w:rFonts w:cs="Times New Roman"/>
        </w:rPr>
        <w:t>would</w:t>
      </w:r>
      <w:r w:rsidR="00CD1A41" w:rsidRPr="00657C04">
        <w:rPr>
          <w:rFonts w:cs="Times New Roman"/>
        </w:rPr>
        <w:t xml:space="preserve"> </w:t>
      </w:r>
      <w:r w:rsidRPr="00657C04">
        <w:rPr>
          <w:rFonts w:cs="Times New Roman"/>
        </w:rPr>
        <w:t xml:space="preserve">be </w:t>
      </w:r>
      <w:r w:rsidR="00ED2020">
        <w:rPr>
          <w:rFonts w:cs="Times New Roman"/>
        </w:rPr>
        <w:t>excluded</w:t>
      </w:r>
      <w:r>
        <w:rPr>
          <w:rFonts w:cs="Times New Roman"/>
        </w:rPr>
        <w:t xml:space="preserve">. </w:t>
      </w:r>
      <w:r w:rsidRPr="00657C04">
        <w:rPr>
          <w:rFonts w:cs="Times New Roman"/>
        </w:rPr>
        <w:t xml:space="preserve">The </w:t>
      </w:r>
      <w:r w:rsidRPr="00657C04">
        <w:rPr>
          <w:rFonts w:cs="Times New Roman"/>
          <w:b/>
          <w:color w:val="ED7D31" w:themeColor="accent2"/>
        </w:rPr>
        <w:t>Determining Household Annual Income Guide</w:t>
      </w:r>
      <w:r w:rsidRPr="00657C04">
        <w:rPr>
          <w:rFonts w:cs="Times New Roman"/>
        </w:rPr>
        <w:t xml:space="preserve"> </w:t>
      </w:r>
      <w:r w:rsidR="00CD1A41">
        <w:rPr>
          <w:rFonts w:cs="Times New Roman"/>
        </w:rPr>
        <w:t>provides additional guidance</w:t>
      </w:r>
      <w:r>
        <w:rPr>
          <w:rFonts w:cs="Times New Roman"/>
        </w:rPr>
        <w:t>.</w:t>
      </w:r>
    </w:p>
    <w:p w14:paraId="6C3EFA2C" w14:textId="13883B84" w:rsidR="009365D9" w:rsidRDefault="00CD1A41" w:rsidP="00754E9B">
      <w:pPr>
        <w:pStyle w:val="NoSpacing"/>
        <w:numPr>
          <w:ilvl w:val="0"/>
          <w:numId w:val="22"/>
        </w:numPr>
        <w:rPr>
          <w:rFonts w:cs="Times New Roman"/>
          <w:b/>
        </w:rPr>
      </w:pPr>
      <w:r>
        <w:rPr>
          <w:rFonts w:cs="Times New Roman"/>
          <w:b/>
        </w:rPr>
        <w:t>Is the earned income of a minor included in annual income</w:t>
      </w:r>
      <w:r w:rsidR="009365D9" w:rsidRPr="00166252">
        <w:rPr>
          <w:rFonts w:cs="Times New Roman"/>
          <w:b/>
        </w:rPr>
        <w:t>?</w:t>
      </w:r>
    </w:p>
    <w:p w14:paraId="4905D157" w14:textId="0A9F951F" w:rsidR="00B107A8" w:rsidRDefault="00B107A8" w:rsidP="00B107A8">
      <w:pPr>
        <w:pStyle w:val="NoSpacing"/>
        <w:ind w:left="720"/>
        <w:rPr>
          <w:rFonts w:cs="Times New Roman"/>
        </w:rPr>
      </w:pPr>
      <w:r>
        <w:rPr>
          <w:rFonts w:cs="Times New Roman"/>
        </w:rPr>
        <w:t xml:space="preserve">No, </w:t>
      </w:r>
      <w:r w:rsidR="00CD1A41">
        <w:rPr>
          <w:rFonts w:cs="Times New Roman"/>
        </w:rPr>
        <w:t xml:space="preserve">the </w:t>
      </w:r>
      <w:r>
        <w:rPr>
          <w:rFonts w:cs="Times New Roman"/>
        </w:rPr>
        <w:t xml:space="preserve">earned income </w:t>
      </w:r>
      <w:r w:rsidR="00CD1A41">
        <w:rPr>
          <w:rFonts w:cs="Times New Roman"/>
        </w:rPr>
        <w:t xml:space="preserve">of </w:t>
      </w:r>
      <w:r>
        <w:rPr>
          <w:rFonts w:cs="Times New Roman"/>
        </w:rPr>
        <w:t xml:space="preserve">dependent children under the age of 18 is </w:t>
      </w:r>
      <w:r w:rsidR="00CD1A41">
        <w:rPr>
          <w:rFonts w:cs="Times New Roman"/>
        </w:rPr>
        <w:t>excluded from annual income</w:t>
      </w:r>
      <w:r>
        <w:rPr>
          <w:rFonts w:cs="Times New Roman"/>
        </w:rPr>
        <w:t>.</w:t>
      </w:r>
      <w:r w:rsidR="00C8056D">
        <w:rPr>
          <w:rFonts w:cs="Times New Roman"/>
        </w:rPr>
        <w:t xml:space="preserve"> However, other income of dependent children under the age of 18 is included. The </w:t>
      </w:r>
      <w:r w:rsidR="00C8056D" w:rsidRPr="00657C04">
        <w:rPr>
          <w:rFonts w:cs="Times New Roman"/>
          <w:b/>
          <w:color w:val="ED7D31" w:themeColor="accent2"/>
        </w:rPr>
        <w:t>Determining Household Annual</w:t>
      </w:r>
      <w:r w:rsidR="00FB1D9D">
        <w:rPr>
          <w:rFonts w:cs="Times New Roman"/>
          <w:b/>
          <w:color w:val="ED7D31" w:themeColor="accent2"/>
        </w:rPr>
        <w:t xml:space="preserve"> </w:t>
      </w:r>
      <w:r w:rsidR="00C8056D" w:rsidRPr="00657C04">
        <w:rPr>
          <w:rFonts w:cs="Times New Roman"/>
          <w:b/>
          <w:color w:val="ED7D31" w:themeColor="accent2"/>
        </w:rPr>
        <w:t>Income Guide</w:t>
      </w:r>
      <w:r w:rsidR="00C8056D" w:rsidRPr="00C8056D">
        <w:rPr>
          <w:rFonts w:cs="Times New Roman"/>
        </w:rPr>
        <w:t xml:space="preserve"> </w:t>
      </w:r>
      <w:r w:rsidR="00D77026" w:rsidRPr="00D77026">
        <w:rPr>
          <w:rFonts w:cs="Times New Roman"/>
        </w:rPr>
        <w:t xml:space="preserve">outlines acceptable forms of documentation, whose income </w:t>
      </w:r>
      <w:r w:rsidR="00B63A86">
        <w:rPr>
          <w:rFonts w:cs="Times New Roman"/>
        </w:rPr>
        <w:t>counts</w:t>
      </w:r>
      <w:r w:rsidR="00D77026" w:rsidRPr="00D77026">
        <w:rPr>
          <w:rFonts w:cs="Times New Roman"/>
        </w:rPr>
        <w:t>, and income inclusions and exclusions.</w:t>
      </w:r>
    </w:p>
    <w:p w14:paraId="4B6F4EE9" w14:textId="339C56CD" w:rsidR="00474081" w:rsidRDefault="00474081" w:rsidP="00DA098E">
      <w:pPr>
        <w:pStyle w:val="NoSpacing"/>
        <w:numPr>
          <w:ilvl w:val="0"/>
          <w:numId w:val="22"/>
        </w:numPr>
        <w:rPr>
          <w:b/>
        </w:rPr>
      </w:pPr>
      <w:r w:rsidRPr="00390A31">
        <w:rPr>
          <w:b/>
        </w:rPr>
        <w:t xml:space="preserve">If </w:t>
      </w:r>
      <w:r>
        <w:rPr>
          <w:b/>
        </w:rPr>
        <w:t>a household includes two married persons w</w:t>
      </w:r>
      <w:r w:rsidRPr="00390A31">
        <w:rPr>
          <w:b/>
        </w:rPr>
        <w:t xml:space="preserve">ith one spouse being the sole caregiver for the other, do we have to include the caregiver’s income in </w:t>
      </w:r>
      <w:r>
        <w:rPr>
          <w:b/>
        </w:rPr>
        <w:t>annual income</w:t>
      </w:r>
      <w:r w:rsidRPr="00390A31">
        <w:rPr>
          <w:b/>
        </w:rPr>
        <w:t>?</w:t>
      </w:r>
    </w:p>
    <w:p w14:paraId="0833238E" w14:textId="32F526A5" w:rsidR="00474081" w:rsidRPr="00EC6087" w:rsidRDefault="00474081" w:rsidP="00474081">
      <w:pPr>
        <w:pStyle w:val="NoSpacing"/>
        <w:ind w:left="720"/>
      </w:pPr>
      <w:r>
        <w:t xml:space="preserve">Yes, a spouse cannot be considered a live-in aide. Per 24 CFR </w:t>
      </w:r>
      <w:r w:rsidRPr="00520004">
        <w:rPr>
          <w:rFonts w:cs="Times New Roman"/>
        </w:rPr>
        <w:t>§</w:t>
      </w:r>
      <w:r>
        <w:t xml:space="preserve">813.102, a live-in aide is a person who resides with an elderly or disabled person or persons and who </w:t>
      </w:r>
      <w:r w:rsidR="00CD6DBD">
        <w:t>1</w:t>
      </w:r>
      <w:r>
        <w:t xml:space="preserve">) is essential to the care and welfare of the person(s), </w:t>
      </w:r>
      <w:r w:rsidR="00CD6DBD">
        <w:t>2</w:t>
      </w:r>
      <w:r>
        <w:t xml:space="preserve">) is not obligated to support the person(s), and </w:t>
      </w:r>
      <w:r w:rsidR="00CD6DBD">
        <w:t>3</w:t>
      </w:r>
      <w:r>
        <w:t xml:space="preserve">) would not </w:t>
      </w:r>
      <w:r w:rsidR="00B159AA">
        <w:t>live</w:t>
      </w:r>
      <w:r>
        <w:t xml:space="preserve"> in the unit except to provide necessary supportive services.</w:t>
      </w:r>
    </w:p>
    <w:p w14:paraId="149B9BE1" w14:textId="77777777" w:rsidR="00474081" w:rsidRDefault="00474081" w:rsidP="00B107A8">
      <w:pPr>
        <w:pStyle w:val="NoSpacing"/>
        <w:ind w:left="720"/>
        <w:rPr>
          <w:rFonts w:cs="Times New Roman"/>
        </w:rPr>
      </w:pPr>
    </w:p>
    <w:p w14:paraId="791BA2EE" w14:textId="1BA01924" w:rsidR="006831AD" w:rsidRPr="004D594B" w:rsidRDefault="007E2A00" w:rsidP="004D594B">
      <w:pPr>
        <w:pStyle w:val="Quote"/>
      </w:pPr>
      <w:r w:rsidRPr="004D594B">
        <w:t>Program Services</w:t>
      </w:r>
    </w:p>
    <w:p w14:paraId="08221561" w14:textId="77777777" w:rsidR="004D594B" w:rsidRDefault="004D594B" w:rsidP="00DA098E">
      <w:pPr>
        <w:pStyle w:val="NoSpacing"/>
        <w:numPr>
          <w:ilvl w:val="0"/>
          <w:numId w:val="22"/>
        </w:numPr>
        <w:rPr>
          <w:rFonts w:cs="Times New Roman"/>
          <w:b/>
        </w:rPr>
      </w:pPr>
      <w:r>
        <w:rPr>
          <w:rFonts w:cs="Times New Roman"/>
          <w:b/>
        </w:rPr>
        <w:t>Can TBRA, STRMU, or PHP pay for a hotel/motel stay?</w:t>
      </w:r>
    </w:p>
    <w:p w14:paraId="1E9ACFDB" w14:textId="3B2BF9EA" w:rsidR="004D594B" w:rsidRPr="00937CE4" w:rsidRDefault="004D594B" w:rsidP="004D594B">
      <w:pPr>
        <w:pStyle w:val="NoSpacing"/>
        <w:ind w:left="720"/>
        <w:rPr>
          <w:rFonts w:cs="Times New Roman"/>
        </w:rPr>
      </w:pPr>
      <w:r>
        <w:rPr>
          <w:rFonts w:cs="Times New Roman"/>
        </w:rPr>
        <w:t xml:space="preserve">No, but STSH can. If a Project Sponsor does not provide STSH, a local emergency </w:t>
      </w:r>
      <w:r w:rsidRPr="00937CE4">
        <w:rPr>
          <w:rFonts w:cs="Times New Roman"/>
        </w:rPr>
        <w:t>shelter</w:t>
      </w:r>
      <w:r>
        <w:rPr>
          <w:rFonts w:cs="Times New Roman"/>
        </w:rPr>
        <w:t xml:space="preserve"> may have </w:t>
      </w:r>
      <w:r w:rsidRPr="00937CE4">
        <w:rPr>
          <w:rFonts w:cs="Times New Roman"/>
        </w:rPr>
        <w:t xml:space="preserve">funding for hotel/motel vouchers. </w:t>
      </w:r>
      <w:r>
        <w:rPr>
          <w:rFonts w:cs="Times New Roman"/>
        </w:rPr>
        <w:t>The emergency shelter may provide other housing assistance and supportive</w:t>
      </w:r>
      <w:r w:rsidRPr="00937CE4">
        <w:rPr>
          <w:rFonts w:cs="Times New Roman"/>
        </w:rPr>
        <w:t xml:space="preserve"> services</w:t>
      </w:r>
      <w:r>
        <w:rPr>
          <w:rFonts w:cs="Times New Roman"/>
        </w:rPr>
        <w:t>, too</w:t>
      </w:r>
      <w:r w:rsidRPr="00937CE4">
        <w:rPr>
          <w:rFonts w:cs="Times New Roman"/>
        </w:rPr>
        <w:t>.</w:t>
      </w:r>
    </w:p>
    <w:p w14:paraId="3424BF14" w14:textId="77777777" w:rsidR="004D594B" w:rsidRDefault="004D594B" w:rsidP="00DA098E">
      <w:pPr>
        <w:pStyle w:val="NoSpacing"/>
        <w:numPr>
          <w:ilvl w:val="0"/>
          <w:numId w:val="22"/>
        </w:numPr>
        <w:rPr>
          <w:rFonts w:cs="Times New Roman"/>
          <w:b/>
        </w:rPr>
      </w:pPr>
      <w:r>
        <w:rPr>
          <w:rFonts w:cs="Times New Roman"/>
          <w:b/>
        </w:rPr>
        <w:t>Can TBRA, STRMU, FBHA, or PHP pay for moving expenses?</w:t>
      </w:r>
    </w:p>
    <w:p w14:paraId="324DE7D0" w14:textId="211F5D14" w:rsidR="004D594B" w:rsidRDefault="004D594B" w:rsidP="004D594B">
      <w:pPr>
        <w:pStyle w:val="NoSpacing"/>
        <w:ind w:left="720"/>
        <w:rPr>
          <w:rFonts w:cs="Times New Roman"/>
        </w:rPr>
      </w:pPr>
      <w:r>
        <w:rPr>
          <w:rFonts w:cs="Times New Roman"/>
        </w:rPr>
        <w:t xml:space="preserve">No, these services </w:t>
      </w:r>
      <w:r w:rsidRPr="00BF7E66">
        <w:rPr>
          <w:rFonts w:cs="Times New Roman"/>
        </w:rPr>
        <w:t xml:space="preserve">cannot pay for a moving truck or </w:t>
      </w:r>
      <w:r>
        <w:rPr>
          <w:rFonts w:cs="Times New Roman"/>
        </w:rPr>
        <w:t xml:space="preserve">other </w:t>
      </w:r>
      <w:r w:rsidRPr="00BF7E66">
        <w:rPr>
          <w:rFonts w:cs="Times New Roman"/>
        </w:rPr>
        <w:t>services to help someone move</w:t>
      </w:r>
      <w:r>
        <w:rPr>
          <w:rFonts w:cs="Times New Roman"/>
        </w:rPr>
        <w:t xml:space="preserve"> their belongings.</w:t>
      </w:r>
    </w:p>
    <w:p w14:paraId="61DE217F" w14:textId="61749222" w:rsidR="004D594B" w:rsidRDefault="004D594B" w:rsidP="00DA098E">
      <w:pPr>
        <w:pStyle w:val="ListParagraph"/>
        <w:numPr>
          <w:ilvl w:val="0"/>
          <w:numId w:val="22"/>
        </w:numPr>
        <w:spacing w:after="0" w:line="240" w:lineRule="auto"/>
        <w:rPr>
          <w:rFonts w:cs="Times New Roman"/>
          <w:b/>
        </w:rPr>
      </w:pPr>
      <w:r w:rsidRPr="00166252">
        <w:rPr>
          <w:rFonts w:cs="Times New Roman"/>
          <w:b/>
        </w:rPr>
        <w:t xml:space="preserve">Can a </w:t>
      </w:r>
      <w:r>
        <w:rPr>
          <w:rFonts w:cs="Times New Roman"/>
          <w:b/>
        </w:rPr>
        <w:t>client</w:t>
      </w:r>
      <w:r w:rsidRPr="00166252">
        <w:rPr>
          <w:rFonts w:cs="Times New Roman"/>
          <w:b/>
        </w:rPr>
        <w:t xml:space="preserve"> simultaneously receive TBRA and STRMU </w:t>
      </w:r>
      <w:r w:rsidR="00406151">
        <w:rPr>
          <w:rFonts w:cs="Times New Roman"/>
          <w:b/>
        </w:rPr>
        <w:t>services</w:t>
      </w:r>
      <w:r w:rsidRPr="00166252">
        <w:rPr>
          <w:rFonts w:cs="Times New Roman"/>
          <w:b/>
        </w:rPr>
        <w:t>?</w:t>
      </w:r>
    </w:p>
    <w:p w14:paraId="4C21C007" w14:textId="50F3B54C" w:rsidR="004D594B" w:rsidRDefault="004D594B" w:rsidP="004D594B">
      <w:pPr>
        <w:pStyle w:val="ListParagraph"/>
        <w:spacing w:after="0" w:line="240" w:lineRule="auto"/>
        <w:rPr>
          <w:rFonts w:cs="Times New Roman"/>
        </w:rPr>
      </w:pPr>
      <w:r>
        <w:rPr>
          <w:rFonts w:cs="Times New Roman"/>
        </w:rPr>
        <w:t xml:space="preserve">No. Per HUD’s </w:t>
      </w:r>
      <w:r w:rsidRPr="00DA098E">
        <w:rPr>
          <w:rFonts w:cs="Times New Roman"/>
          <w:i/>
        </w:rPr>
        <w:t>HOPWA Grantee Oversight Resource Guide</w:t>
      </w:r>
      <w:r>
        <w:rPr>
          <w:rFonts w:cs="Times New Roman"/>
        </w:rPr>
        <w:t>, TBRA, STRMU, and FBHA service periods cannot overlap.</w:t>
      </w:r>
    </w:p>
    <w:p w14:paraId="223BFBB3" w14:textId="057A970F" w:rsidR="004D594B" w:rsidRDefault="004D594B" w:rsidP="00DA098E">
      <w:pPr>
        <w:pStyle w:val="NoSpacing"/>
        <w:numPr>
          <w:ilvl w:val="0"/>
          <w:numId w:val="22"/>
        </w:numPr>
        <w:rPr>
          <w:rFonts w:cs="Times New Roman"/>
          <w:b/>
        </w:rPr>
      </w:pPr>
      <w:r w:rsidRPr="00166252">
        <w:rPr>
          <w:rFonts w:cs="Times New Roman"/>
          <w:b/>
        </w:rPr>
        <w:t xml:space="preserve">Can a person </w:t>
      </w:r>
      <w:r>
        <w:rPr>
          <w:rFonts w:cs="Times New Roman"/>
          <w:b/>
        </w:rPr>
        <w:t xml:space="preserve">living in </w:t>
      </w:r>
      <w:r w:rsidR="00E506F0">
        <w:rPr>
          <w:rFonts w:cs="Times New Roman"/>
          <w:b/>
        </w:rPr>
        <w:t>p</w:t>
      </w:r>
      <w:r>
        <w:rPr>
          <w:rFonts w:cs="Times New Roman"/>
          <w:b/>
        </w:rPr>
        <w:t xml:space="preserve">ublic </w:t>
      </w:r>
      <w:r w:rsidR="00E506F0">
        <w:rPr>
          <w:rFonts w:cs="Times New Roman"/>
          <w:b/>
        </w:rPr>
        <w:t>h</w:t>
      </w:r>
      <w:r>
        <w:rPr>
          <w:rFonts w:cs="Times New Roman"/>
          <w:b/>
        </w:rPr>
        <w:t xml:space="preserve">ousing or enrolled in the Housing Choice Voucher </w:t>
      </w:r>
      <w:r w:rsidR="005A7294">
        <w:rPr>
          <w:rFonts w:cs="Times New Roman"/>
          <w:b/>
        </w:rPr>
        <w:t>P</w:t>
      </w:r>
      <w:r>
        <w:rPr>
          <w:rFonts w:cs="Times New Roman"/>
          <w:b/>
        </w:rPr>
        <w:t>rogram</w:t>
      </w:r>
      <w:r w:rsidR="00721FC8">
        <w:rPr>
          <w:rFonts w:cs="Times New Roman"/>
          <w:b/>
        </w:rPr>
        <w:t xml:space="preserve"> (HCVP)</w:t>
      </w:r>
      <w:r>
        <w:rPr>
          <w:rFonts w:cs="Times New Roman"/>
          <w:b/>
        </w:rPr>
        <w:t xml:space="preserve"> </w:t>
      </w:r>
      <w:r w:rsidRPr="00166252">
        <w:rPr>
          <w:rFonts w:cs="Times New Roman"/>
          <w:b/>
        </w:rPr>
        <w:t>also receive HOPWA housing assistance?</w:t>
      </w:r>
    </w:p>
    <w:p w14:paraId="7233CB3B" w14:textId="50171119" w:rsidR="004D594B" w:rsidRPr="00C57BD3" w:rsidRDefault="004D594B" w:rsidP="004D594B">
      <w:pPr>
        <w:pStyle w:val="NoSpacing"/>
        <w:ind w:left="720"/>
        <w:rPr>
          <w:rFonts w:cs="Times New Roman"/>
        </w:rPr>
      </w:pPr>
      <w:r w:rsidRPr="00C57BD3">
        <w:rPr>
          <w:rFonts w:cs="Times New Roman"/>
        </w:rPr>
        <w:t>No</w:t>
      </w:r>
      <w:r>
        <w:rPr>
          <w:rFonts w:cs="Times New Roman"/>
        </w:rPr>
        <w:t xml:space="preserve">, they </w:t>
      </w:r>
      <w:r w:rsidR="00B70170">
        <w:rPr>
          <w:rFonts w:cs="Times New Roman"/>
        </w:rPr>
        <w:t>cannot</w:t>
      </w:r>
      <w:r>
        <w:rPr>
          <w:rFonts w:cs="Times New Roman"/>
        </w:rPr>
        <w:t xml:space="preserve"> </w:t>
      </w:r>
      <w:r w:rsidRPr="00C57BD3">
        <w:rPr>
          <w:rFonts w:cs="Times New Roman"/>
        </w:rPr>
        <w:t xml:space="preserve">receive </w:t>
      </w:r>
      <w:r>
        <w:rPr>
          <w:rFonts w:cs="Times New Roman"/>
        </w:rPr>
        <w:t xml:space="preserve">TBRA, STRMU, or FBHA. </w:t>
      </w:r>
      <w:r w:rsidRPr="00C57BD3">
        <w:rPr>
          <w:rFonts w:cs="Times New Roman"/>
        </w:rPr>
        <w:t xml:space="preserve">However, clients may receive </w:t>
      </w:r>
      <w:r w:rsidR="00BC02C5">
        <w:rPr>
          <w:rFonts w:cs="Times New Roman"/>
        </w:rPr>
        <w:t>HCM, HIS,</w:t>
      </w:r>
      <w:r w:rsidRPr="00C57BD3">
        <w:rPr>
          <w:rFonts w:cs="Times New Roman"/>
        </w:rPr>
        <w:t xml:space="preserve"> </w:t>
      </w:r>
      <w:r>
        <w:rPr>
          <w:rFonts w:cs="Times New Roman"/>
        </w:rPr>
        <w:t>and PHP.</w:t>
      </w:r>
    </w:p>
    <w:p w14:paraId="48088208" w14:textId="0BDCF981" w:rsidR="004D594B" w:rsidRDefault="004D594B" w:rsidP="00DA098E">
      <w:pPr>
        <w:pStyle w:val="NoSpacing"/>
        <w:numPr>
          <w:ilvl w:val="0"/>
          <w:numId w:val="22"/>
        </w:numPr>
        <w:rPr>
          <w:rFonts w:cs="Times New Roman"/>
          <w:b/>
        </w:rPr>
      </w:pPr>
      <w:r w:rsidRPr="00166252">
        <w:rPr>
          <w:rFonts w:cs="Times New Roman"/>
          <w:b/>
        </w:rPr>
        <w:t xml:space="preserve">Can a person </w:t>
      </w:r>
      <w:r>
        <w:rPr>
          <w:rFonts w:cs="Times New Roman"/>
          <w:b/>
        </w:rPr>
        <w:t>enrolled in</w:t>
      </w:r>
      <w:r w:rsidRPr="00166252">
        <w:rPr>
          <w:rFonts w:cs="Times New Roman"/>
          <w:b/>
        </w:rPr>
        <w:t xml:space="preserve"> HOME Tenant-Based Rental Assistance </w:t>
      </w:r>
      <w:r>
        <w:rPr>
          <w:rFonts w:cs="Times New Roman"/>
          <w:b/>
        </w:rPr>
        <w:t>also receive HOPWA housing assistance?</w:t>
      </w:r>
    </w:p>
    <w:p w14:paraId="1A3C6627" w14:textId="1FF7C865" w:rsidR="004F1048" w:rsidRDefault="004D594B" w:rsidP="004D594B">
      <w:pPr>
        <w:pStyle w:val="NoSpacing"/>
        <w:ind w:left="720"/>
        <w:rPr>
          <w:rFonts w:cs="Times New Roman"/>
        </w:rPr>
      </w:pPr>
      <w:r w:rsidRPr="00C57BD3">
        <w:rPr>
          <w:rFonts w:cs="Times New Roman"/>
        </w:rPr>
        <w:t>No.</w:t>
      </w:r>
      <w:r>
        <w:rPr>
          <w:rFonts w:cs="Times New Roman"/>
        </w:rPr>
        <w:t xml:space="preserve"> </w:t>
      </w:r>
      <w:r w:rsidRPr="00C57BD3">
        <w:rPr>
          <w:rFonts w:cs="Times New Roman"/>
        </w:rPr>
        <w:t xml:space="preserve">As with </w:t>
      </w:r>
      <w:r w:rsidRPr="00812DD4">
        <w:rPr>
          <w:rFonts w:cs="Times New Roman"/>
        </w:rPr>
        <w:t>person</w:t>
      </w:r>
      <w:r>
        <w:rPr>
          <w:rFonts w:cs="Times New Roman"/>
        </w:rPr>
        <w:t>s</w:t>
      </w:r>
      <w:r w:rsidRPr="00812DD4">
        <w:rPr>
          <w:rFonts w:cs="Times New Roman"/>
        </w:rPr>
        <w:t xml:space="preserve"> living in </w:t>
      </w:r>
      <w:r w:rsidR="00E506F0">
        <w:rPr>
          <w:rFonts w:cs="Times New Roman"/>
        </w:rPr>
        <w:t>p</w:t>
      </w:r>
      <w:r w:rsidRPr="00812DD4">
        <w:rPr>
          <w:rFonts w:cs="Times New Roman"/>
        </w:rPr>
        <w:t xml:space="preserve">ublic </w:t>
      </w:r>
      <w:r w:rsidR="00E506F0">
        <w:rPr>
          <w:rFonts w:cs="Times New Roman"/>
        </w:rPr>
        <w:t>h</w:t>
      </w:r>
      <w:r w:rsidRPr="00812DD4">
        <w:rPr>
          <w:rFonts w:cs="Times New Roman"/>
        </w:rPr>
        <w:t xml:space="preserve">ousing or enrolled in the Housing Choice Voucher </w:t>
      </w:r>
      <w:r w:rsidR="005A7294">
        <w:rPr>
          <w:rFonts w:cs="Times New Roman"/>
        </w:rPr>
        <w:t>P</w:t>
      </w:r>
      <w:r w:rsidRPr="00812DD4">
        <w:rPr>
          <w:rFonts w:cs="Times New Roman"/>
        </w:rPr>
        <w:t>rogram</w:t>
      </w:r>
      <w:r w:rsidR="00721FC8">
        <w:rPr>
          <w:rFonts w:cs="Times New Roman"/>
        </w:rPr>
        <w:t xml:space="preserve"> (HCVP)</w:t>
      </w:r>
      <w:r w:rsidRPr="00C57BD3">
        <w:rPr>
          <w:rFonts w:cs="Times New Roman"/>
        </w:rPr>
        <w:t xml:space="preserve">, </w:t>
      </w:r>
      <w:r>
        <w:rPr>
          <w:rFonts w:cs="Times New Roman"/>
        </w:rPr>
        <w:t xml:space="preserve">they </w:t>
      </w:r>
      <w:r w:rsidR="00B70170">
        <w:rPr>
          <w:rFonts w:cs="Times New Roman"/>
        </w:rPr>
        <w:t>cannot</w:t>
      </w:r>
      <w:r>
        <w:rPr>
          <w:rFonts w:cs="Times New Roman"/>
        </w:rPr>
        <w:t xml:space="preserve"> receive</w:t>
      </w:r>
      <w:r w:rsidRPr="00C57BD3">
        <w:rPr>
          <w:rFonts w:cs="Times New Roman"/>
        </w:rPr>
        <w:t xml:space="preserve"> </w:t>
      </w:r>
      <w:r>
        <w:rPr>
          <w:rFonts w:cs="Times New Roman"/>
        </w:rPr>
        <w:t>TBRA, STRMU, or FBHA</w:t>
      </w:r>
      <w:r w:rsidRPr="00C57BD3">
        <w:rPr>
          <w:rFonts w:cs="Times New Roman"/>
        </w:rPr>
        <w:t xml:space="preserve"> </w:t>
      </w:r>
      <w:r>
        <w:rPr>
          <w:rFonts w:cs="Times New Roman"/>
        </w:rPr>
        <w:t>while enrolled in another</w:t>
      </w:r>
      <w:r w:rsidRPr="00C57BD3">
        <w:rPr>
          <w:rFonts w:cs="Times New Roman"/>
        </w:rPr>
        <w:t xml:space="preserve"> federal housing assistance program.</w:t>
      </w:r>
      <w:r>
        <w:rPr>
          <w:rFonts w:cs="Times New Roman"/>
        </w:rPr>
        <w:t xml:space="preserve"> </w:t>
      </w:r>
      <w:r w:rsidRPr="00C57BD3">
        <w:rPr>
          <w:rFonts w:cs="Times New Roman"/>
        </w:rPr>
        <w:t xml:space="preserve">However, clients may receive </w:t>
      </w:r>
      <w:r w:rsidR="00BC02C5">
        <w:rPr>
          <w:rFonts w:cs="Times New Roman"/>
        </w:rPr>
        <w:t>HCM, HIS,</w:t>
      </w:r>
      <w:r w:rsidRPr="00C57BD3">
        <w:rPr>
          <w:rFonts w:cs="Times New Roman"/>
        </w:rPr>
        <w:t xml:space="preserve"> and </w:t>
      </w:r>
      <w:r>
        <w:rPr>
          <w:rFonts w:cs="Times New Roman"/>
        </w:rPr>
        <w:t>PHP</w:t>
      </w:r>
      <w:r w:rsidRPr="00C57BD3">
        <w:rPr>
          <w:rFonts w:cs="Times New Roman"/>
        </w:rPr>
        <w:t>.</w:t>
      </w:r>
    </w:p>
    <w:p w14:paraId="20876BED" w14:textId="77777777" w:rsidR="00AA7400" w:rsidRDefault="00AA7400" w:rsidP="00DA098E">
      <w:pPr>
        <w:pStyle w:val="ListParagraph"/>
        <w:numPr>
          <w:ilvl w:val="0"/>
          <w:numId w:val="22"/>
        </w:numPr>
        <w:spacing w:after="0" w:line="240" w:lineRule="auto"/>
        <w:rPr>
          <w:b/>
        </w:rPr>
      </w:pPr>
      <w:r>
        <w:rPr>
          <w:b/>
        </w:rPr>
        <w:t>Can we pay pro-rated first month’s rent?</w:t>
      </w:r>
    </w:p>
    <w:p w14:paraId="064431ED" w14:textId="467F41EB" w:rsidR="00AA7400" w:rsidRPr="00980337" w:rsidRDefault="00AA7400" w:rsidP="00AA7400">
      <w:pPr>
        <w:pStyle w:val="ListParagraph"/>
        <w:spacing w:after="0" w:line="240" w:lineRule="auto"/>
      </w:pPr>
      <w:r w:rsidRPr="00980337">
        <w:t xml:space="preserve">Yes, </w:t>
      </w:r>
      <w:r>
        <w:t>PHP could pay the full pro-rated rent or TBRA or TSH could pay a calculated share of the pro-rated rent</w:t>
      </w:r>
      <w:r w:rsidRPr="00980337">
        <w:t>.</w:t>
      </w:r>
    </w:p>
    <w:p w14:paraId="7B64DF60" w14:textId="5A2CA201" w:rsidR="00A701CB" w:rsidRDefault="00A701CB" w:rsidP="00DA098E">
      <w:pPr>
        <w:numPr>
          <w:ilvl w:val="0"/>
          <w:numId w:val="22"/>
        </w:numPr>
        <w:spacing w:after="0" w:line="240" w:lineRule="auto"/>
        <w:jc w:val="both"/>
        <w:rPr>
          <w:b/>
        </w:rPr>
      </w:pPr>
      <w:r w:rsidRPr="00166252">
        <w:rPr>
          <w:b/>
        </w:rPr>
        <w:t xml:space="preserve">Is </w:t>
      </w:r>
      <w:r>
        <w:rPr>
          <w:b/>
        </w:rPr>
        <w:t>Form P</w:t>
      </w:r>
      <w:r w:rsidRPr="00166252">
        <w:rPr>
          <w:b/>
        </w:rPr>
        <w:t xml:space="preserve"> required at the end of the year for clients continuing to the following year?</w:t>
      </w:r>
    </w:p>
    <w:p w14:paraId="1DA0155A" w14:textId="24AB0538" w:rsidR="00A701CB" w:rsidRDefault="00A701CB" w:rsidP="004D594B">
      <w:pPr>
        <w:pStyle w:val="NoSpacing"/>
        <w:ind w:left="720"/>
        <w:rPr>
          <w:rFonts w:cs="Times New Roman"/>
        </w:rPr>
      </w:pPr>
      <w:r>
        <w:lastRenderedPageBreak/>
        <w:t>Yes, Project Sponsors must record service outcomes on Form P t</w:t>
      </w:r>
      <w:r w:rsidRPr="00500F96">
        <w:t xml:space="preserve">o measure the effectiveness of </w:t>
      </w:r>
      <w:r>
        <w:t>program</w:t>
      </w:r>
      <w:r w:rsidRPr="00500F96">
        <w:t xml:space="preserve"> services (</w:t>
      </w:r>
      <w:r>
        <w:t>TBRA, FBHA, STRMU, Supportive Services</w:t>
      </w:r>
      <w:r w:rsidRPr="00500F96">
        <w:t>)</w:t>
      </w:r>
      <w:r>
        <w:t xml:space="preserve">. </w:t>
      </w:r>
      <w:r w:rsidRPr="00500F96">
        <w:t>Form P must be completed if the household will be disenrolled from the program or continue to the next annual eligibility period.</w:t>
      </w:r>
    </w:p>
    <w:p w14:paraId="4AA4F820" w14:textId="11466F3E" w:rsidR="004F1048" w:rsidRDefault="004F1048" w:rsidP="00DA098E">
      <w:pPr>
        <w:numPr>
          <w:ilvl w:val="0"/>
          <w:numId w:val="22"/>
        </w:numPr>
        <w:spacing w:after="0" w:line="240" w:lineRule="auto"/>
        <w:jc w:val="both"/>
        <w:rPr>
          <w:b/>
        </w:rPr>
      </w:pPr>
      <w:r w:rsidRPr="00166252">
        <w:rPr>
          <w:b/>
        </w:rPr>
        <w:t xml:space="preserve">Can HOPWA funds pay for a </w:t>
      </w:r>
      <w:r>
        <w:rPr>
          <w:b/>
        </w:rPr>
        <w:t xml:space="preserve">houseboat and </w:t>
      </w:r>
      <w:r w:rsidRPr="00166252">
        <w:rPr>
          <w:b/>
        </w:rPr>
        <w:t>boat slip for a client living in a houseboat?</w:t>
      </w:r>
    </w:p>
    <w:p w14:paraId="3C439867" w14:textId="4FF3F854" w:rsidR="004F1048" w:rsidRDefault="004F1048" w:rsidP="004F1048">
      <w:pPr>
        <w:spacing w:after="0" w:line="240" w:lineRule="auto"/>
        <w:ind w:left="720"/>
        <w:jc w:val="both"/>
        <w:rPr>
          <w:rFonts w:cs="Times New Roman"/>
        </w:rPr>
      </w:pPr>
      <w:r w:rsidRPr="009E00C5">
        <w:t>Yes, if the boat slip provides</w:t>
      </w:r>
      <w:r>
        <w:t xml:space="preserve"> water and utility connections. See Appendix A for Mobile Home requirements.</w:t>
      </w:r>
    </w:p>
    <w:p w14:paraId="493D4F73" w14:textId="53FD4E75" w:rsidR="004F1048" w:rsidRDefault="00D90FC5" w:rsidP="00DA098E">
      <w:pPr>
        <w:pStyle w:val="ListParagraph"/>
        <w:numPr>
          <w:ilvl w:val="0"/>
          <w:numId w:val="22"/>
        </w:numPr>
        <w:spacing w:after="0" w:line="240" w:lineRule="auto"/>
        <w:rPr>
          <w:rFonts w:cs="Times New Roman"/>
          <w:b/>
        </w:rPr>
      </w:pPr>
      <w:r>
        <w:rPr>
          <w:rFonts w:cs="Times New Roman"/>
          <w:b/>
        </w:rPr>
        <w:t>Do</w:t>
      </w:r>
      <w:r w:rsidRPr="00166252">
        <w:rPr>
          <w:rFonts w:cs="Times New Roman"/>
          <w:b/>
        </w:rPr>
        <w:t xml:space="preserve"> </w:t>
      </w:r>
      <w:r>
        <w:rPr>
          <w:rFonts w:cs="Times New Roman"/>
          <w:b/>
        </w:rPr>
        <w:t xml:space="preserve">we deny </w:t>
      </w:r>
      <w:r w:rsidR="004F1048" w:rsidRPr="00166252">
        <w:rPr>
          <w:rFonts w:cs="Times New Roman"/>
          <w:b/>
        </w:rPr>
        <w:t xml:space="preserve">housing assistance services to clients who </w:t>
      </w:r>
      <w:r>
        <w:rPr>
          <w:rFonts w:cs="Times New Roman"/>
          <w:b/>
        </w:rPr>
        <w:t>actively use</w:t>
      </w:r>
      <w:r w:rsidR="004F1048" w:rsidRPr="00166252">
        <w:rPr>
          <w:rFonts w:cs="Times New Roman"/>
          <w:b/>
        </w:rPr>
        <w:t xml:space="preserve"> substance</w:t>
      </w:r>
      <w:r>
        <w:rPr>
          <w:rFonts w:cs="Times New Roman"/>
          <w:b/>
        </w:rPr>
        <w:t>s or have</w:t>
      </w:r>
      <w:r w:rsidR="004F1048">
        <w:rPr>
          <w:rFonts w:cs="Times New Roman"/>
          <w:b/>
        </w:rPr>
        <w:t xml:space="preserve"> registered </w:t>
      </w:r>
      <w:r>
        <w:rPr>
          <w:rFonts w:cs="Times New Roman"/>
          <w:b/>
        </w:rPr>
        <w:t xml:space="preserve">as </w:t>
      </w:r>
      <w:r w:rsidR="004F1048">
        <w:rPr>
          <w:rFonts w:cs="Times New Roman"/>
          <w:b/>
        </w:rPr>
        <w:t>sex-offenders</w:t>
      </w:r>
      <w:r w:rsidR="004F1048" w:rsidRPr="00166252">
        <w:rPr>
          <w:rFonts w:cs="Times New Roman"/>
          <w:b/>
        </w:rPr>
        <w:t>?</w:t>
      </w:r>
    </w:p>
    <w:p w14:paraId="501DCDA3" w14:textId="7FCF9C23" w:rsidR="004F1048" w:rsidRDefault="004F1048" w:rsidP="004F1048">
      <w:pPr>
        <w:pStyle w:val="NoSpacing"/>
        <w:ind w:left="720"/>
      </w:pPr>
      <w:r>
        <w:t xml:space="preserve">HOPWA housing assistance should not be denied simply because a client uses or is alleged to use substances in their place of residence, or because they decline substance use treatment services. Household eligibility must be based on the criteria specified in the eligibility section of this manual. The Project Sponsor may make referrals to appropriate treatment and supportive services with the client’s consent. The owner of the rental property has the right to prohibit illegal activity on their </w:t>
      </w:r>
      <w:proofErr w:type="gramStart"/>
      <w:r>
        <w:t>property, and</w:t>
      </w:r>
      <w:proofErr w:type="gramEnd"/>
      <w:r>
        <w:t xml:space="preserve"> has the right to notify law enforcement officials when needed or to initiate eviction proceedings when a client has violated lease provisions. If a client is using substances and complying with the terms of the DSHS HOPWA Program Agreement and their housing plan, then the client has not violated any program rules. If a client is using substances and their substance use is related to their non-compliance with program rules or non-adherence to their housing plan, then Project Sponsors should work with the household to create a plan that will lead to compliance with program rules and adherence to their housing plan. If a realistic plan cannot be created, or the client remains non-compliant or non-adherent, then the household may be considered for termination per the Project Sponsor’s termination policy and procedure. Termination should be a last resort.</w:t>
      </w:r>
    </w:p>
    <w:p w14:paraId="2266BE68" w14:textId="77777777" w:rsidR="004F1048" w:rsidRDefault="004F1048" w:rsidP="004F1048">
      <w:pPr>
        <w:pStyle w:val="NoSpacing"/>
        <w:ind w:left="720"/>
      </w:pPr>
    </w:p>
    <w:p w14:paraId="00C336CA" w14:textId="5AA5D590" w:rsidR="004D594B" w:rsidRPr="00BF7E66" w:rsidRDefault="004F1048" w:rsidP="004D594B">
      <w:pPr>
        <w:pStyle w:val="NoSpacing"/>
        <w:ind w:left="720"/>
        <w:rPr>
          <w:rFonts w:cs="Times New Roman"/>
        </w:rPr>
      </w:pPr>
      <w:r w:rsidRPr="00686CA4">
        <w:t>Also,</w:t>
      </w:r>
      <w:r>
        <w:t xml:space="preserve"> the HUD’s Office of </w:t>
      </w:r>
      <w:proofErr w:type="spellStart"/>
      <w:r>
        <w:t>HIV</w:t>
      </w:r>
      <w:r w:rsidRPr="00686CA4">
        <w:rPr>
          <w:i/>
          <w:iCs/>
        </w:rPr>
        <w:t>I</w:t>
      </w:r>
      <w:r w:rsidRPr="00686CA4">
        <w:t>AIDS</w:t>
      </w:r>
      <w:proofErr w:type="spellEnd"/>
      <w:r w:rsidRPr="00686CA4">
        <w:t xml:space="preserve"> Housing has received several requests for clarification on whether HOPWA grantees carrying out rental assistance activities are subject to the admissibility and termination provisions in subtitle F ("Safety and Security in Public and Assisted Housing.</w:t>
      </w:r>
      <w:r>
        <w:t>”</w:t>
      </w:r>
      <w:r w:rsidRPr="00686CA4">
        <w:t>)</w:t>
      </w:r>
      <w:r>
        <w:t xml:space="preserve"> </w:t>
      </w:r>
      <w:r w:rsidRPr="00686CA4">
        <w:t>of the Quality Housing and Work Responsibility Act</w:t>
      </w:r>
      <w:r>
        <w:t xml:space="preserve"> (QHWRA)</w:t>
      </w:r>
      <w:r w:rsidRPr="00686CA4">
        <w:t xml:space="preserve"> of 1998</w:t>
      </w:r>
      <w:r>
        <w:t xml:space="preserve">. </w:t>
      </w:r>
      <w:r w:rsidRPr="00686CA4">
        <w:t xml:space="preserve">Subtitle F of QHWRA limits the </w:t>
      </w:r>
      <w:r>
        <w:t>S</w:t>
      </w:r>
      <w:r w:rsidRPr="00686CA4">
        <w:t xml:space="preserve">ection 8 participation of persons who use controlled substances and persons subject to a lifetime registration requirement under a state sex offender registration program. These restrictions do not apply to the HOPWA </w:t>
      </w:r>
      <w:r>
        <w:t>P</w:t>
      </w:r>
      <w:r w:rsidRPr="00686CA4">
        <w:t xml:space="preserve">rogram and, therefore, HOPWA grantees </w:t>
      </w:r>
      <w:r w:rsidR="00B22EA3">
        <w:t>do not need to</w:t>
      </w:r>
      <w:r w:rsidRPr="00686CA4">
        <w:t xml:space="preserve"> comply with them in providing</w:t>
      </w:r>
      <w:r>
        <w:t xml:space="preserve"> </w:t>
      </w:r>
      <w:r w:rsidRPr="00686CA4">
        <w:t>HOPWA rental assistance.</w:t>
      </w:r>
    </w:p>
    <w:p w14:paraId="29004236" w14:textId="26FED00D" w:rsidR="004D594B" w:rsidRDefault="004D594B" w:rsidP="00DA098E">
      <w:pPr>
        <w:pStyle w:val="ListParagraph"/>
        <w:numPr>
          <w:ilvl w:val="0"/>
          <w:numId w:val="22"/>
        </w:numPr>
        <w:spacing w:after="0" w:line="240" w:lineRule="auto"/>
        <w:rPr>
          <w:rFonts w:cs="Times New Roman"/>
          <w:b/>
        </w:rPr>
      </w:pPr>
      <w:r w:rsidRPr="00166252">
        <w:rPr>
          <w:rFonts w:cs="Times New Roman"/>
          <w:b/>
        </w:rPr>
        <w:t xml:space="preserve">Can a </w:t>
      </w:r>
      <w:r>
        <w:rPr>
          <w:rFonts w:cs="Times New Roman"/>
          <w:b/>
        </w:rPr>
        <w:t>household</w:t>
      </w:r>
      <w:r w:rsidRPr="00166252">
        <w:rPr>
          <w:rFonts w:cs="Times New Roman"/>
          <w:b/>
        </w:rPr>
        <w:t xml:space="preserve"> have </w:t>
      </w:r>
      <w:r w:rsidR="005401B4">
        <w:rPr>
          <w:rFonts w:cs="Times New Roman"/>
          <w:b/>
        </w:rPr>
        <w:t>no</w:t>
      </w:r>
      <w:r w:rsidR="005401B4" w:rsidRPr="00166252">
        <w:rPr>
          <w:rFonts w:cs="Times New Roman"/>
          <w:b/>
        </w:rPr>
        <w:t xml:space="preserve"> </w:t>
      </w:r>
      <w:r w:rsidRPr="00166252">
        <w:rPr>
          <w:rFonts w:cs="Times New Roman"/>
          <w:b/>
        </w:rPr>
        <w:t xml:space="preserve">income and receive </w:t>
      </w:r>
      <w:r>
        <w:rPr>
          <w:rFonts w:cs="Times New Roman"/>
          <w:b/>
        </w:rPr>
        <w:t>rental assistance</w:t>
      </w:r>
      <w:r w:rsidRPr="00166252">
        <w:rPr>
          <w:rFonts w:cs="Times New Roman"/>
          <w:b/>
        </w:rPr>
        <w:t xml:space="preserve"> services?</w:t>
      </w:r>
    </w:p>
    <w:p w14:paraId="6D208157" w14:textId="318A8D75" w:rsidR="004D594B" w:rsidRDefault="004D594B" w:rsidP="004D594B">
      <w:pPr>
        <w:pStyle w:val="ListParagraph"/>
        <w:spacing w:after="0" w:line="240" w:lineRule="auto"/>
        <w:rPr>
          <w:rFonts w:cs="Times New Roman"/>
        </w:rPr>
      </w:pPr>
      <w:r>
        <w:rPr>
          <w:rFonts w:cs="Times New Roman"/>
        </w:rPr>
        <w:t xml:space="preserve">Yes, </w:t>
      </w:r>
      <w:r w:rsidR="00814ADA">
        <w:rPr>
          <w:rFonts w:cs="Times New Roman"/>
        </w:rPr>
        <w:t>a household may have no income and receive rental assistance services. A</w:t>
      </w:r>
      <w:r w:rsidR="005401B4">
        <w:rPr>
          <w:rFonts w:cs="Times New Roman"/>
        </w:rPr>
        <w:t xml:space="preserve">dult </w:t>
      </w:r>
      <w:r>
        <w:rPr>
          <w:rFonts w:cs="Times New Roman"/>
        </w:rPr>
        <w:t xml:space="preserve">household members </w:t>
      </w:r>
      <w:r w:rsidR="005401B4">
        <w:rPr>
          <w:rFonts w:cs="Times New Roman"/>
        </w:rPr>
        <w:t>must complete Form A if they do not have income.</w:t>
      </w:r>
      <w:r>
        <w:rPr>
          <w:rFonts w:cs="Times New Roman"/>
        </w:rPr>
        <w:t xml:space="preserve"> </w:t>
      </w:r>
      <w:r w:rsidR="005401B4">
        <w:rPr>
          <w:rFonts w:cs="Times New Roman"/>
        </w:rPr>
        <w:t>Project Sponsors should periodically re</w:t>
      </w:r>
      <w:r>
        <w:rPr>
          <w:rFonts w:cs="Times New Roman"/>
        </w:rPr>
        <w:t>assess</w:t>
      </w:r>
      <w:r w:rsidR="005401B4">
        <w:rPr>
          <w:rFonts w:cs="Times New Roman"/>
        </w:rPr>
        <w:t xml:space="preserve"> their income</w:t>
      </w:r>
      <w:r>
        <w:rPr>
          <w:rFonts w:cs="Times New Roman"/>
        </w:rPr>
        <w:t>.</w:t>
      </w:r>
    </w:p>
    <w:p w14:paraId="4D834E4A" w14:textId="77777777" w:rsidR="00A701CB" w:rsidRDefault="00A701CB" w:rsidP="00DA098E">
      <w:pPr>
        <w:numPr>
          <w:ilvl w:val="0"/>
          <w:numId w:val="22"/>
        </w:numPr>
        <w:spacing w:after="0" w:line="240" w:lineRule="auto"/>
        <w:rPr>
          <w:b/>
        </w:rPr>
      </w:pPr>
      <w:r w:rsidRPr="00575765">
        <w:rPr>
          <w:b/>
        </w:rPr>
        <w:t>Can you pay the first month’s rent out of TBRA</w:t>
      </w:r>
      <w:r>
        <w:rPr>
          <w:b/>
        </w:rPr>
        <w:t xml:space="preserve"> or TSH</w:t>
      </w:r>
      <w:r w:rsidRPr="00575765">
        <w:rPr>
          <w:b/>
        </w:rPr>
        <w:t>?</w:t>
      </w:r>
    </w:p>
    <w:p w14:paraId="415F39C2" w14:textId="7569903C" w:rsidR="00A701CB" w:rsidRDefault="00A701CB" w:rsidP="00A701CB">
      <w:pPr>
        <w:pStyle w:val="ListParagraph"/>
        <w:spacing w:after="0" w:line="240" w:lineRule="auto"/>
      </w:pPr>
      <w:r>
        <w:t>Yes, TBRA or TSH services may pay the first</w:t>
      </w:r>
      <w:r w:rsidR="003A04B1">
        <w:t xml:space="preserve"> (and/or last)</w:t>
      </w:r>
      <w:r>
        <w:t xml:space="preserve"> month of rent. </w:t>
      </w:r>
      <w:r w:rsidR="00CE654F">
        <w:t>T</w:t>
      </w:r>
      <w:r>
        <w:t>his requires careful coordination with the owner</w:t>
      </w:r>
      <w:r w:rsidR="001B7DE2">
        <w:t>/r</w:t>
      </w:r>
      <w:r>
        <w:t xml:space="preserve">epresentative because they </w:t>
      </w:r>
      <w:r w:rsidR="00CE654F">
        <w:t>may decline to</w:t>
      </w:r>
      <w:r>
        <w:t xml:space="preserve"> execute a lease before receiving the first month’s rent. For example, </w:t>
      </w:r>
      <w:r w:rsidRPr="000B43DF">
        <w:t xml:space="preserve">PHP </w:t>
      </w:r>
      <w:r>
        <w:t>could</w:t>
      </w:r>
      <w:r w:rsidRPr="000B43DF">
        <w:t xml:space="preserve"> pay for the security deposit</w:t>
      </w:r>
      <w:r w:rsidR="006A211F">
        <w:t xml:space="preserve">, then </w:t>
      </w:r>
      <w:r w:rsidRPr="000B43DF">
        <w:t>TBRA</w:t>
      </w:r>
      <w:r>
        <w:t xml:space="preserve"> </w:t>
      </w:r>
      <w:r w:rsidR="006A211F">
        <w:t>would</w:t>
      </w:r>
      <w:r w:rsidRPr="000B43DF">
        <w:t xml:space="preserve"> </w:t>
      </w:r>
      <w:r>
        <w:t>pay for</w:t>
      </w:r>
      <w:r w:rsidRPr="000B43DF">
        <w:t xml:space="preserve"> the first month’s rent.</w:t>
      </w:r>
    </w:p>
    <w:p w14:paraId="45622FDF" w14:textId="77777777" w:rsidR="00F211C9" w:rsidRDefault="00F211C9" w:rsidP="00DA098E">
      <w:pPr>
        <w:pStyle w:val="NoSpacing"/>
        <w:numPr>
          <w:ilvl w:val="0"/>
          <w:numId w:val="22"/>
        </w:numPr>
        <w:rPr>
          <w:b/>
        </w:rPr>
      </w:pPr>
      <w:r>
        <w:rPr>
          <w:b/>
        </w:rPr>
        <w:t>For rental assistance, d</w:t>
      </w:r>
      <w:r w:rsidRPr="00166252">
        <w:rPr>
          <w:b/>
        </w:rPr>
        <w:t xml:space="preserve">o the </w:t>
      </w:r>
      <w:r>
        <w:rPr>
          <w:b/>
        </w:rPr>
        <w:t>FMR</w:t>
      </w:r>
      <w:r w:rsidRPr="00166252">
        <w:rPr>
          <w:b/>
        </w:rPr>
        <w:t xml:space="preserve"> </w:t>
      </w:r>
      <w:r>
        <w:rPr>
          <w:b/>
        </w:rPr>
        <w:t xml:space="preserve">and community-wide exception rent standard </w:t>
      </w:r>
      <w:r w:rsidRPr="00166252">
        <w:rPr>
          <w:b/>
        </w:rPr>
        <w:t>table</w:t>
      </w:r>
      <w:r>
        <w:rPr>
          <w:b/>
        </w:rPr>
        <w:t>s</w:t>
      </w:r>
      <w:r w:rsidRPr="00166252">
        <w:rPr>
          <w:b/>
        </w:rPr>
        <w:t xml:space="preserve"> include utilities?</w:t>
      </w:r>
    </w:p>
    <w:p w14:paraId="09A184CA" w14:textId="78B83899" w:rsidR="00F211C9" w:rsidRDefault="00F211C9" w:rsidP="00F211C9">
      <w:pPr>
        <w:pStyle w:val="NoSpacing"/>
        <w:ind w:left="720"/>
      </w:pPr>
      <w:r w:rsidRPr="009E00C5">
        <w:t xml:space="preserve">Yes, </w:t>
      </w:r>
      <w:r>
        <w:t>these tables</w:t>
      </w:r>
      <w:r w:rsidRPr="009E00C5">
        <w:t xml:space="preserve"> include </w:t>
      </w:r>
      <w:r>
        <w:t>the cost of</w:t>
      </w:r>
      <w:r w:rsidRPr="009E00C5">
        <w:t xml:space="preserve"> utilities (not phone</w:t>
      </w:r>
      <w:r>
        <w:t>, internet, or cable</w:t>
      </w:r>
      <w:r w:rsidRPr="009E00C5">
        <w:t>).</w:t>
      </w:r>
    </w:p>
    <w:p w14:paraId="7D37AF40" w14:textId="77777777" w:rsidR="00A701CB" w:rsidRDefault="00A701CB" w:rsidP="00DA098E">
      <w:pPr>
        <w:numPr>
          <w:ilvl w:val="0"/>
          <w:numId w:val="22"/>
        </w:numPr>
        <w:spacing w:after="0" w:line="240" w:lineRule="auto"/>
        <w:rPr>
          <w:b/>
        </w:rPr>
      </w:pPr>
      <w:r>
        <w:rPr>
          <w:b/>
        </w:rPr>
        <w:t>Can DSHS provide guidance on rent standard and rent reasonableness requirements?</w:t>
      </w:r>
    </w:p>
    <w:p w14:paraId="4832F222" w14:textId="10429517" w:rsidR="00A701CB" w:rsidRDefault="00A701CB" w:rsidP="00A701CB">
      <w:pPr>
        <w:pStyle w:val="ListParagraph"/>
        <w:spacing w:after="0" w:line="240" w:lineRule="auto"/>
      </w:pPr>
      <w:r w:rsidRPr="00575765">
        <w:t>For TBRA</w:t>
      </w:r>
      <w:r>
        <w:t xml:space="preserve"> or TSH</w:t>
      </w:r>
      <w:r w:rsidRPr="00575765">
        <w:t xml:space="preserve"> services, the gross rent of the </w:t>
      </w:r>
      <w:r w:rsidR="00867262">
        <w:t xml:space="preserve">proposed </w:t>
      </w:r>
      <w:r w:rsidRPr="00575765">
        <w:t xml:space="preserve">unit must </w:t>
      </w:r>
      <w:r w:rsidR="00C8141F">
        <w:t>fall</w:t>
      </w:r>
      <w:r w:rsidR="00C8141F" w:rsidRPr="00575765">
        <w:t xml:space="preserve"> </w:t>
      </w:r>
      <w:r w:rsidRPr="00575765">
        <w:t xml:space="preserve">at or below the lower of the rent standard or reasonable rent. If </w:t>
      </w:r>
      <w:r w:rsidR="00867262">
        <w:t>not</w:t>
      </w:r>
      <w:r w:rsidRPr="00575765">
        <w:t xml:space="preserve">, the </w:t>
      </w:r>
      <w:r w:rsidR="00867262">
        <w:t>Project Sponsor cannot approve the unit for</w:t>
      </w:r>
      <w:r w:rsidRPr="00575765">
        <w:t xml:space="preserve"> TBRA</w:t>
      </w:r>
      <w:r>
        <w:t xml:space="preserve"> or TSH</w:t>
      </w:r>
      <w:r w:rsidRPr="00575765">
        <w:t xml:space="preserve"> services. </w:t>
      </w:r>
      <w:r>
        <w:t>If</w:t>
      </w:r>
      <w:r w:rsidRPr="00575765">
        <w:t xml:space="preserve"> the gross rent of the </w:t>
      </w:r>
      <w:r w:rsidR="00867262">
        <w:t xml:space="preserve">proposed </w:t>
      </w:r>
      <w:r w:rsidRPr="00575765">
        <w:t xml:space="preserve">unit </w:t>
      </w:r>
      <w:r>
        <w:t>complies</w:t>
      </w:r>
      <w:r w:rsidRPr="00575765">
        <w:t xml:space="preserve"> with </w:t>
      </w:r>
      <w:r w:rsidR="00867262">
        <w:t>this</w:t>
      </w:r>
      <w:r w:rsidR="00867262" w:rsidRPr="00575765">
        <w:t xml:space="preserve"> </w:t>
      </w:r>
      <w:r w:rsidRPr="00575765">
        <w:t xml:space="preserve">requirement, </w:t>
      </w:r>
      <w:r w:rsidR="00551FA2">
        <w:t xml:space="preserve">then </w:t>
      </w:r>
      <w:r w:rsidRPr="00575765">
        <w:t xml:space="preserve">a household would </w:t>
      </w:r>
      <w:r w:rsidR="00867262">
        <w:t>not</w:t>
      </w:r>
      <w:r w:rsidR="00867262" w:rsidRPr="00575765">
        <w:t xml:space="preserve"> </w:t>
      </w:r>
      <w:r w:rsidRPr="00575765">
        <w:t xml:space="preserve">pay more </w:t>
      </w:r>
      <w:r w:rsidR="00551FA2">
        <w:t xml:space="preserve">or less </w:t>
      </w:r>
      <w:r w:rsidRPr="00575765">
        <w:t xml:space="preserve">than their calculated </w:t>
      </w:r>
      <w:r w:rsidR="00551FA2">
        <w:t xml:space="preserve">monthly </w:t>
      </w:r>
      <w:r w:rsidRPr="00575765">
        <w:t xml:space="preserve">rent payment and </w:t>
      </w:r>
      <w:r>
        <w:t>a</w:t>
      </w:r>
      <w:r w:rsidRPr="00575765">
        <w:t xml:space="preserve"> Project Sponsor would </w:t>
      </w:r>
      <w:r w:rsidR="00867262">
        <w:t>not</w:t>
      </w:r>
      <w:r w:rsidR="00867262" w:rsidRPr="00575765">
        <w:t xml:space="preserve"> </w:t>
      </w:r>
      <w:r w:rsidRPr="00575765">
        <w:t>pay more</w:t>
      </w:r>
      <w:r w:rsidR="00551FA2">
        <w:t xml:space="preserve"> or less</w:t>
      </w:r>
      <w:r w:rsidRPr="00575765">
        <w:t xml:space="preserve"> than </w:t>
      </w:r>
      <w:r w:rsidR="00551FA2">
        <w:t>the calculated monthly rental assistance subsidy</w:t>
      </w:r>
      <w:r w:rsidRPr="00575765">
        <w:t>.</w:t>
      </w:r>
    </w:p>
    <w:tbl>
      <w:tblPr>
        <w:tblStyle w:val="GridTable3-Accent51"/>
        <w:tblW w:w="10183" w:type="dxa"/>
        <w:tblInd w:w="72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35"/>
        <w:gridCol w:w="8748"/>
      </w:tblGrid>
      <w:tr w:rsidR="00A701CB" w14:paraId="74AE6597" w14:textId="77777777" w:rsidTr="00DA098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5" w:type="dxa"/>
            <w:tcBorders>
              <w:top w:val="none" w:sz="0" w:space="0" w:color="auto"/>
              <w:left w:val="none" w:sz="0" w:space="0" w:color="auto"/>
              <w:bottom w:val="none" w:sz="0" w:space="0" w:color="auto"/>
              <w:right w:val="none" w:sz="0" w:space="0" w:color="auto"/>
            </w:tcBorders>
            <w:shd w:val="clear" w:color="auto" w:fill="9CC2E5" w:themeFill="accent1" w:themeFillTint="99"/>
            <w:hideMark/>
          </w:tcPr>
          <w:p w14:paraId="657FEFE5" w14:textId="29613CDF" w:rsidR="00A701CB" w:rsidRPr="004A7A46" w:rsidRDefault="00A701CB" w:rsidP="009A5CFC">
            <w:pPr>
              <w:pStyle w:val="NoSpacing"/>
              <w:jc w:val="left"/>
              <w:rPr>
                <w:i w:val="0"/>
              </w:rPr>
            </w:pPr>
            <w:r w:rsidRPr="004A7A46">
              <w:rPr>
                <w:bCs w:val="0"/>
                <w:i w:val="0"/>
              </w:rPr>
              <w:t>Source</w:t>
            </w:r>
          </w:p>
        </w:tc>
        <w:tc>
          <w:tcPr>
            <w:tcW w:w="8748" w:type="dxa"/>
            <w:tcBorders>
              <w:top w:val="none" w:sz="0" w:space="0" w:color="auto"/>
              <w:left w:val="none" w:sz="0" w:space="0" w:color="auto"/>
              <w:right w:val="none" w:sz="0" w:space="0" w:color="auto"/>
            </w:tcBorders>
            <w:shd w:val="clear" w:color="auto" w:fill="9CC2E5" w:themeFill="accent1" w:themeFillTint="99"/>
            <w:hideMark/>
          </w:tcPr>
          <w:p w14:paraId="78231375" w14:textId="77777777" w:rsidR="00A701CB" w:rsidRPr="004A7A46" w:rsidRDefault="00A701CB" w:rsidP="009A5CFC">
            <w:pPr>
              <w:pStyle w:val="NoSpacing"/>
              <w:cnfStyle w:val="100000000000" w:firstRow="1" w:lastRow="0" w:firstColumn="0" w:lastColumn="0" w:oddVBand="0" w:evenVBand="0" w:oddHBand="0" w:evenHBand="0" w:firstRowFirstColumn="0" w:firstRowLastColumn="0" w:lastRowFirstColumn="0" w:lastRowLastColumn="0"/>
              <w:rPr>
                <w:bCs w:val="0"/>
              </w:rPr>
            </w:pPr>
            <w:r w:rsidRPr="004A7A46">
              <w:rPr>
                <w:bCs w:val="0"/>
              </w:rPr>
              <w:t xml:space="preserve">Text </w:t>
            </w:r>
            <w:r w:rsidRPr="00ED208F">
              <w:rPr>
                <w:i/>
                <w:iCs/>
                <w:sz w:val="18"/>
                <w:szCs w:val="20"/>
              </w:rPr>
              <w:t>(emphasis added)</w:t>
            </w:r>
          </w:p>
        </w:tc>
      </w:tr>
      <w:tr w:rsidR="00A701CB" w14:paraId="0BE45739" w14:textId="77777777" w:rsidTr="00DA0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Borders>
              <w:left w:val="none" w:sz="0" w:space="0" w:color="auto"/>
              <w:bottom w:val="none" w:sz="0" w:space="0" w:color="auto"/>
            </w:tcBorders>
            <w:shd w:val="clear" w:color="auto" w:fill="DEEAF6" w:themeFill="accent1" w:themeFillTint="33"/>
            <w:hideMark/>
          </w:tcPr>
          <w:p w14:paraId="617C35E2" w14:textId="1269076A" w:rsidR="00A701CB" w:rsidRPr="004A7A46" w:rsidRDefault="00A66919" w:rsidP="009A5CFC">
            <w:pPr>
              <w:pStyle w:val="NoSpacing"/>
              <w:jc w:val="left"/>
              <w:rPr>
                <w:i w:val="0"/>
              </w:rPr>
            </w:pPr>
            <w:hyperlink r:id="rId239" w:anchor="se24.3.574_1310" w:history="1">
              <w:r w:rsidR="00A701CB" w:rsidRPr="004A7A46">
                <w:rPr>
                  <w:rStyle w:val="Hyperlink"/>
                  <w:i w:val="0"/>
                  <w:color w:val="033160"/>
                </w:rPr>
                <w:t>24 CFR §574.310</w:t>
              </w:r>
            </w:hyperlink>
          </w:p>
        </w:tc>
        <w:tc>
          <w:tcPr>
            <w:tcW w:w="8748" w:type="dxa"/>
            <w:shd w:val="clear" w:color="auto" w:fill="DEEAF6" w:themeFill="accent1" w:themeFillTint="33"/>
            <w:hideMark/>
          </w:tcPr>
          <w:p w14:paraId="752C0BD2" w14:textId="77777777" w:rsidR="00A701CB" w:rsidRDefault="00A701CB" w:rsidP="00DA098E">
            <w:pPr>
              <w:pStyle w:val="NoSpacing"/>
              <w:numPr>
                <w:ilvl w:val="0"/>
                <w:numId w:val="132"/>
              </w:numPr>
              <w:ind w:left="345" w:hanging="270"/>
              <w:cnfStyle w:val="000000100000" w:firstRow="0" w:lastRow="0" w:firstColumn="0" w:lastColumn="0" w:oddVBand="0" w:evenVBand="0" w:oddHBand="1" w:evenHBand="0" w:firstRowFirstColumn="0" w:firstRowLastColumn="0" w:lastRowFirstColumn="0" w:lastRowLastColumn="0"/>
            </w:pPr>
            <w:r w:rsidRPr="004A7A46">
              <w:rPr>
                <w:iCs/>
              </w:rPr>
              <w:t>Resident rent payment.</w:t>
            </w:r>
            <w:r>
              <w:t xml:space="preserve"> Except for persons in short-term supported housing, each person receiving rental assistance under this program or residing in any rental housing assisted under this program </w:t>
            </w:r>
            <w:r w:rsidRPr="00DA098E">
              <w:rPr>
                <w:b/>
              </w:rPr>
              <w:t>must pay as rent</w:t>
            </w:r>
            <w:r>
              <w:t>, including utilities, an amount which is the higher of:</w:t>
            </w:r>
          </w:p>
          <w:p w14:paraId="35CE66A2" w14:textId="73DE5BDB" w:rsidR="00A701CB" w:rsidRDefault="00A701CB" w:rsidP="00DA098E">
            <w:pPr>
              <w:pStyle w:val="NoSpacing"/>
              <w:numPr>
                <w:ilvl w:val="1"/>
                <w:numId w:val="132"/>
              </w:numPr>
              <w:ind w:left="705" w:hanging="270"/>
              <w:cnfStyle w:val="000000100000" w:firstRow="0" w:lastRow="0" w:firstColumn="0" w:lastColumn="0" w:oddVBand="0" w:evenVBand="0" w:oddHBand="1" w:evenHBand="0" w:firstRowFirstColumn="0" w:firstRowLastColumn="0" w:lastRowFirstColumn="0" w:lastRowLastColumn="0"/>
            </w:pPr>
            <w:r>
              <w:t xml:space="preserve">30 percent of the family's monthly adjusted income (adjustment factors include the age of the individual, medical expenses, size of family and </w:t>
            </w:r>
            <w:r w:rsidR="009C621C">
              <w:t>childcare</w:t>
            </w:r>
            <w:r>
              <w:t xml:space="preserve"> expenses and are described in detail in 24 CFR 5.609). The calculation of the family's monthly adjusted income must include the expense deductions provided in 24 CFR 5.611(a), and for eligible persons, the calculation of monthly adjusted income also must include the disallowance of earned income as provided in 24 CFR 5.617, if applicable; </w:t>
            </w:r>
          </w:p>
          <w:p w14:paraId="4A442BB1" w14:textId="77777777" w:rsidR="00A701CB" w:rsidRDefault="00A701CB" w:rsidP="00DA098E">
            <w:pPr>
              <w:pStyle w:val="NoSpacing"/>
              <w:numPr>
                <w:ilvl w:val="1"/>
                <w:numId w:val="132"/>
              </w:numPr>
              <w:ind w:left="705" w:hanging="270"/>
              <w:cnfStyle w:val="000000100000" w:firstRow="0" w:lastRow="0" w:firstColumn="0" w:lastColumn="0" w:oddVBand="0" w:evenVBand="0" w:oddHBand="1" w:evenHBand="0" w:firstRowFirstColumn="0" w:firstRowLastColumn="0" w:lastRowFirstColumn="0" w:lastRowLastColumn="0"/>
            </w:pPr>
            <w:r>
              <w:lastRenderedPageBreak/>
              <w:t>10 percent of the family's monthly gross income; or</w:t>
            </w:r>
          </w:p>
          <w:p w14:paraId="344D1326" w14:textId="77777777" w:rsidR="00A701CB" w:rsidRDefault="00A701CB" w:rsidP="00DA098E">
            <w:pPr>
              <w:pStyle w:val="NoSpacing"/>
              <w:numPr>
                <w:ilvl w:val="1"/>
                <w:numId w:val="132"/>
              </w:numPr>
              <w:ind w:left="705" w:hanging="270"/>
              <w:cnfStyle w:val="000000100000" w:firstRow="0" w:lastRow="0" w:firstColumn="0" w:lastColumn="0" w:oddVBand="0" w:evenVBand="0" w:oddHBand="1" w:evenHBand="0" w:firstRowFirstColumn="0" w:firstRowLastColumn="0" w:lastRowFirstColumn="0" w:lastRowLastColumn="0"/>
            </w:pPr>
            <w:r>
              <w:t>If the family is receiving payments for welfare assistance from a public agency and a part of the payments, adjusted in accordance with the family's actual housing costs, is specifically designated by the agency to meet the family's housing costs, the portion of the payment that is designated for housing costs.</w:t>
            </w:r>
          </w:p>
        </w:tc>
      </w:tr>
      <w:tr w:rsidR="00A701CB" w14:paraId="48BDE691" w14:textId="77777777" w:rsidTr="00DA098E">
        <w:tc>
          <w:tcPr>
            <w:cnfStyle w:val="001000000000" w:firstRow="0" w:lastRow="0" w:firstColumn="1" w:lastColumn="0" w:oddVBand="0" w:evenVBand="0" w:oddHBand="0" w:evenHBand="0" w:firstRowFirstColumn="0" w:firstRowLastColumn="0" w:lastRowFirstColumn="0" w:lastRowLastColumn="0"/>
            <w:tcW w:w="1435" w:type="dxa"/>
            <w:tcBorders>
              <w:left w:val="none" w:sz="0" w:space="0" w:color="auto"/>
              <w:bottom w:val="single" w:sz="4" w:space="0" w:color="FFFFFF" w:themeColor="background1"/>
            </w:tcBorders>
            <w:shd w:val="clear" w:color="auto" w:fill="DEEAF6" w:themeFill="accent1" w:themeFillTint="33"/>
            <w:hideMark/>
          </w:tcPr>
          <w:p w14:paraId="51F2E4F2" w14:textId="69C19BD0" w:rsidR="00A701CB" w:rsidRPr="004A7A46" w:rsidRDefault="00A66919" w:rsidP="009A5CFC">
            <w:pPr>
              <w:pStyle w:val="NoSpacing"/>
              <w:jc w:val="left"/>
              <w:rPr>
                <w:i w:val="0"/>
              </w:rPr>
            </w:pPr>
            <w:hyperlink r:id="rId240" w:anchor="se24.3.574_1320" w:history="1">
              <w:r w:rsidR="00A701CB" w:rsidRPr="004A7A46">
                <w:rPr>
                  <w:rStyle w:val="Hyperlink"/>
                  <w:i w:val="0"/>
                  <w:color w:val="033160"/>
                </w:rPr>
                <w:t>24 CFR §574.320</w:t>
              </w:r>
            </w:hyperlink>
          </w:p>
        </w:tc>
        <w:tc>
          <w:tcPr>
            <w:tcW w:w="8748" w:type="dxa"/>
            <w:shd w:val="clear" w:color="auto" w:fill="DEEAF6" w:themeFill="accent1" w:themeFillTint="33"/>
          </w:tcPr>
          <w:p w14:paraId="6E45FD70" w14:textId="77777777" w:rsidR="00A701CB" w:rsidRDefault="00A701CB" w:rsidP="009A5CFC">
            <w:pPr>
              <w:pStyle w:val="NoSpacing"/>
              <w:numPr>
                <w:ilvl w:val="0"/>
                <w:numId w:val="58"/>
              </w:numPr>
              <w:ind w:left="339" w:hanging="293"/>
              <w:cnfStyle w:val="000000000000" w:firstRow="0" w:lastRow="0" w:firstColumn="0" w:lastColumn="0" w:oddVBand="0" w:evenVBand="0" w:oddHBand="0" w:evenHBand="0" w:firstRowFirstColumn="0" w:firstRowLastColumn="0" w:lastRowFirstColumn="0" w:lastRowLastColumn="0"/>
            </w:pPr>
            <w:r>
              <w:t>If grant funds are used to provide rental assistance, the following additional standards apply:</w:t>
            </w:r>
          </w:p>
          <w:p w14:paraId="0E18B69D" w14:textId="77777777" w:rsidR="00A701CB" w:rsidRDefault="00A701CB" w:rsidP="009A5CFC">
            <w:pPr>
              <w:pStyle w:val="NoSpacing"/>
              <w:numPr>
                <w:ilvl w:val="1"/>
                <w:numId w:val="58"/>
              </w:numPr>
              <w:ind w:left="699" w:hanging="293"/>
              <w:cnfStyle w:val="000000000000" w:firstRow="0" w:lastRow="0" w:firstColumn="0" w:lastColumn="0" w:oddVBand="0" w:evenVBand="0" w:oddHBand="0" w:evenHBand="0" w:firstRowFirstColumn="0" w:firstRowLastColumn="0" w:lastRowFirstColumn="0" w:lastRowLastColumn="0"/>
            </w:pPr>
            <w:r w:rsidRPr="004A7A46">
              <w:rPr>
                <w:iCs/>
              </w:rPr>
              <w:t>Maximum subsidy</w:t>
            </w:r>
            <w:r w:rsidRPr="004A7A46">
              <w:t>.</w:t>
            </w:r>
            <w:r>
              <w:t xml:space="preserve"> The amount of grant funds used to pay monthly assistance for an eligible person may not exceed the difference between:</w:t>
            </w:r>
          </w:p>
          <w:p w14:paraId="65226180" w14:textId="77777777" w:rsidR="00A701CB" w:rsidRDefault="00A701CB" w:rsidP="009A5CFC">
            <w:pPr>
              <w:pStyle w:val="NoSpacing"/>
              <w:numPr>
                <w:ilvl w:val="2"/>
                <w:numId w:val="58"/>
              </w:numPr>
              <w:ind w:left="1059"/>
              <w:cnfStyle w:val="000000000000" w:firstRow="0" w:lastRow="0" w:firstColumn="0" w:lastColumn="0" w:oddVBand="0" w:evenVBand="0" w:oddHBand="0" w:evenHBand="0" w:firstRowFirstColumn="0" w:firstRowLastColumn="0" w:lastRowFirstColumn="0" w:lastRowLastColumn="0"/>
            </w:pPr>
            <w:r>
              <w:t>The lower of the rent standard or reasonable rent for the unit; and</w:t>
            </w:r>
          </w:p>
          <w:p w14:paraId="73035BBD" w14:textId="77777777" w:rsidR="00A701CB" w:rsidRDefault="00A701CB" w:rsidP="009A5CFC">
            <w:pPr>
              <w:pStyle w:val="NoSpacing"/>
              <w:numPr>
                <w:ilvl w:val="2"/>
                <w:numId w:val="58"/>
              </w:numPr>
              <w:ind w:left="1059"/>
              <w:cnfStyle w:val="000000000000" w:firstRow="0" w:lastRow="0" w:firstColumn="0" w:lastColumn="0" w:oddVBand="0" w:evenVBand="0" w:oddHBand="0" w:evenHBand="0" w:firstRowFirstColumn="0" w:firstRowLastColumn="0" w:lastRowFirstColumn="0" w:lastRowLastColumn="0"/>
            </w:pPr>
            <w:r>
              <w:t>The resident's rent payment calculated under §574.310(d).</w:t>
            </w:r>
          </w:p>
          <w:p w14:paraId="62E3659B" w14:textId="437E3809" w:rsidR="00A701CB" w:rsidRDefault="00A701CB" w:rsidP="009A5CFC">
            <w:pPr>
              <w:pStyle w:val="NoSpacing"/>
              <w:ind w:left="357"/>
              <w:cnfStyle w:val="000000000000" w:firstRow="0" w:lastRow="0" w:firstColumn="0" w:lastColumn="0" w:oddVBand="0" w:evenVBand="0" w:oddHBand="0" w:evenHBand="0" w:firstRowFirstColumn="0" w:firstRowLastColumn="0" w:lastRowFirstColumn="0" w:lastRowLastColumn="0"/>
            </w:pPr>
            <w:r w:rsidRPr="004A7A46">
              <w:rPr>
                <w:b/>
                <w:color w:val="C00000"/>
              </w:rPr>
              <w:t>NOTE:</w:t>
            </w:r>
            <w:r>
              <w:rPr>
                <w:color w:val="C00000"/>
              </w:rPr>
              <w:t xml:space="preserve"> “Maximum Subsidy” </w:t>
            </w:r>
            <w:r w:rsidR="00263EF6">
              <w:rPr>
                <w:color w:val="C00000"/>
              </w:rPr>
              <w:t xml:space="preserve">means </w:t>
            </w:r>
            <w:r>
              <w:rPr>
                <w:color w:val="C00000"/>
              </w:rPr>
              <w:t xml:space="preserve">the </w:t>
            </w:r>
            <w:r w:rsidR="00AB2FD6">
              <w:rPr>
                <w:color w:val="C00000"/>
              </w:rPr>
              <w:t xml:space="preserve">maximum </w:t>
            </w:r>
            <w:r>
              <w:rPr>
                <w:color w:val="C00000"/>
              </w:rPr>
              <w:t xml:space="preserve">monthly amount of TBRA or TSH funds </w:t>
            </w:r>
            <w:r w:rsidR="00AB2FD6">
              <w:rPr>
                <w:color w:val="C00000"/>
              </w:rPr>
              <w:t>a Project Sponsor could pay</w:t>
            </w:r>
            <w:r>
              <w:rPr>
                <w:color w:val="C00000"/>
              </w:rPr>
              <w:t xml:space="preserve"> to an owner </w:t>
            </w:r>
            <w:r w:rsidR="00AB2FD6">
              <w:rPr>
                <w:color w:val="C00000"/>
              </w:rPr>
              <w:t>after determining the household’s calculated monthly rent payment.</w:t>
            </w:r>
            <w:r>
              <w:rPr>
                <w:color w:val="C00000"/>
              </w:rPr>
              <w:t xml:space="preserve"> </w:t>
            </w:r>
            <w:r w:rsidR="00AB2FD6">
              <w:rPr>
                <w:color w:val="C00000"/>
              </w:rPr>
              <w:t>However, t</w:t>
            </w:r>
            <w:r>
              <w:rPr>
                <w:color w:val="C00000"/>
              </w:rPr>
              <w:t xml:space="preserve">he </w:t>
            </w:r>
            <w:r w:rsidR="00AB2FD6">
              <w:rPr>
                <w:color w:val="C00000"/>
              </w:rPr>
              <w:t xml:space="preserve">household’s </w:t>
            </w:r>
            <w:r w:rsidR="00230C7B">
              <w:rPr>
                <w:color w:val="C00000"/>
              </w:rPr>
              <w:t xml:space="preserve">actual </w:t>
            </w:r>
            <w:r w:rsidR="006E6ED9">
              <w:rPr>
                <w:color w:val="C00000"/>
              </w:rPr>
              <w:t xml:space="preserve">calculated </w:t>
            </w:r>
            <w:r w:rsidR="00AB2FD6">
              <w:rPr>
                <w:color w:val="C00000"/>
              </w:rPr>
              <w:t>monthly rental assistance subsidy</w:t>
            </w:r>
            <w:r>
              <w:rPr>
                <w:color w:val="C00000"/>
              </w:rPr>
              <w:t xml:space="preserve"> </w:t>
            </w:r>
            <w:r w:rsidR="00230C7B">
              <w:rPr>
                <w:color w:val="C00000"/>
              </w:rPr>
              <w:t>will depend</w:t>
            </w:r>
            <w:r w:rsidR="00AB2FD6">
              <w:rPr>
                <w:color w:val="C00000"/>
              </w:rPr>
              <w:t xml:space="preserve"> on </w:t>
            </w:r>
            <w:r w:rsidR="00230C7B">
              <w:rPr>
                <w:color w:val="C00000"/>
              </w:rPr>
              <w:t>the</w:t>
            </w:r>
            <w:r w:rsidR="00AB2FD6">
              <w:rPr>
                <w:color w:val="C00000"/>
              </w:rPr>
              <w:t xml:space="preserve"> </w:t>
            </w:r>
            <w:r w:rsidR="00B62CCF">
              <w:rPr>
                <w:color w:val="C00000"/>
              </w:rPr>
              <w:t>rent specified in the</w:t>
            </w:r>
            <w:r w:rsidR="00230C7B">
              <w:rPr>
                <w:color w:val="C00000"/>
              </w:rPr>
              <w:t>ir</w:t>
            </w:r>
            <w:r w:rsidR="00B62CCF">
              <w:rPr>
                <w:color w:val="C00000"/>
              </w:rPr>
              <w:t xml:space="preserve"> lease agreement</w:t>
            </w:r>
            <w:r>
              <w:rPr>
                <w:color w:val="C00000"/>
              </w:rPr>
              <w:t>.</w:t>
            </w:r>
          </w:p>
        </w:tc>
      </w:tr>
      <w:tr w:rsidR="00A701CB" w14:paraId="092D7FC8" w14:textId="77777777" w:rsidTr="00DA0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vMerge w:val="restart"/>
            <w:tcBorders>
              <w:top w:val="single" w:sz="4" w:space="0" w:color="FFFFFF" w:themeColor="background1"/>
              <w:left w:val="single" w:sz="4" w:space="0" w:color="FFFFFF" w:themeColor="background1"/>
              <w:bottom w:val="single" w:sz="4" w:space="0" w:color="FFFFFF" w:themeColor="background1"/>
            </w:tcBorders>
            <w:shd w:val="clear" w:color="auto" w:fill="DEEAF6" w:themeFill="accent1" w:themeFillTint="33"/>
            <w:hideMark/>
          </w:tcPr>
          <w:p w14:paraId="38431ACC" w14:textId="77777777" w:rsidR="00A701CB" w:rsidRPr="004A7A46" w:rsidRDefault="00A66919" w:rsidP="009A5CFC">
            <w:pPr>
              <w:pStyle w:val="NoSpacing"/>
              <w:jc w:val="left"/>
              <w:rPr>
                <w:i w:val="0"/>
              </w:rPr>
            </w:pPr>
            <w:hyperlink r:id="rId241" w:history="1">
              <w:r w:rsidR="00A701CB" w:rsidRPr="004A7A46">
                <w:rPr>
                  <w:rStyle w:val="Hyperlink"/>
                  <w:i w:val="0"/>
                  <w:color w:val="033160"/>
                </w:rPr>
                <w:t>Rental Assistance Guidebook</w:t>
              </w:r>
            </w:hyperlink>
          </w:p>
        </w:tc>
        <w:tc>
          <w:tcPr>
            <w:tcW w:w="8748" w:type="dxa"/>
            <w:shd w:val="clear" w:color="auto" w:fill="DEEAF6" w:themeFill="accent1" w:themeFillTint="33"/>
            <w:hideMark/>
          </w:tcPr>
          <w:p w14:paraId="0167E0F3" w14:textId="77777777" w:rsidR="00A701CB" w:rsidRDefault="00A701CB" w:rsidP="009A5CFC">
            <w:pPr>
              <w:pStyle w:val="NoSpacing"/>
              <w:cnfStyle w:val="000000100000" w:firstRow="0" w:lastRow="0" w:firstColumn="0" w:lastColumn="0" w:oddVBand="0" w:evenVBand="0" w:oddHBand="1" w:evenHBand="0" w:firstRowFirstColumn="0" w:firstRowLastColumn="0" w:lastRowFirstColumn="0" w:lastRowLastColumn="0"/>
            </w:pPr>
            <w:r>
              <w:t xml:space="preserve">Clients </w:t>
            </w:r>
            <w:r w:rsidRPr="00DA098E">
              <w:rPr>
                <w:b/>
              </w:rPr>
              <w:t>must find housing with rents that comply with both the rent standard and the reasonable rent</w:t>
            </w:r>
            <w:r w:rsidRPr="004A7A46">
              <w:rPr>
                <w:b/>
              </w:rPr>
              <w:t>.</w:t>
            </w:r>
            <w:r>
              <w:t xml:space="preserve"> Otherwise, the grantee may not provide rental assistance (page 82).</w:t>
            </w:r>
          </w:p>
        </w:tc>
      </w:tr>
      <w:tr w:rsidR="00A701CB" w14:paraId="1B2829FF" w14:textId="77777777" w:rsidTr="00DA098E">
        <w:tc>
          <w:tcPr>
            <w:cnfStyle w:val="001000000000" w:firstRow="0" w:lastRow="0" w:firstColumn="1" w:lastColumn="0" w:oddVBand="0" w:evenVBand="0" w:oddHBand="0" w:evenHBand="0" w:firstRowFirstColumn="0" w:firstRowLastColumn="0" w:lastRowFirstColumn="0" w:lastRowLastColumn="0"/>
            <w:tcW w:w="1435" w:type="dxa"/>
            <w:vMerge/>
            <w:tcBorders>
              <w:left w:val="single" w:sz="4" w:space="0" w:color="FFFFFF" w:themeColor="background1"/>
              <w:bottom w:val="single" w:sz="4" w:space="0" w:color="FFFFFF" w:themeColor="background1"/>
            </w:tcBorders>
            <w:shd w:val="clear" w:color="auto" w:fill="DEEAF6" w:themeFill="accent1" w:themeFillTint="33"/>
          </w:tcPr>
          <w:p w14:paraId="318BC34C" w14:textId="77777777" w:rsidR="00A701CB" w:rsidRPr="004A7A46" w:rsidRDefault="00A701CB" w:rsidP="009A5CFC">
            <w:pPr>
              <w:pStyle w:val="NoSpacing"/>
              <w:jc w:val="left"/>
              <w:rPr>
                <w:i w:val="0"/>
              </w:rPr>
            </w:pPr>
          </w:p>
        </w:tc>
        <w:tc>
          <w:tcPr>
            <w:tcW w:w="8748" w:type="dxa"/>
            <w:shd w:val="clear" w:color="auto" w:fill="DEEAF6" w:themeFill="accent1" w:themeFillTint="33"/>
            <w:hideMark/>
          </w:tcPr>
          <w:p w14:paraId="59CFFCF5" w14:textId="77777777" w:rsidR="00A701CB" w:rsidRDefault="00A701CB" w:rsidP="009A5CFC">
            <w:pPr>
              <w:pStyle w:val="NoSpacing"/>
              <w:cnfStyle w:val="000000000000" w:firstRow="0" w:lastRow="0" w:firstColumn="0" w:lastColumn="0" w:oddVBand="0" w:evenVBand="0" w:oddHBand="0" w:evenHBand="0" w:firstRowFirstColumn="0" w:firstRowLastColumn="0" w:lastRowFirstColumn="0" w:lastRowLastColumn="0"/>
            </w:pPr>
            <w:r>
              <w:t>An important point about the rent standard is that it includes both rent and utilities (page 83).</w:t>
            </w:r>
          </w:p>
        </w:tc>
      </w:tr>
      <w:tr w:rsidR="00A701CB" w14:paraId="547ABC6C" w14:textId="77777777" w:rsidTr="00DA0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vMerge/>
            <w:tcBorders>
              <w:left w:val="single" w:sz="4" w:space="0" w:color="FFFFFF" w:themeColor="background1"/>
              <w:bottom w:val="single" w:sz="4" w:space="0" w:color="FFFFFF" w:themeColor="background1"/>
            </w:tcBorders>
            <w:shd w:val="clear" w:color="auto" w:fill="DEEAF6" w:themeFill="accent1" w:themeFillTint="33"/>
            <w:hideMark/>
          </w:tcPr>
          <w:p w14:paraId="6EDFD57B" w14:textId="77777777" w:rsidR="00A701CB" w:rsidRPr="004A7A46" w:rsidRDefault="00A701CB" w:rsidP="009A5CFC">
            <w:pPr>
              <w:pStyle w:val="NoSpacing"/>
              <w:jc w:val="left"/>
              <w:rPr>
                <w:i w:val="0"/>
              </w:rPr>
            </w:pPr>
          </w:p>
        </w:tc>
        <w:tc>
          <w:tcPr>
            <w:tcW w:w="8748" w:type="dxa"/>
            <w:shd w:val="clear" w:color="auto" w:fill="DEEAF6" w:themeFill="accent1" w:themeFillTint="33"/>
            <w:hideMark/>
          </w:tcPr>
          <w:p w14:paraId="1C0DB238" w14:textId="77777777" w:rsidR="00A701CB" w:rsidRDefault="00A701CB" w:rsidP="009A5CFC">
            <w:pPr>
              <w:pStyle w:val="NoSpacing"/>
              <w:cnfStyle w:val="000000100000" w:firstRow="0" w:lastRow="0" w:firstColumn="0" w:lastColumn="0" w:oddVBand="0" w:evenVBand="0" w:oddHBand="1" w:evenHBand="0" w:firstRowFirstColumn="0" w:firstRowLastColumn="0" w:lastRowFirstColumn="0" w:lastRowLastColumn="0"/>
            </w:pPr>
            <w:r>
              <w:t>As a final review to ensure that the total rent plus utilities (proposed gross rent) does not exceed the rent standard used by the program, the utility allowance should be added to the total rent to be charged by the landlord. If this amount exceeds the rent standard, then final calculation of the client rental share and the utility allowance will need to be recalculated (page 93).</w:t>
            </w:r>
          </w:p>
        </w:tc>
      </w:tr>
    </w:tbl>
    <w:p w14:paraId="7D2EFCA0" w14:textId="3CD7B89D" w:rsidR="00A701CB" w:rsidRDefault="00A701CB" w:rsidP="00DA098E">
      <w:pPr>
        <w:numPr>
          <w:ilvl w:val="0"/>
          <w:numId w:val="22"/>
        </w:numPr>
        <w:spacing w:after="0" w:line="240" w:lineRule="auto"/>
        <w:rPr>
          <w:b/>
        </w:rPr>
      </w:pPr>
      <w:r>
        <w:rPr>
          <w:b/>
        </w:rPr>
        <w:t>What if a unit does not comply with rent standard and rent reasonableness requirements for rental assistance services?</w:t>
      </w:r>
    </w:p>
    <w:p w14:paraId="0E9E861B" w14:textId="77777777" w:rsidR="00A701CB" w:rsidRDefault="00A701CB" w:rsidP="00A701CB">
      <w:pPr>
        <w:spacing w:after="0" w:line="240" w:lineRule="auto"/>
        <w:ind w:left="720"/>
      </w:pPr>
      <w:r>
        <w:t>In short:</w:t>
      </w:r>
    </w:p>
    <w:p w14:paraId="728B7693" w14:textId="77777777" w:rsidR="00A701CB" w:rsidRDefault="00A701CB" w:rsidP="00A701CB">
      <w:pPr>
        <w:pStyle w:val="ListParagraph"/>
        <w:numPr>
          <w:ilvl w:val="0"/>
          <w:numId w:val="59"/>
        </w:numPr>
        <w:spacing w:after="0" w:line="240" w:lineRule="auto"/>
        <w:ind w:left="1080"/>
      </w:pPr>
      <w:r>
        <w:t xml:space="preserve">The household could relocate to a unit that complies with rent standard/rent reasonableness requirements, </w:t>
      </w:r>
    </w:p>
    <w:p w14:paraId="6B50CB27" w14:textId="77777777" w:rsidR="00A701CB" w:rsidRDefault="00A701CB" w:rsidP="00A701CB">
      <w:pPr>
        <w:pStyle w:val="ListParagraph"/>
        <w:numPr>
          <w:ilvl w:val="0"/>
          <w:numId w:val="59"/>
        </w:numPr>
        <w:spacing w:after="0" w:line="240" w:lineRule="auto"/>
        <w:ind w:left="1080"/>
      </w:pPr>
      <w:r>
        <w:t xml:space="preserve">The household could find another household to split housing costs with provided there are enough bedrooms to accommodate both households (shared housing arrangement), </w:t>
      </w:r>
    </w:p>
    <w:p w14:paraId="158E8AC9" w14:textId="7DC03C1A" w:rsidR="00A701CB" w:rsidRDefault="00A701CB" w:rsidP="00A701CB">
      <w:pPr>
        <w:pStyle w:val="ListParagraph"/>
        <w:numPr>
          <w:ilvl w:val="0"/>
          <w:numId w:val="59"/>
        </w:numPr>
        <w:spacing w:after="0" w:line="240" w:lineRule="auto"/>
        <w:ind w:left="1080"/>
      </w:pPr>
      <w:r>
        <w:t>The household or Project Sponsor</w:t>
      </w:r>
      <w:r w:rsidRPr="00750685">
        <w:t xml:space="preserve"> could identify and secure an alternate payer for </w:t>
      </w:r>
      <w:r>
        <w:t xml:space="preserve">household-paid </w:t>
      </w:r>
      <w:r w:rsidRPr="00750685">
        <w:t xml:space="preserve">utility costs </w:t>
      </w:r>
      <w:r w:rsidR="000A08A7">
        <w:t>to</w:t>
      </w:r>
      <w:r w:rsidRPr="00750685">
        <w:t xml:space="preserve"> reduce or eliminate the amount of utility allowance required</w:t>
      </w:r>
      <w:r>
        <w:t>,</w:t>
      </w:r>
    </w:p>
    <w:p w14:paraId="186EFEFD" w14:textId="77777777" w:rsidR="00A701CB" w:rsidRDefault="00A701CB" w:rsidP="00A701CB">
      <w:pPr>
        <w:pStyle w:val="ListParagraph"/>
        <w:numPr>
          <w:ilvl w:val="0"/>
          <w:numId w:val="59"/>
        </w:numPr>
        <w:spacing w:after="0" w:line="240" w:lineRule="auto"/>
        <w:ind w:left="1080"/>
      </w:pPr>
      <w:r>
        <w:t xml:space="preserve">The household could negotiate a new rent or revise the utility responsibilities with the owner, or </w:t>
      </w:r>
    </w:p>
    <w:p w14:paraId="7538EBB3" w14:textId="50A1DEB0" w:rsidR="00A701CB" w:rsidRDefault="00A701CB" w:rsidP="00A701CB">
      <w:pPr>
        <w:pStyle w:val="ListParagraph"/>
        <w:numPr>
          <w:ilvl w:val="0"/>
          <w:numId w:val="59"/>
        </w:numPr>
        <w:spacing w:after="0" w:line="240" w:lineRule="auto"/>
        <w:ind w:left="1080"/>
      </w:pPr>
      <w:r>
        <w:t xml:space="preserve">On a </w:t>
      </w:r>
      <w:r w:rsidR="009C621C">
        <w:t>unit-by-unit</w:t>
      </w:r>
      <w:r>
        <w:t xml:space="preserve"> basis, the grantee may increase the rent standard by up to 10 percent for up to 20 percent of the units assisted (in other words, </w:t>
      </w:r>
      <w:r w:rsidRPr="00E73F0E">
        <w:t xml:space="preserve">Project Sponsors may use 110 percent of the rent standard for </w:t>
      </w:r>
      <w:r w:rsidR="00DC7ED5">
        <w:t>1</w:t>
      </w:r>
      <w:r w:rsidRPr="00E73F0E">
        <w:t xml:space="preserve"> out of </w:t>
      </w:r>
      <w:r w:rsidR="00DC7ED5">
        <w:t>5</w:t>
      </w:r>
      <w:r w:rsidRPr="00E73F0E">
        <w:t xml:space="preserve"> of the combined households that receive TBRA or TSH services </w:t>
      </w:r>
      <w:r w:rsidR="00DC7ED5">
        <w:t>at any given time</w:t>
      </w:r>
      <w:r>
        <w:t xml:space="preserve">). </w:t>
      </w:r>
      <w:r w:rsidRPr="00D17031">
        <w:t xml:space="preserve">Project Sponsors must collaborate with </w:t>
      </w:r>
      <w:r w:rsidR="00570DA0">
        <w:t>their AA</w:t>
      </w:r>
      <w:r w:rsidRPr="00D17031">
        <w:t xml:space="preserve"> to develop a Rent Standard Increase policy and tracking method before increasing the rent standard for a unit.</w:t>
      </w:r>
    </w:p>
    <w:p w14:paraId="45C4168B" w14:textId="6BBAE2B5" w:rsidR="00A701CB" w:rsidRDefault="00A701CB" w:rsidP="00DA098E">
      <w:pPr>
        <w:numPr>
          <w:ilvl w:val="0"/>
          <w:numId w:val="22"/>
        </w:numPr>
        <w:spacing w:after="0" w:line="240" w:lineRule="auto"/>
        <w:rPr>
          <w:b/>
        </w:rPr>
      </w:pPr>
      <w:r w:rsidRPr="00B3326B">
        <w:rPr>
          <w:b/>
        </w:rPr>
        <w:t xml:space="preserve">For </w:t>
      </w:r>
      <w:r>
        <w:rPr>
          <w:b/>
        </w:rPr>
        <w:t>rental assistance</w:t>
      </w:r>
      <w:r w:rsidRPr="00B3326B">
        <w:rPr>
          <w:b/>
        </w:rPr>
        <w:t xml:space="preserve">, can a couple </w:t>
      </w:r>
      <w:r>
        <w:rPr>
          <w:b/>
        </w:rPr>
        <w:t xml:space="preserve">be approved for </w:t>
      </w:r>
      <w:r w:rsidRPr="00B3326B">
        <w:rPr>
          <w:b/>
        </w:rPr>
        <w:t>a two</w:t>
      </w:r>
      <w:r>
        <w:rPr>
          <w:b/>
        </w:rPr>
        <w:t>-</w:t>
      </w:r>
      <w:r w:rsidRPr="00B3326B">
        <w:rPr>
          <w:b/>
        </w:rPr>
        <w:t>bedroom unit?</w:t>
      </w:r>
      <w:r>
        <w:rPr>
          <w:b/>
        </w:rPr>
        <w:t xml:space="preserve"> </w:t>
      </w:r>
      <w:r w:rsidRPr="00B3326B">
        <w:rPr>
          <w:b/>
        </w:rPr>
        <w:t>What if the couple requires two bedrooms for medical reasons (e.g., one person is incontinent, has sleep apnea, etc.)?</w:t>
      </w:r>
    </w:p>
    <w:p w14:paraId="0EA1AAEA" w14:textId="168FF07C" w:rsidR="00A701CB" w:rsidRPr="00BD764B" w:rsidRDefault="00A701CB" w:rsidP="00A701CB">
      <w:pPr>
        <w:spacing w:after="0" w:line="240" w:lineRule="auto"/>
        <w:ind w:left="720"/>
      </w:pPr>
      <w:r w:rsidRPr="00B3326B">
        <w:t xml:space="preserve">Generally, a couple only needs one bedroom. </w:t>
      </w:r>
      <w:r w:rsidR="0009178B" w:rsidRPr="008026D4">
        <w:rPr>
          <w:rFonts w:cs="Times New Roman"/>
        </w:rPr>
        <w:t xml:space="preserve">TBRA </w:t>
      </w:r>
      <w:r w:rsidR="0009178B">
        <w:rPr>
          <w:rFonts w:cs="Times New Roman"/>
        </w:rPr>
        <w:t>and TSH O</w:t>
      </w:r>
      <w:r w:rsidR="0009178B" w:rsidRPr="008026D4">
        <w:rPr>
          <w:rFonts w:cs="Times New Roman"/>
        </w:rPr>
        <w:t xml:space="preserve">ccupancy </w:t>
      </w:r>
      <w:r w:rsidR="0009178B">
        <w:rPr>
          <w:rFonts w:cs="Times New Roman"/>
        </w:rPr>
        <w:t>S</w:t>
      </w:r>
      <w:r w:rsidR="0009178B" w:rsidRPr="008026D4">
        <w:rPr>
          <w:rFonts w:cs="Times New Roman"/>
        </w:rPr>
        <w:t>tandards provide</w:t>
      </w:r>
      <w:r w:rsidR="0009178B">
        <w:rPr>
          <w:rFonts w:cs="Times New Roman"/>
        </w:rPr>
        <w:t xml:space="preserve"> for t</w:t>
      </w:r>
      <w:r w:rsidR="0009178B" w:rsidRPr="008026D4">
        <w:rPr>
          <w:rFonts w:cs="Times New Roman"/>
        </w:rPr>
        <w:t xml:space="preserve">he smallest </w:t>
      </w:r>
      <w:r w:rsidR="0009178B">
        <w:rPr>
          <w:rFonts w:cs="Times New Roman"/>
        </w:rPr>
        <w:t>unit size (i.e., number of bedrooms) a household needs</w:t>
      </w:r>
      <w:r w:rsidR="0009178B" w:rsidRPr="008026D4">
        <w:rPr>
          <w:rFonts w:cs="Times New Roman"/>
        </w:rPr>
        <w:t xml:space="preserve"> without overcrowding</w:t>
      </w:r>
      <w:r w:rsidR="0009178B">
        <w:rPr>
          <w:rFonts w:cs="Times New Roman"/>
        </w:rPr>
        <w:t xml:space="preserve">. </w:t>
      </w:r>
      <w:r w:rsidRPr="00B3326B">
        <w:t>Project Sponsors may grant</w:t>
      </w:r>
      <w:r>
        <w:t xml:space="preserve"> an</w:t>
      </w:r>
      <w:r w:rsidRPr="00B3326B">
        <w:t xml:space="preserve"> exception to the Occupancy Standards if the exception is justified by the age, sex, health, </w:t>
      </w:r>
      <w:r>
        <w:t>disability</w:t>
      </w:r>
      <w:r w:rsidRPr="00B3326B">
        <w:t xml:space="preserve">, or relationship of household members or other personal circumstances. </w:t>
      </w:r>
      <w:r w:rsidR="007057AB" w:rsidRPr="00B3326B">
        <w:t xml:space="preserve">Project Sponsors must document </w:t>
      </w:r>
      <w:r w:rsidR="007057AB">
        <w:t>such e</w:t>
      </w:r>
      <w:r w:rsidRPr="00B3326B">
        <w:t xml:space="preserve">xceptions in the household’s </w:t>
      </w:r>
      <w:r w:rsidR="002228D2">
        <w:t>record</w:t>
      </w:r>
      <w:r w:rsidRPr="00B3326B">
        <w:t xml:space="preserve">. Yes, </w:t>
      </w:r>
      <w:r>
        <w:t>Project Sponsors</w:t>
      </w:r>
      <w:r w:rsidRPr="00B3326B">
        <w:t xml:space="preserve"> can make an exception to the Occupancy Standards for </w:t>
      </w:r>
      <w:r>
        <w:t>medical</w:t>
      </w:r>
      <w:r w:rsidRPr="00B3326B">
        <w:t xml:space="preserve"> reason</w:t>
      </w:r>
      <w:r>
        <w:t>s</w:t>
      </w:r>
      <w:r w:rsidRPr="00B3326B">
        <w:t xml:space="preserve"> if adequately justified. Also, if the individual needs a separate bedroom because of a disabling condition, </w:t>
      </w:r>
      <w:r>
        <w:t xml:space="preserve">Project Sponsors could </w:t>
      </w:r>
      <w:r w:rsidRPr="00B3326B">
        <w:t xml:space="preserve">grant a reasonable accommodation (see Section 8: Fair Housing, Nondiscrimination, and Equal Opportunity, </w:t>
      </w:r>
      <w:r>
        <w:t xml:space="preserve">5. </w:t>
      </w:r>
      <w:r w:rsidRPr="00B3326B">
        <w:t>Reasonable Accommodations).</w:t>
      </w:r>
    </w:p>
    <w:p w14:paraId="6B26935E" w14:textId="2B097DC5" w:rsidR="00A701CB" w:rsidRDefault="00A701CB" w:rsidP="00DA098E">
      <w:pPr>
        <w:numPr>
          <w:ilvl w:val="0"/>
          <w:numId w:val="22"/>
        </w:numPr>
        <w:spacing w:after="0" w:line="240" w:lineRule="auto"/>
        <w:rPr>
          <w:b/>
        </w:rPr>
      </w:pPr>
      <w:r>
        <w:rPr>
          <w:b/>
        </w:rPr>
        <w:t>For rental assistance, i</w:t>
      </w:r>
      <w:r w:rsidRPr="00B3326B">
        <w:rPr>
          <w:b/>
        </w:rPr>
        <w:t xml:space="preserve">f more than one adult household member </w:t>
      </w:r>
      <w:r w:rsidR="008E2805">
        <w:rPr>
          <w:b/>
        </w:rPr>
        <w:t>lives with</w:t>
      </w:r>
      <w:r w:rsidRPr="00B3326B">
        <w:rPr>
          <w:b/>
        </w:rPr>
        <w:t xml:space="preserve"> HIV, would the additional adults qualify for a dependent deduction?</w:t>
      </w:r>
    </w:p>
    <w:p w14:paraId="41F07E7A" w14:textId="4F7A106E" w:rsidR="00A701CB" w:rsidRPr="00BD764B" w:rsidRDefault="00A701CB" w:rsidP="00A701CB">
      <w:pPr>
        <w:spacing w:after="0" w:line="240" w:lineRule="auto"/>
        <w:ind w:left="720"/>
      </w:pPr>
      <w:r w:rsidRPr="00B3326B">
        <w:t xml:space="preserve">It depends on if the other adults </w:t>
      </w:r>
      <w:r w:rsidR="00FF38DC">
        <w:t xml:space="preserve">living </w:t>
      </w:r>
      <w:r w:rsidRPr="00B3326B">
        <w:t xml:space="preserve">with HIV have been designated as the head of the household, co-head, spouse, or sole member. Some household members may never qualify as dependents regardless of age, disability (including HIV), or student status. The head of the household, co-head, spouse, or sole member may never qualify as dependents. Also, a foster child, foster adult, an unborn child, a child who has not yet joined the </w:t>
      </w:r>
      <w:r w:rsidRPr="00B3326B">
        <w:lastRenderedPageBreak/>
        <w:t xml:space="preserve">household or a live-in aide may never be counted as a dependent. For example, if the other adult </w:t>
      </w:r>
      <w:r>
        <w:t xml:space="preserve">household </w:t>
      </w:r>
      <w:r w:rsidRPr="00B3326B">
        <w:t xml:space="preserve">member </w:t>
      </w:r>
      <w:r w:rsidR="00FF38DC">
        <w:t xml:space="preserve">living </w:t>
      </w:r>
      <w:r w:rsidRPr="00B3326B">
        <w:t>with HIV is a significant other and designated as a co-head or spouse, this member would not qualify as a dependent.</w:t>
      </w:r>
    </w:p>
    <w:p w14:paraId="4230D594" w14:textId="77777777" w:rsidR="00A701CB" w:rsidRDefault="00A701CB" w:rsidP="00DA098E">
      <w:pPr>
        <w:numPr>
          <w:ilvl w:val="0"/>
          <w:numId w:val="22"/>
        </w:numPr>
        <w:spacing w:after="0" w:line="240" w:lineRule="auto"/>
        <w:rPr>
          <w:b/>
        </w:rPr>
      </w:pPr>
      <w:r>
        <w:rPr>
          <w:b/>
        </w:rPr>
        <w:t>For rental assistance, c</w:t>
      </w:r>
      <w:r w:rsidRPr="00B3326B">
        <w:rPr>
          <w:b/>
        </w:rPr>
        <w:t>an an undocumented household member qualify for a dependent deduction?</w:t>
      </w:r>
    </w:p>
    <w:p w14:paraId="667E5EA3" w14:textId="464881ED" w:rsidR="00A701CB" w:rsidRPr="000B43DF" w:rsidRDefault="00A701CB" w:rsidP="00A701CB">
      <w:pPr>
        <w:spacing w:after="0" w:line="240" w:lineRule="auto"/>
        <w:ind w:left="720"/>
        <w:rPr>
          <w:b/>
        </w:rPr>
      </w:pPr>
      <w:r w:rsidRPr="00BD764B">
        <w:t xml:space="preserve">No, not because they are undocumented. The dependent deduction is for each household member (with the exceptions noted in Question </w:t>
      </w:r>
      <w:r>
        <w:t>35</w:t>
      </w:r>
      <w:r w:rsidRPr="00BD764B">
        <w:t xml:space="preserve">) </w:t>
      </w:r>
      <w:r w:rsidR="00D93C6D">
        <w:t>who is aged</w:t>
      </w:r>
      <w:r w:rsidRPr="00BD764B">
        <w:t xml:space="preserve"> under 18 years </w:t>
      </w:r>
      <w:r w:rsidR="00D93C6D">
        <w:t>old</w:t>
      </w:r>
      <w:r w:rsidRPr="00BD764B">
        <w:t xml:space="preserve">, </w:t>
      </w:r>
      <w:r w:rsidR="00DD22CF">
        <w:t>disabled,</w:t>
      </w:r>
      <w:r w:rsidRPr="00BD764B">
        <w:t xml:space="preserve"> or a full-time student of any age.</w:t>
      </w:r>
    </w:p>
    <w:p w14:paraId="1901852F" w14:textId="68258404" w:rsidR="00A701CB" w:rsidRDefault="00A701CB" w:rsidP="00DA098E">
      <w:pPr>
        <w:numPr>
          <w:ilvl w:val="0"/>
          <w:numId w:val="22"/>
        </w:numPr>
        <w:spacing w:after="0" w:line="240" w:lineRule="auto"/>
        <w:rPr>
          <w:b/>
        </w:rPr>
      </w:pPr>
      <w:r>
        <w:rPr>
          <w:b/>
        </w:rPr>
        <w:t xml:space="preserve">Our household lives in a rural county. The county does not have a </w:t>
      </w:r>
      <w:r w:rsidR="00692360">
        <w:rPr>
          <w:b/>
        </w:rPr>
        <w:t>P</w:t>
      </w:r>
      <w:r w:rsidR="00875F85">
        <w:rPr>
          <w:b/>
        </w:rPr>
        <w:t xml:space="preserve">ublic </w:t>
      </w:r>
      <w:r w:rsidR="00692360">
        <w:rPr>
          <w:b/>
        </w:rPr>
        <w:t>H</w:t>
      </w:r>
      <w:r>
        <w:rPr>
          <w:b/>
        </w:rPr>
        <w:t xml:space="preserve">ousing </w:t>
      </w:r>
      <w:r w:rsidR="00692360">
        <w:rPr>
          <w:b/>
        </w:rPr>
        <w:t>Agency</w:t>
      </w:r>
      <w:r>
        <w:rPr>
          <w:b/>
        </w:rPr>
        <w:t>. We are having trouble obtaining a utility allowance schedule for Form H. What should we do?</w:t>
      </w:r>
    </w:p>
    <w:p w14:paraId="6A5F1A1D" w14:textId="12AFAEE1" w:rsidR="00A701CB" w:rsidRPr="000B43DF" w:rsidRDefault="00A701CB" w:rsidP="00A701CB">
      <w:pPr>
        <w:spacing w:after="0" w:line="240" w:lineRule="auto"/>
        <w:ind w:left="720"/>
      </w:pPr>
      <w:r>
        <w:t>Project Sponsors should</w:t>
      </w:r>
      <w:r w:rsidRPr="00FF5ADE">
        <w:t xml:space="preserve"> cont</w:t>
      </w:r>
      <w:r>
        <w:t xml:space="preserve">act the </w:t>
      </w:r>
      <w:r w:rsidR="006862B3">
        <w:t xml:space="preserve">nearest </w:t>
      </w:r>
      <w:r w:rsidR="00875F85">
        <w:t xml:space="preserve">local </w:t>
      </w:r>
      <w:r w:rsidR="00692360">
        <w:t>P</w:t>
      </w:r>
      <w:r w:rsidR="00875F85">
        <w:t xml:space="preserve">ublic </w:t>
      </w:r>
      <w:r w:rsidR="00692360">
        <w:t>H</w:t>
      </w:r>
      <w:r>
        <w:t xml:space="preserve">ousing </w:t>
      </w:r>
      <w:r w:rsidR="00692360">
        <w:t>Agency</w:t>
      </w:r>
      <w:r w:rsidRPr="00FF5ADE">
        <w:t xml:space="preserve">. </w:t>
      </w:r>
      <w:r>
        <w:t xml:space="preserve">The </w:t>
      </w:r>
      <w:r w:rsidR="00692360">
        <w:t>P</w:t>
      </w:r>
      <w:r w:rsidR="00875F85">
        <w:t xml:space="preserve">ublic </w:t>
      </w:r>
      <w:r w:rsidR="00692360">
        <w:t>H</w:t>
      </w:r>
      <w:r>
        <w:t xml:space="preserve">ousing </w:t>
      </w:r>
      <w:r w:rsidR="00692360">
        <w:t xml:space="preserve">Agency </w:t>
      </w:r>
      <w:r w:rsidR="006D73C9">
        <w:t>may</w:t>
      </w:r>
      <w:r w:rsidRPr="00FF5ADE">
        <w:t xml:space="preserve"> </w:t>
      </w:r>
      <w:r w:rsidR="000A08A7" w:rsidRPr="00FF5ADE">
        <w:t>be</w:t>
      </w:r>
      <w:r w:rsidR="000A08A7">
        <w:t xml:space="preserve"> in</w:t>
      </w:r>
      <w:r w:rsidR="006D73C9">
        <w:t xml:space="preserve"> a different county than</w:t>
      </w:r>
      <w:r>
        <w:t xml:space="preserve"> the household</w:t>
      </w:r>
      <w:r w:rsidRPr="00FF5ADE">
        <w:t xml:space="preserve">. </w:t>
      </w:r>
      <w:r>
        <w:t xml:space="preserve">After locating the nearest </w:t>
      </w:r>
      <w:r w:rsidR="00692360">
        <w:t>P</w:t>
      </w:r>
      <w:r w:rsidR="00875F85">
        <w:t xml:space="preserve">ublic </w:t>
      </w:r>
      <w:r w:rsidR="00692360">
        <w:t>H</w:t>
      </w:r>
      <w:r>
        <w:t xml:space="preserve">ousing </w:t>
      </w:r>
      <w:r w:rsidR="00692360">
        <w:t>Agency</w:t>
      </w:r>
      <w:r>
        <w:t>, Project Sponsors must</w:t>
      </w:r>
      <w:r w:rsidRPr="00FF5ADE">
        <w:t xml:space="preserve"> keep a copy of the utility allowance schedule </w:t>
      </w:r>
      <w:r>
        <w:t xml:space="preserve">they used in the household’s </w:t>
      </w:r>
      <w:r w:rsidR="002228D2">
        <w:t>record</w:t>
      </w:r>
      <w:r w:rsidRPr="00FF5ADE">
        <w:t>.</w:t>
      </w:r>
    </w:p>
    <w:p w14:paraId="5D79B3A8" w14:textId="77777777" w:rsidR="00A701CB" w:rsidRDefault="00A701CB" w:rsidP="00DA098E">
      <w:pPr>
        <w:numPr>
          <w:ilvl w:val="0"/>
          <w:numId w:val="22"/>
        </w:numPr>
        <w:spacing w:after="0" w:line="240" w:lineRule="auto"/>
        <w:rPr>
          <w:b/>
        </w:rPr>
      </w:pPr>
      <w:r>
        <w:rPr>
          <w:b/>
        </w:rPr>
        <w:t>Can DSHS explain the recent changes to Earned Income Disregard?</w:t>
      </w:r>
    </w:p>
    <w:p w14:paraId="01673FA8" w14:textId="7A575335" w:rsidR="00A701CB" w:rsidRDefault="00A701CB" w:rsidP="00A701CB">
      <w:pPr>
        <w:spacing w:after="0" w:line="240" w:lineRule="auto"/>
        <w:ind w:left="720"/>
        <w:rPr>
          <w:rFonts w:cs="Times New Roman"/>
          <w:b/>
        </w:rPr>
      </w:pPr>
      <w:r w:rsidRPr="00C3696F">
        <w:t xml:space="preserve">Section 102(a)(2) of </w:t>
      </w:r>
      <w:r>
        <w:t>the Housing Opportunities Through Modernization Act of 2016 (</w:t>
      </w:r>
      <w:proofErr w:type="spellStart"/>
      <w:r w:rsidRPr="00C3696F">
        <w:t>HOTMA</w:t>
      </w:r>
      <w:proofErr w:type="spellEnd"/>
      <w:r>
        <w:t>)</w:t>
      </w:r>
      <w:r w:rsidRPr="00C3696F">
        <w:t xml:space="preserve"> eliminate</w:t>
      </w:r>
      <w:r>
        <w:t>d</w:t>
      </w:r>
      <w:r w:rsidRPr="00C3696F">
        <w:t xml:space="preserve"> section 3(d) of the </w:t>
      </w:r>
      <w:r w:rsidRPr="00D87CC0">
        <w:t>United States Housing Act of 1937</w:t>
      </w:r>
      <w:r>
        <w:t xml:space="preserve">, which </w:t>
      </w:r>
      <w:r w:rsidRPr="00C3696F">
        <w:t>allowed for the disallowance of earned income (EID) from rent</w:t>
      </w:r>
      <w:r>
        <w:t>al assistance calculations</w:t>
      </w:r>
      <w:r w:rsidRPr="00C3696F">
        <w:t>.</w:t>
      </w:r>
      <w:r>
        <w:t xml:space="preserve"> The Earned Income Disallowance</w:t>
      </w:r>
      <w:r w:rsidRPr="00D87CC0">
        <w:t xml:space="preserve"> </w:t>
      </w:r>
      <w:r>
        <w:t>(</w:t>
      </w:r>
      <w:r w:rsidRPr="00D87CC0">
        <w:t>EID</w:t>
      </w:r>
      <w:r>
        <w:t>)</w:t>
      </w:r>
      <w:r w:rsidRPr="00D87CC0">
        <w:t xml:space="preserve"> is no longer authorized under the 1937 Act</w:t>
      </w:r>
      <w:r>
        <w:t xml:space="preserve">. Households receiving the EID benefit </w:t>
      </w:r>
      <w:r w:rsidR="00C30138">
        <w:t xml:space="preserve">prior to passage of the final rule </w:t>
      </w:r>
      <w:r>
        <w:t xml:space="preserve">may </w:t>
      </w:r>
      <w:r w:rsidRPr="00D87CC0">
        <w:t xml:space="preserve">continue receiving </w:t>
      </w:r>
      <w:r>
        <w:t>the EID benefit</w:t>
      </w:r>
      <w:r w:rsidRPr="00D87CC0">
        <w:t xml:space="preserve"> until the</w:t>
      </w:r>
      <w:r>
        <w:t>ir</w:t>
      </w:r>
      <w:r w:rsidRPr="00D87CC0">
        <w:t xml:space="preserve"> allowed timeframe expires</w:t>
      </w:r>
      <w:r>
        <w:t>.</w:t>
      </w:r>
    </w:p>
    <w:p w14:paraId="542A9C9A" w14:textId="6B48C4D2" w:rsidR="00394BEF" w:rsidRDefault="00394BEF" w:rsidP="00DA098E">
      <w:pPr>
        <w:pStyle w:val="NoSpacing"/>
        <w:numPr>
          <w:ilvl w:val="0"/>
          <w:numId w:val="22"/>
        </w:numPr>
        <w:rPr>
          <w:rFonts w:cs="Times New Roman"/>
          <w:b/>
        </w:rPr>
      </w:pPr>
      <w:r>
        <w:rPr>
          <w:rFonts w:cs="Times New Roman"/>
          <w:b/>
        </w:rPr>
        <w:t>A</w:t>
      </w:r>
      <w:r w:rsidRPr="00394BEF">
        <w:rPr>
          <w:rFonts w:cs="Times New Roman"/>
          <w:b/>
        </w:rPr>
        <w:t xml:space="preserve"> </w:t>
      </w:r>
      <w:r>
        <w:rPr>
          <w:rFonts w:cs="Times New Roman"/>
          <w:b/>
        </w:rPr>
        <w:t>c</w:t>
      </w:r>
      <w:r w:rsidRPr="00394BEF">
        <w:rPr>
          <w:rFonts w:cs="Times New Roman"/>
          <w:b/>
        </w:rPr>
        <w:t xml:space="preserve">lient receiving TBRA </w:t>
      </w:r>
      <w:r>
        <w:rPr>
          <w:rFonts w:cs="Times New Roman"/>
          <w:b/>
        </w:rPr>
        <w:t>services</w:t>
      </w:r>
      <w:r w:rsidR="00364F25">
        <w:rPr>
          <w:rFonts w:cs="Times New Roman"/>
          <w:b/>
        </w:rPr>
        <w:t xml:space="preserve"> </w:t>
      </w:r>
      <w:r w:rsidR="00363BCE">
        <w:rPr>
          <w:rFonts w:cs="Times New Roman"/>
          <w:b/>
        </w:rPr>
        <w:t xml:space="preserve">has not provided any documentation </w:t>
      </w:r>
      <w:r w:rsidR="00364F25">
        <w:rPr>
          <w:rFonts w:cs="Times New Roman"/>
          <w:b/>
        </w:rPr>
        <w:t>to</w:t>
      </w:r>
      <w:r w:rsidR="00363BCE">
        <w:rPr>
          <w:rFonts w:cs="Times New Roman"/>
          <w:b/>
        </w:rPr>
        <w:t xml:space="preserve"> indicate he has been retained in medical care. </w:t>
      </w:r>
      <w:r>
        <w:rPr>
          <w:rFonts w:cs="Times New Roman"/>
          <w:b/>
        </w:rPr>
        <w:t>Is the client</w:t>
      </w:r>
      <w:r w:rsidRPr="00394BEF">
        <w:rPr>
          <w:rFonts w:cs="Times New Roman"/>
          <w:b/>
        </w:rPr>
        <w:t xml:space="preserve"> non-compliant </w:t>
      </w:r>
      <w:r>
        <w:rPr>
          <w:rFonts w:cs="Times New Roman"/>
          <w:b/>
        </w:rPr>
        <w:t>with HOPWA policies?</w:t>
      </w:r>
    </w:p>
    <w:p w14:paraId="0C471CD2" w14:textId="1660424B" w:rsidR="00394BEF" w:rsidRPr="00394BEF" w:rsidRDefault="00363BCE" w:rsidP="00394BEF">
      <w:pPr>
        <w:pStyle w:val="NoSpacing"/>
        <w:ind w:left="720"/>
        <w:rPr>
          <w:rFonts w:cs="Times New Roman"/>
        </w:rPr>
      </w:pPr>
      <w:r>
        <w:rPr>
          <w:rFonts w:cs="Times New Roman"/>
        </w:rPr>
        <w:t xml:space="preserve">No, </w:t>
      </w:r>
      <w:r w:rsidR="00394BEF" w:rsidRPr="00394BEF">
        <w:rPr>
          <w:rFonts w:cs="Times New Roman"/>
        </w:rPr>
        <w:t xml:space="preserve">HOPWA only requires proof of </w:t>
      </w:r>
      <w:r>
        <w:rPr>
          <w:rFonts w:cs="Times New Roman"/>
        </w:rPr>
        <w:t>HIV</w:t>
      </w:r>
      <w:r w:rsidRPr="00394BEF">
        <w:rPr>
          <w:rFonts w:cs="Times New Roman"/>
        </w:rPr>
        <w:t xml:space="preserve"> </w:t>
      </w:r>
      <w:r w:rsidR="00394BEF" w:rsidRPr="00394BEF">
        <w:rPr>
          <w:rFonts w:cs="Times New Roman"/>
        </w:rPr>
        <w:t xml:space="preserve">when determining </w:t>
      </w:r>
      <w:r w:rsidR="00867262">
        <w:rPr>
          <w:rFonts w:cs="Times New Roman"/>
        </w:rPr>
        <w:t>household</w:t>
      </w:r>
      <w:r w:rsidR="00394BEF" w:rsidRPr="00394BEF">
        <w:rPr>
          <w:rFonts w:cs="Times New Roman"/>
        </w:rPr>
        <w:t xml:space="preserve"> eligibility. </w:t>
      </w:r>
      <w:r w:rsidR="00867262">
        <w:rPr>
          <w:rFonts w:cs="Times New Roman"/>
        </w:rPr>
        <w:t>Apart from that</w:t>
      </w:r>
      <w:r w:rsidR="00394BEF" w:rsidRPr="00394BEF">
        <w:rPr>
          <w:rFonts w:cs="Times New Roman"/>
        </w:rPr>
        <w:t xml:space="preserve">, </w:t>
      </w:r>
      <w:r w:rsidR="00867262">
        <w:rPr>
          <w:rFonts w:cs="Times New Roman"/>
        </w:rPr>
        <w:t xml:space="preserve">HOPWA does not require </w:t>
      </w:r>
      <w:r w:rsidR="00DD4D63">
        <w:rPr>
          <w:rFonts w:cs="Times New Roman"/>
        </w:rPr>
        <w:t>households to</w:t>
      </w:r>
      <w:r w:rsidR="00394BEF" w:rsidRPr="00394BEF">
        <w:rPr>
          <w:rFonts w:cs="Times New Roman"/>
        </w:rPr>
        <w:t xml:space="preserve"> provide additional medical documentation</w:t>
      </w:r>
      <w:r w:rsidR="000035B2">
        <w:rPr>
          <w:rFonts w:cs="Times New Roman"/>
        </w:rPr>
        <w:t xml:space="preserve"> </w:t>
      </w:r>
      <w:r w:rsidR="00394BEF" w:rsidRPr="00394BEF">
        <w:rPr>
          <w:rFonts w:cs="Times New Roman"/>
        </w:rPr>
        <w:t>unless the</w:t>
      </w:r>
      <w:r w:rsidR="00DD4D63">
        <w:rPr>
          <w:rFonts w:cs="Times New Roman"/>
        </w:rPr>
        <w:t xml:space="preserve">y have </w:t>
      </w:r>
      <w:r w:rsidR="00394BEF" w:rsidRPr="00394BEF">
        <w:rPr>
          <w:rFonts w:cs="Times New Roman"/>
        </w:rPr>
        <w:t xml:space="preserve">agreed to </w:t>
      </w:r>
      <w:r w:rsidR="00867262">
        <w:rPr>
          <w:rFonts w:cs="Times New Roman"/>
        </w:rPr>
        <w:t>this</w:t>
      </w:r>
      <w:r w:rsidR="00394BEF" w:rsidRPr="00394BEF">
        <w:rPr>
          <w:rFonts w:cs="Times New Roman"/>
        </w:rPr>
        <w:t xml:space="preserve"> in their housing plan. Based on the information </w:t>
      </w:r>
      <w:r w:rsidR="00394BEF">
        <w:rPr>
          <w:rFonts w:cs="Times New Roman"/>
        </w:rPr>
        <w:t>available</w:t>
      </w:r>
      <w:r w:rsidR="00741568">
        <w:rPr>
          <w:rFonts w:cs="Times New Roman"/>
        </w:rPr>
        <w:t>,</w:t>
      </w:r>
      <w:r w:rsidR="00394BEF" w:rsidRPr="00394BEF">
        <w:rPr>
          <w:rFonts w:cs="Times New Roman"/>
        </w:rPr>
        <w:t xml:space="preserve"> the client has not violated any rules. </w:t>
      </w:r>
      <w:r w:rsidR="00364F25">
        <w:rPr>
          <w:rFonts w:cs="Times New Roman"/>
        </w:rPr>
        <w:t>Furthermore, t</w:t>
      </w:r>
      <w:r w:rsidR="00394BEF" w:rsidRPr="00394BEF">
        <w:rPr>
          <w:rFonts w:cs="Times New Roman"/>
        </w:rPr>
        <w:t>ermination from HOPWA should be a last resort.</w:t>
      </w:r>
      <w:r w:rsidR="00394BEF">
        <w:rPr>
          <w:rFonts w:cs="Times New Roman"/>
        </w:rPr>
        <w:t xml:space="preserve"> </w:t>
      </w:r>
      <w:r w:rsidR="00394BEF" w:rsidRPr="00394BEF">
        <w:rPr>
          <w:rFonts w:cs="Times New Roman"/>
        </w:rPr>
        <w:t xml:space="preserve">Yes, HOPWA is intended to promote better health outcomes and using current medical documentation </w:t>
      </w:r>
      <w:r w:rsidR="00364F25">
        <w:rPr>
          <w:rFonts w:cs="Times New Roman"/>
        </w:rPr>
        <w:t>for monitoring purposes can be</w:t>
      </w:r>
      <w:r w:rsidR="00394BEF" w:rsidRPr="00394BEF">
        <w:rPr>
          <w:rFonts w:cs="Times New Roman"/>
        </w:rPr>
        <w:t xml:space="preserve"> </w:t>
      </w:r>
      <w:r>
        <w:rPr>
          <w:rFonts w:cs="Times New Roman"/>
        </w:rPr>
        <w:t>a good</w:t>
      </w:r>
      <w:r w:rsidR="00394BEF" w:rsidRPr="00394BEF">
        <w:rPr>
          <w:rFonts w:cs="Times New Roman"/>
        </w:rPr>
        <w:t xml:space="preserve"> practice. </w:t>
      </w:r>
      <w:r w:rsidR="00364F25">
        <w:rPr>
          <w:rFonts w:cs="Times New Roman"/>
        </w:rPr>
        <w:t>Regardless</w:t>
      </w:r>
      <w:r w:rsidR="00394BEF" w:rsidRPr="00394BEF">
        <w:rPr>
          <w:rFonts w:cs="Times New Roman"/>
        </w:rPr>
        <w:t xml:space="preserve">, </w:t>
      </w:r>
      <w:r w:rsidR="00364F25">
        <w:rPr>
          <w:rFonts w:cs="Times New Roman"/>
        </w:rPr>
        <w:t>HOPWA prioritizes housing stability</w:t>
      </w:r>
      <w:r w:rsidR="00394BEF">
        <w:rPr>
          <w:rFonts w:cs="Times New Roman"/>
        </w:rPr>
        <w:t xml:space="preserve">. </w:t>
      </w:r>
      <w:r w:rsidR="00394BEF" w:rsidRPr="00394BEF">
        <w:rPr>
          <w:rFonts w:cs="Times New Roman"/>
        </w:rPr>
        <w:t xml:space="preserve">If a Project Sponsor </w:t>
      </w:r>
      <w:r w:rsidR="00314E9D">
        <w:rPr>
          <w:rFonts w:cs="Times New Roman"/>
        </w:rPr>
        <w:t>will</w:t>
      </w:r>
      <w:r w:rsidR="00394BEF" w:rsidRPr="00394BEF">
        <w:rPr>
          <w:rFonts w:cs="Times New Roman"/>
        </w:rPr>
        <w:t xml:space="preserve"> </w:t>
      </w:r>
      <w:r w:rsidR="00364F25">
        <w:rPr>
          <w:rFonts w:cs="Times New Roman"/>
        </w:rPr>
        <w:t>require</w:t>
      </w:r>
      <w:r w:rsidR="00394BEF" w:rsidRPr="00394BEF">
        <w:rPr>
          <w:rFonts w:cs="Times New Roman"/>
        </w:rPr>
        <w:t xml:space="preserve"> clients </w:t>
      </w:r>
      <w:r w:rsidR="00364F25">
        <w:rPr>
          <w:rFonts w:cs="Times New Roman"/>
        </w:rPr>
        <w:t xml:space="preserve">to </w:t>
      </w:r>
      <w:r w:rsidR="00394BEF" w:rsidRPr="00394BEF">
        <w:rPr>
          <w:rFonts w:cs="Times New Roman"/>
        </w:rPr>
        <w:t xml:space="preserve">provide medical documentation as a condition of receiving housing assistance, then </w:t>
      </w:r>
      <w:r w:rsidR="00364F25">
        <w:rPr>
          <w:rFonts w:cs="Times New Roman"/>
        </w:rPr>
        <w:t xml:space="preserve">the Project Sponsor should enact and uniformly implement a policy for </w:t>
      </w:r>
      <w:r w:rsidR="00394BEF" w:rsidRPr="00394BEF">
        <w:rPr>
          <w:rFonts w:cs="Times New Roman"/>
        </w:rPr>
        <w:t>all HOPWA clients. Also, clients should have the opportunity to give informed consent by signing an acknowledgement of the Project Sponsor’s unique termination policy prior to enrollment.</w:t>
      </w:r>
    </w:p>
    <w:p w14:paraId="6FA91947" w14:textId="12EEDD7E" w:rsidR="004B3697" w:rsidRDefault="004B3697" w:rsidP="00DA098E">
      <w:pPr>
        <w:pStyle w:val="NoSpacing"/>
        <w:numPr>
          <w:ilvl w:val="0"/>
          <w:numId w:val="22"/>
        </w:numPr>
        <w:rPr>
          <w:rFonts w:cs="Times New Roman"/>
          <w:b/>
        </w:rPr>
      </w:pPr>
      <w:r>
        <w:rPr>
          <w:rFonts w:cs="Times New Roman"/>
          <w:b/>
        </w:rPr>
        <w:t xml:space="preserve">If a household </w:t>
      </w:r>
      <w:r w:rsidR="006D73C9">
        <w:rPr>
          <w:rFonts w:cs="Times New Roman"/>
          <w:b/>
        </w:rPr>
        <w:t>qualifies</w:t>
      </w:r>
      <w:r>
        <w:rPr>
          <w:rFonts w:cs="Times New Roman"/>
          <w:b/>
        </w:rPr>
        <w:t xml:space="preserve"> for </w:t>
      </w:r>
      <w:r w:rsidR="00C4349B">
        <w:rPr>
          <w:rFonts w:cs="Times New Roman"/>
          <w:b/>
        </w:rPr>
        <w:t>rental assistance</w:t>
      </w:r>
      <w:r w:rsidR="0096417A">
        <w:rPr>
          <w:rFonts w:cs="Times New Roman"/>
          <w:b/>
        </w:rPr>
        <w:t xml:space="preserve"> services</w:t>
      </w:r>
      <w:r>
        <w:rPr>
          <w:rFonts w:cs="Times New Roman"/>
          <w:b/>
        </w:rPr>
        <w:t xml:space="preserve">, but </w:t>
      </w:r>
      <w:r w:rsidR="006D73C9">
        <w:rPr>
          <w:rFonts w:cs="Times New Roman"/>
          <w:b/>
        </w:rPr>
        <w:t xml:space="preserve">they </w:t>
      </w:r>
      <w:r w:rsidR="00867262">
        <w:rPr>
          <w:rFonts w:cs="Times New Roman"/>
          <w:b/>
        </w:rPr>
        <w:t xml:space="preserve">do not meet </w:t>
      </w:r>
      <w:r w:rsidR="00F60BE9">
        <w:rPr>
          <w:rFonts w:cs="Times New Roman"/>
          <w:b/>
        </w:rPr>
        <w:t xml:space="preserve">the </w:t>
      </w:r>
      <w:r w:rsidR="00867262">
        <w:rPr>
          <w:rFonts w:cs="Times New Roman"/>
          <w:b/>
        </w:rPr>
        <w:t>eligibility criteria</w:t>
      </w:r>
      <w:r w:rsidR="006D73C9">
        <w:rPr>
          <w:rFonts w:cs="Times New Roman"/>
          <w:b/>
        </w:rPr>
        <w:t xml:space="preserve"> for the</w:t>
      </w:r>
      <w:r>
        <w:rPr>
          <w:rFonts w:cs="Times New Roman"/>
          <w:b/>
        </w:rPr>
        <w:t xml:space="preserve"> Housing Choice Voucher Program</w:t>
      </w:r>
      <w:r w:rsidR="00721FC8">
        <w:rPr>
          <w:rFonts w:cs="Times New Roman"/>
          <w:b/>
        </w:rPr>
        <w:t xml:space="preserve"> (HCVP)</w:t>
      </w:r>
      <w:r>
        <w:rPr>
          <w:rFonts w:cs="Times New Roman"/>
          <w:b/>
        </w:rPr>
        <w:t xml:space="preserve"> or other affordable housing programs (</w:t>
      </w:r>
      <w:r w:rsidR="006D73C9">
        <w:rPr>
          <w:rFonts w:cs="Times New Roman"/>
          <w:b/>
        </w:rPr>
        <w:t>for example</w:t>
      </w:r>
      <w:r>
        <w:rPr>
          <w:rFonts w:cs="Times New Roman"/>
          <w:b/>
        </w:rPr>
        <w:t xml:space="preserve">, </w:t>
      </w:r>
      <w:r w:rsidR="006D73C9">
        <w:rPr>
          <w:rFonts w:cs="Times New Roman"/>
          <w:b/>
        </w:rPr>
        <w:t xml:space="preserve">because of specific </w:t>
      </w:r>
      <w:r>
        <w:rPr>
          <w:rFonts w:cs="Times New Roman"/>
          <w:b/>
        </w:rPr>
        <w:t xml:space="preserve">criminal background barriers), does this disqualify </w:t>
      </w:r>
      <w:r w:rsidR="007C0D2E">
        <w:rPr>
          <w:rFonts w:cs="Times New Roman"/>
          <w:b/>
        </w:rPr>
        <w:t xml:space="preserve">the household </w:t>
      </w:r>
      <w:r>
        <w:rPr>
          <w:rFonts w:cs="Times New Roman"/>
          <w:b/>
        </w:rPr>
        <w:t xml:space="preserve">from </w:t>
      </w:r>
      <w:r w:rsidR="00C4349B">
        <w:rPr>
          <w:rFonts w:cs="Times New Roman"/>
          <w:b/>
        </w:rPr>
        <w:t xml:space="preserve">rental assistance </w:t>
      </w:r>
      <w:r w:rsidR="0096417A">
        <w:rPr>
          <w:rFonts w:cs="Times New Roman"/>
          <w:b/>
        </w:rPr>
        <w:t>services</w:t>
      </w:r>
      <w:r>
        <w:rPr>
          <w:rFonts w:cs="Times New Roman"/>
          <w:b/>
        </w:rPr>
        <w:t>?</w:t>
      </w:r>
    </w:p>
    <w:p w14:paraId="0A6DC26F" w14:textId="626E7CD2" w:rsidR="004B3697" w:rsidRPr="004B3697" w:rsidRDefault="00177D02" w:rsidP="004B3697">
      <w:pPr>
        <w:pStyle w:val="NoSpacing"/>
        <w:ind w:left="720"/>
        <w:rPr>
          <w:rFonts w:cs="Times New Roman"/>
        </w:rPr>
      </w:pPr>
      <w:r>
        <w:rPr>
          <w:rFonts w:cs="Times New Roman"/>
        </w:rPr>
        <w:t>No, s</w:t>
      </w:r>
      <w:r w:rsidR="004B3697" w:rsidRPr="004B3697">
        <w:rPr>
          <w:rFonts w:cs="Times New Roman"/>
        </w:rPr>
        <w:t xml:space="preserve">ome households may </w:t>
      </w:r>
      <w:r w:rsidR="00C0395F">
        <w:rPr>
          <w:rFonts w:cs="Times New Roman"/>
        </w:rPr>
        <w:t xml:space="preserve">not meet </w:t>
      </w:r>
      <w:r w:rsidR="00F60BE9">
        <w:rPr>
          <w:rFonts w:cs="Times New Roman"/>
        </w:rPr>
        <w:t xml:space="preserve">the </w:t>
      </w:r>
      <w:r w:rsidR="00C0395F">
        <w:rPr>
          <w:rFonts w:cs="Times New Roman"/>
        </w:rPr>
        <w:t>eligibility criteria</w:t>
      </w:r>
      <w:r w:rsidR="004B3697" w:rsidRPr="004B3697">
        <w:rPr>
          <w:rFonts w:cs="Times New Roman"/>
        </w:rPr>
        <w:t xml:space="preserve"> for </w:t>
      </w:r>
      <w:r w:rsidR="004B3697">
        <w:rPr>
          <w:rFonts w:cs="Times New Roman"/>
        </w:rPr>
        <w:t>the Housing Choice Voucher Program</w:t>
      </w:r>
      <w:r w:rsidR="00721FC8">
        <w:rPr>
          <w:rFonts w:cs="Times New Roman"/>
        </w:rPr>
        <w:t xml:space="preserve"> (HCVP)</w:t>
      </w:r>
      <w:r w:rsidR="004B3697">
        <w:rPr>
          <w:rFonts w:cs="Times New Roman"/>
        </w:rPr>
        <w:t xml:space="preserve"> or other affordable housing programs</w:t>
      </w:r>
      <w:r w:rsidR="004B3697" w:rsidRPr="004B3697">
        <w:rPr>
          <w:rFonts w:cs="Times New Roman"/>
        </w:rPr>
        <w:t xml:space="preserve"> and it would be unreasonable to expect</w:t>
      </w:r>
      <w:r>
        <w:rPr>
          <w:rFonts w:cs="Times New Roman"/>
        </w:rPr>
        <w:t xml:space="preserve"> that</w:t>
      </w:r>
      <w:r w:rsidR="004B3697" w:rsidRPr="004B3697">
        <w:rPr>
          <w:rFonts w:cs="Times New Roman"/>
        </w:rPr>
        <w:t xml:space="preserve"> </w:t>
      </w:r>
      <w:r w:rsidR="004B3697">
        <w:rPr>
          <w:rFonts w:cs="Times New Roman"/>
        </w:rPr>
        <w:t xml:space="preserve">their applications </w:t>
      </w:r>
      <w:r w:rsidR="00645F72">
        <w:rPr>
          <w:rFonts w:cs="Times New Roman"/>
        </w:rPr>
        <w:t>would be</w:t>
      </w:r>
      <w:r w:rsidR="004B3697" w:rsidRPr="004B3697">
        <w:rPr>
          <w:rFonts w:cs="Times New Roman"/>
        </w:rPr>
        <w:t xml:space="preserve"> approved</w:t>
      </w:r>
      <w:r w:rsidR="004B3697">
        <w:rPr>
          <w:rFonts w:cs="Times New Roman"/>
        </w:rPr>
        <w:t xml:space="preserve"> (this </w:t>
      </w:r>
      <w:r w:rsidR="00CC4321">
        <w:rPr>
          <w:rFonts w:cs="Times New Roman"/>
        </w:rPr>
        <w:t>should</w:t>
      </w:r>
      <w:r w:rsidR="004B3697">
        <w:rPr>
          <w:rFonts w:cs="Times New Roman"/>
        </w:rPr>
        <w:t xml:space="preserve"> be documented with a denial letter</w:t>
      </w:r>
      <w:r w:rsidR="00CC4321">
        <w:rPr>
          <w:rFonts w:cs="Times New Roman"/>
        </w:rPr>
        <w:t xml:space="preserve"> that explains why</w:t>
      </w:r>
      <w:r>
        <w:rPr>
          <w:rFonts w:cs="Times New Roman"/>
        </w:rPr>
        <w:t xml:space="preserve"> </w:t>
      </w:r>
      <w:r w:rsidR="002C1D99">
        <w:rPr>
          <w:rFonts w:cs="Times New Roman"/>
        </w:rPr>
        <w:t>the household’s</w:t>
      </w:r>
      <w:r>
        <w:rPr>
          <w:rFonts w:cs="Times New Roman"/>
        </w:rPr>
        <w:t xml:space="preserve"> application was denied and includes the duration of the household’s ineligible period </w:t>
      </w:r>
      <w:r w:rsidR="0096417A">
        <w:rPr>
          <w:rFonts w:cs="Times New Roman"/>
        </w:rPr>
        <w:t>if</w:t>
      </w:r>
      <w:r>
        <w:rPr>
          <w:rFonts w:cs="Times New Roman"/>
        </w:rPr>
        <w:t xml:space="preserve"> applicable</w:t>
      </w:r>
      <w:r w:rsidR="004B3697">
        <w:rPr>
          <w:rFonts w:cs="Times New Roman"/>
        </w:rPr>
        <w:t>)</w:t>
      </w:r>
      <w:r w:rsidR="004B3697" w:rsidRPr="004B3697">
        <w:rPr>
          <w:rFonts w:cs="Times New Roman"/>
        </w:rPr>
        <w:t xml:space="preserve">. In </w:t>
      </w:r>
      <w:r w:rsidR="0096417A">
        <w:rPr>
          <w:rFonts w:cs="Times New Roman"/>
        </w:rPr>
        <w:t>these</w:t>
      </w:r>
      <w:r w:rsidR="0096417A" w:rsidRPr="004B3697">
        <w:rPr>
          <w:rFonts w:cs="Times New Roman"/>
        </w:rPr>
        <w:t xml:space="preserve"> </w:t>
      </w:r>
      <w:r w:rsidR="004B3697" w:rsidRPr="004B3697">
        <w:rPr>
          <w:rFonts w:cs="Times New Roman"/>
        </w:rPr>
        <w:t xml:space="preserve">circumstances, </w:t>
      </w:r>
      <w:r w:rsidR="00C4349B">
        <w:rPr>
          <w:rFonts w:cs="Times New Roman"/>
        </w:rPr>
        <w:t>rental assistance</w:t>
      </w:r>
      <w:r w:rsidR="00C4349B" w:rsidRPr="004B3697">
        <w:rPr>
          <w:rFonts w:cs="Times New Roman"/>
        </w:rPr>
        <w:t xml:space="preserve"> </w:t>
      </w:r>
      <w:r w:rsidR="004B3697" w:rsidRPr="004B3697">
        <w:rPr>
          <w:rFonts w:cs="Times New Roman"/>
        </w:rPr>
        <w:t>could be used indefinitely</w:t>
      </w:r>
      <w:r w:rsidR="00C4349B">
        <w:rPr>
          <w:rFonts w:cs="Times New Roman"/>
        </w:rPr>
        <w:t xml:space="preserve"> </w:t>
      </w:r>
      <w:r w:rsidR="002C1D99">
        <w:rPr>
          <w:rFonts w:cs="Times New Roman"/>
        </w:rPr>
        <w:t xml:space="preserve">or until the household </w:t>
      </w:r>
      <w:r w:rsidR="00C0395F">
        <w:rPr>
          <w:rFonts w:cs="Times New Roman"/>
        </w:rPr>
        <w:t xml:space="preserve">meets </w:t>
      </w:r>
      <w:r w:rsidR="00F60BE9">
        <w:rPr>
          <w:rFonts w:cs="Times New Roman"/>
        </w:rPr>
        <w:t xml:space="preserve">the </w:t>
      </w:r>
      <w:r w:rsidR="00C0395F">
        <w:rPr>
          <w:rFonts w:cs="Times New Roman"/>
        </w:rPr>
        <w:t>eligibility criteria</w:t>
      </w:r>
      <w:r w:rsidR="002C1D99">
        <w:rPr>
          <w:rFonts w:cs="Times New Roman"/>
        </w:rPr>
        <w:t xml:space="preserve"> for other</w:t>
      </w:r>
      <w:r w:rsidR="004B3697" w:rsidRPr="004B3697">
        <w:rPr>
          <w:rFonts w:cs="Times New Roman"/>
        </w:rPr>
        <w:t xml:space="preserve"> long-term </w:t>
      </w:r>
      <w:r w:rsidR="002C1D99">
        <w:rPr>
          <w:rFonts w:cs="Times New Roman"/>
        </w:rPr>
        <w:t xml:space="preserve">housing assistance </w:t>
      </w:r>
      <w:r w:rsidR="004B3697" w:rsidRPr="004B3697">
        <w:rPr>
          <w:rFonts w:cs="Times New Roman"/>
        </w:rPr>
        <w:t>option</w:t>
      </w:r>
      <w:r w:rsidR="002C1D99">
        <w:rPr>
          <w:rFonts w:cs="Times New Roman"/>
        </w:rPr>
        <w:t>s</w:t>
      </w:r>
      <w:r w:rsidR="004B3697" w:rsidRPr="004B3697">
        <w:rPr>
          <w:rFonts w:cs="Times New Roman"/>
        </w:rPr>
        <w:t>.</w:t>
      </w:r>
    </w:p>
    <w:p w14:paraId="661EACAE" w14:textId="7AAD821F" w:rsidR="00D91FC0" w:rsidRDefault="00D91FC0" w:rsidP="00DA098E">
      <w:pPr>
        <w:pStyle w:val="NoSpacing"/>
        <w:numPr>
          <w:ilvl w:val="0"/>
          <w:numId w:val="22"/>
        </w:numPr>
        <w:rPr>
          <w:rFonts w:cs="Times New Roman"/>
          <w:b/>
        </w:rPr>
      </w:pPr>
      <w:r w:rsidRPr="00BF7E66">
        <w:rPr>
          <w:rFonts w:cs="Times New Roman"/>
          <w:b/>
        </w:rPr>
        <w:t xml:space="preserve">If a </w:t>
      </w:r>
      <w:r>
        <w:rPr>
          <w:rFonts w:cs="Times New Roman"/>
          <w:b/>
        </w:rPr>
        <w:t xml:space="preserve">household </w:t>
      </w:r>
      <w:r w:rsidR="006D73C9">
        <w:rPr>
          <w:rFonts w:cs="Times New Roman"/>
          <w:b/>
        </w:rPr>
        <w:t xml:space="preserve">receives </w:t>
      </w:r>
      <w:r>
        <w:rPr>
          <w:rFonts w:cs="Times New Roman"/>
          <w:b/>
        </w:rPr>
        <w:t>rental assistance</w:t>
      </w:r>
      <w:r w:rsidR="0096417A">
        <w:rPr>
          <w:rFonts w:cs="Times New Roman"/>
          <w:b/>
        </w:rPr>
        <w:t xml:space="preserve"> services</w:t>
      </w:r>
      <w:r w:rsidRPr="00BF7E66">
        <w:rPr>
          <w:rFonts w:cs="Times New Roman"/>
          <w:b/>
        </w:rPr>
        <w:t>,</w:t>
      </w:r>
      <w:r>
        <w:rPr>
          <w:rFonts w:cs="Times New Roman"/>
          <w:b/>
        </w:rPr>
        <w:t xml:space="preserve"> but they </w:t>
      </w:r>
      <w:r w:rsidR="00C0395F">
        <w:rPr>
          <w:rFonts w:cs="Times New Roman"/>
          <w:b/>
        </w:rPr>
        <w:t xml:space="preserve">do not meet </w:t>
      </w:r>
      <w:r w:rsidR="00F60BE9">
        <w:rPr>
          <w:rFonts w:cs="Times New Roman"/>
          <w:b/>
        </w:rPr>
        <w:t xml:space="preserve">the </w:t>
      </w:r>
      <w:r w:rsidR="00C0395F">
        <w:rPr>
          <w:rFonts w:cs="Times New Roman"/>
          <w:b/>
        </w:rPr>
        <w:t>eligibility criteria</w:t>
      </w:r>
      <w:r>
        <w:rPr>
          <w:rFonts w:cs="Times New Roman"/>
          <w:b/>
        </w:rPr>
        <w:t xml:space="preserve"> for the Housing Choice Voucher Program</w:t>
      </w:r>
      <w:r w:rsidR="00721FC8">
        <w:rPr>
          <w:rFonts w:cs="Times New Roman"/>
          <w:b/>
        </w:rPr>
        <w:t xml:space="preserve"> (HCVP)</w:t>
      </w:r>
      <w:r>
        <w:rPr>
          <w:rFonts w:cs="Times New Roman"/>
          <w:b/>
        </w:rPr>
        <w:t xml:space="preserve"> or other affordable housing programs </w:t>
      </w:r>
      <w:r w:rsidR="008670DF">
        <w:rPr>
          <w:rFonts w:cs="Times New Roman"/>
          <w:b/>
        </w:rPr>
        <w:t xml:space="preserve">(for example, </w:t>
      </w:r>
      <w:r w:rsidRPr="00BF7E66">
        <w:rPr>
          <w:rFonts w:cs="Times New Roman"/>
          <w:b/>
        </w:rPr>
        <w:t xml:space="preserve">due to a </w:t>
      </w:r>
      <w:r w:rsidR="008670DF">
        <w:rPr>
          <w:rFonts w:cs="Times New Roman"/>
          <w:b/>
        </w:rPr>
        <w:t xml:space="preserve">specific </w:t>
      </w:r>
      <w:r w:rsidRPr="00BF7E66">
        <w:rPr>
          <w:rFonts w:cs="Times New Roman"/>
          <w:b/>
        </w:rPr>
        <w:t xml:space="preserve">criminal background </w:t>
      </w:r>
      <w:r w:rsidR="008670DF">
        <w:rPr>
          <w:rFonts w:cs="Times New Roman"/>
          <w:b/>
        </w:rPr>
        <w:t>barrier)</w:t>
      </w:r>
      <w:r w:rsidRPr="00BF7E66">
        <w:rPr>
          <w:rFonts w:cs="Times New Roman"/>
          <w:b/>
        </w:rPr>
        <w:t xml:space="preserve">, do they still have to apply only to </w:t>
      </w:r>
      <w:r w:rsidR="008670DF">
        <w:rPr>
          <w:rFonts w:cs="Times New Roman"/>
          <w:b/>
        </w:rPr>
        <w:t>expect</w:t>
      </w:r>
      <w:r w:rsidR="006D73C9">
        <w:rPr>
          <w:rFonts w:cs="Times New Roman"/>
          <w:b/>
        </w:rPr>
        <w:t xml:space="preserve"> denial</w:t>
      </w:r>
      <w:r w:rsidRPr="00BF7E66">
        <w:rPr>
          <w:rFonts w:cs="Times New Roman"/>
          <w:b/>
        </w:rPr>
        <w:t xml:space="preserve">? </w:t>
      </w:r>
      <w:r>
        <w:rPr>
          <w:rFonts w:cs="Times New Roman"/>
          <w:b/>
        </w:rPr>
        <w:t xml:space="preserve">Could they apply, </w:t>
      </w:r>
      <w:r w:rsidR="008670DF">
        <w:rPr>
          <w:rFonts w:cs="Times New Roman"/>
          <w:b/>
        </w:rPr>
        <w:t>receive one denial</w:t>
      </w:r>
      <w:r>
        <w:rPr>
          <w:rFonts w:cs="Times New Roman"/>
          <w:b/>
        </w:rPr>
        <w:t>,</w:t>
      </w:r>
      <w:r w:rsidRPr="00BF7E66">
        <w:rPr>
          <w:rFonts w:cs="Times New Roman"/>
          <w:b/>
        </w:rPr>
        <w:t xml:space="preserve"> and not have to reapply every 90 days? </w:t>
      </w:r>
      <w:r w:rsidR="0096417A">
        <w:rPr>
          <w:rFonts w:cs="Times New Roman"/>
          <w:b/>
        </w:rPr>
        <w:t>Also, i</w:t>
      </w:r>
      <w:r w:rsidRPr="00BF7E66">
        <w:rPr>
          <w:rFonts w:cs="Times New Roman"/>
          <w:b/>
        </w:rPr>
        <w:t>f a client applies</w:t>
      </w:r>
      <w:r w:rsidR="00CF7C59">
        <w:rPr>
          <w:rFonts w:cs="Times New Roman"/>
          <w:b/>
        </w:rPr>
        <w:t>,</w:t>
      </w:r>
      <w:r w:rsidRPr="00BF7E66">
        <w:rPr>
          <w:rFonts w:cs="Times New Roman"/>
          <w:b/>
        </w:rPr>
        <w:t xml:space="preserve"> but cannot move due to </w:t>
      </w:r>
      <w:r w:rsidR="0096417A">
        <w:rPr>
          <w:rFonts w:cs="Times New Roman"/>
          <w:b/>
        </w:rPr>
        <w:t>health reasons that have been</w:t>
      </w:r>
      <w:r w:rsidRPr="00BF7E66">
        <w:rPr>
          <w:rFonts w:cs="Times New Roman"/>
          <w:b/>
        </w:rPr>
        <w:t xml:space="preserve"> documented</w:t>
      </w:r>
      <w:r w:rsidR="00494DEC">
        <w:rPr>
          <w:rFonts w:cs="Times New Roman"/>
          <w:b/>
        </w:rPr>
        <w:t xml:space="preserve"> by a physician, do they also have to reapply every 90 days</w:t>
      </w:r>
      <w:r w:rsidRPr="00BF7E66">
        <w:rPr>
          <w:rFonts w:cs="Times New Roman"/>
          <w:b/>
        </w:rPr>
        <w:t>?</w:t>
      </w:r>
    </w:p>
    <w:p w14:paraId="3A0387A0" w14:textId="3DDB12D0" w:rsidR="00D91FC0" w:rsidRPr="00BF7E66" w:rsidRDefault="00D91FC0" w:rsidP="00D91FC0">
      <w:pPr>
        <w:pStyle w:val="NoSpacing"/>
        <w:ind w:left="720"/>
        <w:rPr>
          <w:rFonts w:cs="Times New Roman"/>
        </w:rPr>
      </w:pPr>
      <w:r>
        <w:rPr>
          <w:rFonts w:cs="Times New Roman"/>
        </w:rPr>
        <w:t>I</w:t>
      </w:r>
      <w:r w:rsidRPr="00BF7E66">
        <w:rPr>
          <w:rFonts w:cs="Times New Roman"/>
        </w:rPr>
        <w:t xml:space="preserve">f </w:t>
      </w:r>
      <w:r w:rsidR="00494DEC">
        <w:rPr>
          <w:rFonts w:cs="Times New Roman"/>
        </w:rPr>
        <w:t xml:space="preserve">the household </w:t>
      </w:r>
      <w:r w:rsidR="00C0395F">
        <w:rPr>
          <w:rFonts w:cs="Times New Roman"/>
        </w:rPr>
        <w:t xml:space="preserve">does not meet </w:t>
      </w:r>
      <w:r w:rsidR="00F60BE9">
        <w:rPr>
          <w:rFonts w:cs="Times New Roman"/>
        </w:rPr>
        <w:t xml:space="preserve">the </w:t>
      </w:r>
      <w:r w:rsidR="00C0395F">
        <w:rPr>
          <w:rFonts w:cs="Times New Roman"/>
        </w:rPr>
        <w:t>eligibility criteria</w:t>
      </w:r>
      <w:r w:rsidRPr="00BF7E66">
        <w:rPr>
          <w:rFonts w:cs="Times New Roman"/>
        </w:rPr>
        <w:t xml:space="preserve"> for </w:t>
      </w:r>
      <w:r w:rsidR="00AC429D" w:rsidRPr="00AC429D">
        <w:rPr>
          <w:rFonts w:cs="Times New Roman"/>
        </w:rPr>
        <w:t>the Housing Choice Voucher Program</w:t>
      </w:r>
      <w:r w:rsidR="00721FC8">
        <w:rPr>
          <w:rFonts w:cs="Times New Roman"/>
        </w:rPr>
        <w:t xml:space="preserve"> (HCVP)</w:t>
      </w:r>
      <w:r w:rsidR="00AC429D" w:rsidRPr="00AC429D">
        <w:rPr>
          <w:rFonts w:cs="Times New Roman"/>
        </w:rPr>
        <w:t xml:space="preserve"> or other affordable housing programs</w:t>
      </w:r>
      <w:r w:rsidRPr="00BF7E66">
        <w:rPr>
          <w:rFonts w:cs="Times New Roman"/>
        </w:rPr>
        <w:t xml:space="preserve">, they do not have to apply repeatedly. A denial letter </w:t>
      </w:r>
      <w:r w:rsidR="00AC429D" w:rsidRPr="00AC429D">
        <w:rPr>
          <w:rFonts w:cs="Times New Roman"/>
        </w:rPr>
        <w:t xml:space="preserve">that explains why the household’s application was denied and includes the duration of the household’s ineligible period </w:t>
      </w:r>
      <w:r w:rsidR="00AC429D">
        <w:rPr>
          <w:rFonts w:cs="Times New Roman"/>
        </w:rPr>
        <w:t>is sufficient</w:t>
      </w:r>
      <w:r>
        <w:rPr>
          <w:rFonts w:cs="Times New Roman"/>
        </w:rPr>
        <w:t>. The denial letter may be used for the duration of the ineligible period. When the ineligible period is over, the household should apply again if possible</w:t>
      </w:r>
      <w:r w:rsidRPr="00BF7E66">
        <w:rPr>
          <w:rFonts w:cs="Times New Roman"/>
        </w:rPr>
        <w:t xml:space="preserve">. If a </w:t>
      </w:r>
      <w:r w:rsidR="00CF7C59">
        <w:rPr>
          <w:rFonts w:cs="Times New Roman"/>
        </w:rPr>
        <w:t>physician</w:t>
      </w:r>
      <w:r w:rsidRPr="00BF7E66">
        <w:rPr>
          <w:rFonts w:cs="Times New Roman"/>
        </w:rPr>
        <w:t xml:space="preserve"> says a household cannot move for </w:t>
      </w:r>
      <w:r w:rsidR="00AC429D">
        <w:rPr>
          <w:rFonts w:cs="Times New Roman"/>
        </w:rPr>
        <w:t>health</w:t>
      </w:r>
      <w:r w:rsidRPr="00BF7E66">
        <w:rPr>
          <w:rFonts w:cs="Times New Roman"/>
        </w:rPr>
        <w:t xml:space="preserve"> reasons, </w:t>
      </w:r>
      <w:r w:rsidR="00CF7C59">
        <w:rPr>
          <w:rFonts w:cs="Times New Roman"/>
        </w:rPr>
        <w:t xml:space="preserve">attach </w:t>
      </w:r>
      <w:r w:rsidRPr="00BF7E66">
        <w:rPr>
          <w:rFonts w:cs="Times New Roman"/>
        </w:rPr>
        <w:t xml:space="preserve">documentation from the </w:t>
      </w:r>
      <w:r w:rsidR="00CF7C59">
        <w:rPr>
          <w:rFonts w:cs="Times New Roman"/>
        </w:rPr>
        <w:t>physician</w:t>
      </w:r>
      <w:r w:rsidRPr="00BF7E66">
        <w:rPr>
          <w:rFonts w:cs="Times New Roman"/>
        </w:rPr>
        <w:t xml:space="preserve"> </w:t>
      </w:r>
      <w:r w:rsidR="00CF7C59">
        <w:rPr>
          <w:rFonts w:cs="Times New Roman"/>
        </w:rPr>
        <w:t>that describes the reasons</w:t>
      </w:r>
      <w:r w:rsidRPr="00BF7E66">
        <w:rPr>
          <w:rFonts w:cs="Times New Roman"/>
        </w:rPr>
        <w:t xml:space="preserve"> to </w:t>
      </w:r>
      <w:r w:rsidR="00CF7C59">
        <w:rPr>
          <w:rFonts w:cs="Times New Roman"/>
        </w:rPr>
        <w:t>Form J</w:t>
      </w:r>
      <w:r w:rsidRPr="00BF7E66">
        <w:rPr>
          <w:rFonts w:cs="Times New Roman"/>
        </w:rPr>
        <w:t>. If the household member recovers from whatever prevented the move, then they should apply again per usual.</w:t>
      </w:r>
      <w:r w:rsidR="002567C0">
        <w:rPr>
          <w:rFonts w:cs="Times New Roman"/>
        </w:rPr>
        <w:t xml:space="preserve"> </w:t>
      </w:r>
      <w:r>
        <w:rPr>
          <w:rFonts w:cs="Times New Roman"/>
        </w:rPr>
        <w:t>Note</w:t>
      </w:r>
      <w:r w:rsidR="00CF7C59">
        <w:rPr>
          <w:rFonts w:cs="Times New Roman"/>
        </w:rPr>
        <w:t>,</w:t>
      </w:r>
      <w:r>
        <w:rPr>
          <w:rFonts w:cs="Times New Roman"/>
        </w:rPr>
        <w:t xml:space="preserve"> </w:t>
      </w:r>
      <w:r w:rsidRPr="00BF7E66">
        <w:rPr>
          <w:rFonts w:cs="Times New Roman"/>
        </w:rPr>
        <w:t xml:space="preserve">HUD issued a press release titled “HUD and Justice Department announce new efforts to ease transition from prison and expand opportunities for jobs and housing.” </w:t>
      </w:r>
      <w:r>
        <w:rPr>
          <w:rFonts w:cs="Times New Roman"/>
        </w:rPr>
        <w:t>The</w:t>
      </w:r>
      <w:r w:rsidRPr="00BF7E66">
        <w:rPr>
          <w:rFonts w:cs="Times New Roman"/>
        </w:rPr>
        <w:t xml:space="preserve"> full press release</w:t>
      </w:r>
      <w:r>
        <w:rPr>
          <w:rFonts w:cs="Times New Roman"/>
        </w:rPr>
        <w:t xml:space="preserve"> and a link to the accompanying guidance can be found</w:t>
      </w:r>
      <w:r w:rsidRPr="00BF7E66">
        <w:rPr>
          <w:rFonts w:cs="Times New Roman"/>
        </w:rPr>
        <w:t xml:space="preserve"> </w:t>
      </w:r>
      <w:hyperlink r:id="rId242" w:history="1">
        <w:r w:rsidRPr="00BF7E66">
          <w:rPr>
            <w:rStyle w:val="Hyperlink"/>
            <w:rFonts w:cs="Times New Roman"/>
          </w:rPr>
          <w:t>here</w:t>
        </w:r>
      </w:hyperlink>
      <w:r w:rsidRPr="00BF7E66">
        <w:rPr>
          <w:rFonts w:cs="Times New Roman"/>
        </w:rPr>
        <w:t xml:space="preserve">. </w:t>
      </w:r>
      <w:r w:rsidR="000A08A7">
        <w:rPr>
          <w:rFonts w:cs="Times New Roman"/>
        </w:rPr>
        <w:t>The following paragraph</w:t>
      </w:r>
      <w:r w:rsidRPr="00BF7E66">
        <w:rPr>
          <w:rFonts w:cs="Times New Roman"/>
        </w:rPr>
        <w:t xml:space="preserve"> could </w:t>
      </w:r>
      <w:r w:rsidR="00B62B6A">
        <w:rPr>
          <w:rFonts w:cs="Times New Roman"/>
        </w:rPr>
        <w:t xml:space="preserve">potentially increase access to </w:t>
      </w:r>
      <w:r w:rsidR="00E506F0">
        <w:rPr>
          <w:rFonts w:cs="Times New Roman"/>
        </w:rPr>
        <w:t>p</w:t>
      </w:r>
      <w:r w:rsidR="00B62B6A">
        <w:rPr>
          <w:rFonts w:cs="Times New Roman"/>
        </w:rPr>
        <w:t xml:space="preserve">ublic </w:t>
      </w:r>
      <w:r w:rsidR="00E506F0">
        <w:rPr>
          <w:rFonts w:cs="Times New Roman"/>
        </w:rPr>
        <w:t>h</w:t>
      </w:r>
      <w:r w:rsidR="00B62B6A">
        <w:rPr>
          <w:rFonts w:cs="Times New Roman"/>
        </w:rPr>
        <w:t>ousing for</w:t>
      </w:r>
      <w:r w:rsidRPr="00BF7E66">
        <w:rPr>
          <w:rFonts w:cs="Times New Roman"/>
        </w:rPr>
        <w:t xml:space="preserve"> some househol</w:t>
      </w:r>
      <w:r>
        <w:rPr>
          <w:rFonts w:cs="Times New Roman"/>
        </w:rPr>
        <w:t xml:space="preserve">ds </w:t>
      </w:r>
      <w:r w:rsidR="00B62B6A">
        <w:rPr>
          <w:rFonts w:cs="Times New Roman"/>
        </w:rPr>
        <w:t>with criminal background barriers</w:t>
      </w:r>
      <w:r>
        <w:rPr>
          <w:rFonts w:cs="Times New Roman"/>
        </w:rPr>
        <w:t>:</w:t>
      </w:r>
    </w:p>
    <w:p w14:paraId="501512BD" w14:textId="6CE8EACA" w:rsidR="00D91FC0" w:rsidRPr="00BF7E66" w:rsidRDefault="00D91FC0" w:rsidP="00DA098E">
      <w:pPr>
        <w:pStyle w:val="NoSpacing"/>
        <w:ind w:left="1440"/>
        <w:rPr>
          <w:rFonts w:cs="Times New Roman"/>
        </w:rPr>
      </w:pPr>
      <w:r w:rsidRPr="00ED208F">
        <w:rPr>
          <w:rFonts w:cs="Times New Roman"/>
          <w:color w:val="7F7F7F" w:themeColor="text1" w:themeTint="80"/>
        </w:rPr>
        <w:lastRenderedPageBreak/>
        <w:t xml:space="preserve">“HUD announced updated public housing arrests guidance to Public Housing </w:t>
      </w:r>
      <w:r w:rsidR="00692360">
        <w:rPr>
          <w:rFonts w:cs="Times New Roman"/>
          <w:color w:val="7F7F7F" w:themeColor="text1" w:themeTint="80"/>
        </w:rPr>
        <w:t>Agencies</w:t>
      </w:r>
      <w:r w:rsidR="00692360" w:rsidRPr="00ED208F">
        <w:rPr>
          <w:rFonts w:cs="Times New Roman"/>
          <w:color w:val="7F7F7F" w:themeColor="text1" w:themeTint="80"/>
        </w:rPr>
        <w:t xml:space="preserve"> </w:t>
      </w:r>
      <w:r w:rsidRPr="00ED208F">
        <w:rPr>
          <w:rFonts w:cs="Times New Roman"/>
          <w:color w:val="7F7F7F" w:themeColor="text1" w:themeTint="80"/>
        </w:rPr>
        <w:t>(PHAs) regarding the use of arrests in determining who can live in HUD-assisted properties. The guidance outlines that arrest records may not be the basis for denying admission, terminating assistance</w:t>
      </w:r>
      <w:r w:rsidR="009C621C">
        <w:rPr>
          <w:rFonts w:cs="Times New Roman"/>
          <w:color w:val="7F7F7F" w:themeColor="text1" w:themeTint="80"/>
        </w:rPr>
        <w:t>,</w:t>
      </w:r>
      <w:r w:rsidRPr="00ED208F">
        <w:rPr>
          <w:rFonts w:cs="Times New Roman"/>
          <w:color w:val="7F7F7F" w:themeColor="text1" w:themeTint="80"/>
        </w:rPr>
        <w:t xml:space="preserve"> or evicting tenants; and reiterates that HUD does not require PHAs and owners to adopt “One Strike” policies and includes best practices and models of success from PHAs across the nation.”</w:t>
      </w:r>
    </w:p>
    <w:p w14:paraId="7FA569A0" w14:textId="67864FA1" w:rsidR="00657C04" w:rsidRDefault="00657C04" w:rsidP="00DA098E">
      <w:pPr>
        <w:pStyle w:val="NoSpacing"/>
        <w:numPr>
          <w:ilvl w:val="0"/>
          <w:numId w:val="22"/>
        </w:numPr>
        <w:rPr>
          <w:rFonts w:cs="Times New Roman"/>
          <w:b/>
        </w:rPr>
      </w:pPr>
      <w:r>
        <w:rPr>
          <w:rFonts w:cs="Times New Roman"/>
          <w:b/>
        </w:rPr>
        <w:t xml:space="preserve">Are foster children </w:t>
      </w:r>
      <w:r w:rsidR="00261ED3">
        <w:rPr>
          <w:rFonts w:cs="Times New Roman"/>
          <w:b/>
        </w:rPr>
        <w:t xml:space="preserve">or foster adults </w:t>
      </w:r>
      <w:r>
        <w:rPr>
          <w:rFonts w:cs="Times New Roman"/>
          <w:b/>
        </w:rPr>
        <w:t xml:space="preserve">considered dependents </w:t>
      </w:r>
      <w:r w:rsidR="00B63DEE">
        <w:rPr>
          <w:rFonts w:cs="Times New Roman"/>
          <w:b/>
        </w:rPr>
        <w:t>when</w:t>
      </w:r>
      <w:r>
        <w:rPr>
          <w:rFonts w:cs="Times New Roman"/>
          <w:b/>
        </w:rPr>
        <w:t xml:space="preserve"> determining annual adjusted income?</w:t>
      </w:r>
    </w:p>
    <w:p w14:paraId="716B2EF1" w14:textId="2FD043DF" w:rsidR="00657C04" w:rsidRPr="00657C04" w:rsidRDefault="00F96499" w:rsidP="00937CE4">
      <w:pPr>
        <w:pStyle w:val="NoSpacing"/>
        <w:ind w:left="720"/>
        <w:rPr>
          <w:rFonts w:cs="Times New Roman"/>
        </w:rPr>
      </w:pPr>
      <w:r>
        <w:rPr>
          <w:rFonts w:cs="Times New Roman"/>
        </w:rPr>
        <w:t xml:space="preserve">No. </w:t>
      </w:r>
      <w:r w:rsidR="00937CE4">
        <w:rPr>
          <w:rFonts w:cs="Times New Roman"/>
        </w:rPr>
        <w:t xml:space="preserve">HUD’s </w:t>
      </w:r>
      <w:r w:rsidR="00937CE4" w:rsidRPr="00937CE4">
        <w:rPr>
          <w:rFonts w:cs="Times New Roman"/>
          <w:i/>
        </w:rPr>
        <w:t>Occupancy Requirements of Subsidized Multifamily Housing Programs (4350.3)</w:t>
      </w:r>
      <w:r w:rsidR="00937CE4">
        <w:rPr>
          <w:rFonts w:cs="Times New Roman"/>
          <w:i/>
        </w:rPr>
        <w:t>,</w:t>
      </w:r>
      <w:r w:rsidR="00937CE4" w:rsidRPr="00937CE4">
        <w:rPr>
          <w:rFonts w:cs="Times New Roman"/>
          <w:i/>
        </w:rPr>
        <w:t xml:space="preserve"> Chapter 5: Determining Income and Calculating Rent</w:t>
      </w:r>
      <w:r w:rsidR="00C0395F">
        <w:rPr>
          <w:rFonts w:cs="Times New Roman"/>
        </w:rPr>
        <w:t xml:space="preserve"> does not categorize </w:t>
      </w:r>
      <w:r>
        <w:rPr>
          <w:rFonts w:cs="Times New Roman"/>
        </w:rPr>
        <w:t>f</w:t>
      </w:r>
      <w:r w:rsidR="00657C04" w:rsidRPr="00657C04">
        <w:rPr>
          <w:rFonts w:cs="Times New Roman"/>
        </w:rPr>
        <w:t xml:space="preserve">oster children </w:t>
      </w:r>
      <w:r w:rsidR="00C0395F">
        <w:rPr>
          <w:rFonts w:cs="Times New Roman"/>
        </w:rPr>
        <w:t xml:space="preserve">or </w:t>
      </w:r>
      <w:r w:rsidR="00261ED3">
        <w:rPr>
          <w:rFonts w:cs="Times New Roman"/>
        </w:rPr>
        <w:t xml:space="preserve">foster adults </w:t>
      </w:r>
      <w:r w:rsidR="00C0395F">
        <w:rPr>
          <w:rFonts w:cs="Times New Roman"/>
        </w:rPr>
        <w:t>as</w:t>
      </w:r>
      <w:r w:rsidR="00657C04" w:rsidRPr="00657C04">
        <w:rPr>
          <w:rFonts w:cs="Times New Roman"/>
        </w:rPr>
        <w:t xml:space="preserve"> dependents</w:t>
      </w:r>
      <w:r w:rsidR="00C0395F">
        <w:rPr>
          <w:rFonts w:cs="Times New Roman"/>
        </w:rPr>
        <w:t xml:space="preserve">, so they do not meet </w:t>
      </w:r>
      <w:r w:rsidR="00BD7837">
        <w:rPr>
          <w:rFonts w:cs="Times New Roman"/>
        </w:rPr>
        <w:t xml:space="preserve">the </w:t>
      </w:r>
      <w:r w:rsidR="00C0395F">
        <w:rPr>
          <w:rFonts w:cs="Times New Roman"/>
        </w:rPr>
        <w:t>criteria for a</w:t>
      </w:r>
      <w:r w:rsidR="00657C04" w:rsidRPr="00657C04">
        <w:rPr>
          <w:rFonts w:cs="Times New Roman"/>
        </w:rPr>
        <w:t xml:space="preserve"> $480 </w:t>
      </w:r>
      <w:r w:rsidR="00C0395F">
        <w:rPr>
          <w:rFonts w:cs="Times New Roman"/>
        </w:rPr>
        <w:t xml:space="preserve">dependent </w:t>
      </w:r>
      <w:r w:rsidR="00657C04" w:rsidRPr="00657C04">
        <w:rPr>
          <w:rFonts w:cs="Times New Roman"/>
        </w:rPr>
        <w:t>deduction.</w:t>
      </w:r>
      <w:r w:rsidR="00937CE4">
        <w:rPr>
          <w:rFonts w:cs="Times New Roman"/>
        </w:rPr>
        <w:t xml:space="preserve"> </w:t>
      </w:r>
      <w:r w:rsidR="00937CE4" w:rsidRPr="00937CE4">
        <w:rPr>
          <w:rFonts w:cs="Times New Roman"/>
        </w:rPr>
        <w:t xml:space="preserve">However, </w:t>
      </w:r>
      <w:r w:rsidR="00261ED3">
        <w:rPr>
          <w:rFonts w:cs="Times New Roman"/>
        </w:rPr>
        <w:t>p</w:t>
      </w:r>
      <w:r w:rsidR="00261ED3" w:rsidRPr="00F52A96">
        <w:rPr>
          <w:rFonts w:cs="Times New Roman"/>
        </w:rPr>
        <w:t xml:space="preserve">ayments </w:t>
      </w:r>
      <w:r w:rsidR="00261ED3">
        <w:rPr>
          <w:rFonts w:cs="Times New Roman"/>
        </w:rPr>
        <w:t>a household receives</w:t>
      </w:r>
      <w:r w:rsidR="00261ED3" w:rsidRPr="00F52A96">
        <w:rPr>
          <w:rFonts w:cs="Times New Roman"/>
        </w:rPr>
        <w:t xml:space="preserve"> for the care of foster children or foster adults </w:t>
      </w:r>
      <w:r w:rsidR="00261ED3">
        <w:rPr>
          <w:rFonts w:cs="Times New Roman"/>
        </w:rPr>
        <w:t>are excluded from annual income.</w:t>
      </w:r>
    </w:p>
    <w:p w14:paraId="67B8345E" w14:textId="4F5B0FA3" w:rsidR="00937CE4" w:rsidRDefault="00937CE4" w:rsidP="00DA098E">
      <w:pPr>
        <w:pStyle w:val="NoSpacing"/>
        <w:numPr>
          <w:ilvl w:val="0"/>
          <w:numId w:val="22"/>
        </w:numPr>
        <w:rPr>
          <w:rFonts w:cs="Times New Roman"/>
          <w:b/>
        </w:rPr>
      </w:pPr>
      <w:r>
        <w:rPr>
          <w:rFonts w:cs="Times New Roman"/>
          <w:b/>
        </w:rPr>
        <w:t>A</w:t>
      </w:r>
      <w:r w:rsidRPr="00937CE4">
        <w:rPr>
          <w:rFonts w:cs="Times New Roman"/>
          <w:b/>
        </w:rPr>
        <w:t xml:space="preserve"> client is </w:t>
      </w:r>
      <w:r w:rsidR="00520E26">
        <w:rPr>
          <w:rFonts w:cs="Times New Roman"/>
          <w:b/>
        </w:rPr>
        <w:t>establishing</w:t>
      </w:r>
      <w:r w:rsidRPr="00937CE4">
        <w:rPr>
          <w:rFonts w:cs="Times New Roman"/>
          <w:b/>
        </w:rPr>
        <w:t xml:space="preserve"> guardianship of </w:t>
      </w:r>
      <w:r>
        <w:rPr>
          <w:rFonts w:cs="Times New Roman"/>
          <w:b/>
        </w:rPr>
        <w:t>his</w:t>
      </w:r>
      <w:r w:rsidRPr="00937CE4">
        <w:rPr>
          <w:rFonts w:cs="Times New Roman"/>
          <w:b/>
        </w:rPr>
        <w:t xml:space="preserve"> nephews </w:t>
      </w:r>
      <w:r>
        <w:rPr>
          <w:rFonts w:cs="Times New Roman"/>
          <w:b/>
        </w:rPr>
        <w:t>who live with him</w:t>
      </w:r>
      <w:r w:rsidRPr="00937CE4">
        <w:rPr>
          <w:rFonts w:cs="Times New Roman"/>
          <w:b/>
        </w:rPr>
        <w:t xml:space="preserve">. </w:t>
      </w:r>
      <w:r w:rsidR="00F96499">
        <w:rPr>
          <w:rFonts w:cs="Times New Roman"/>
          <w:b/>
        </w:rPr>
        <w:t>May we count the</w:t>
      </w:r>
      <w:r w:rsidRPr="00937CE4">
        <w:rPr>
          <w:rFonts w:cs="Times New Roman"/>
          <w:b/>
        </w:rPr>
        <w:t xml:space="preserve"> nephews as dependent</w:t>
      </w:r>
      <w:r>
        <w:rPr>
          <w:rFonts w:cs="Times New Roman"/>
          <w:b/>
        </w:rPr>
        <w:t>s</w:t>
      </w:r>
      <w:r w:rsidR="00645F72">
        <w:rPr>
          <w:rFonts w:cs="Times New Roman"/>
          <w:b/>
        </w:rPr>
        <w:t xml:space="preserve"> </w:t>
      </w:r>
      <w:r w:rsidR="00520E26">
        <w:rPr>
          <w:rFonts w:cs="Times New Roman"/>
          <w:b/>
        </w:rPr>
        <w:t>when determining annual adjusted income</w:t>
      </w:r>
      <w:r w:rsidRPr="00937CE4">
        <w:rPr>
          <w:rFonts w:cs="Times New Roman"/>
          <w:b/>
        </w:rPr>
        <w:t>?</w:t>
      </w:r>
    </w:p>
    <w:p w14:paraId="2E0A953B" w14:textId="319FB1FE" w:rsidR="00937CE4" w:rsidRPr="00937CE4" w:rsidRDefault="00520E26" w:rsidP="00937CE4">
      <w:pPr>
        <w:pStyle w:val="NoSpacing"/>
        <w:ind w:left="720"/>
        <w:rPr>
          <w:rFonts w:cs="Times New Roman"/>
        </w:rPr>
      </w:pPr>
      <w:r>
        <w:rPr>
          <w:rFonts w:cs="Times New Roman"/>
        </w:rPr>
        <w:t>Yes. P</w:t>
      </w:r>
      <w:r w:rsidR="00937CE4">
        <w:rPr>
          <w:rFonts w:cs="Times New Roman"/>
        </w:rPr>
        <w:t xml:space="preserve">er HUD’s </w:t>
      </w:r>
      <w:r w:rsidR="00937CE4" w:rsidRPr="00937CE4">
        <w:rPr>
          <w:rFonts w:cs="Times New Roman"/>
          <w:i/>
        </w:rPr>
        <w:t>Occupancy Requirements of Subsidized Multifamily Housing Programs (4350.3)</w:t>
      </w:r>
      <w:r w:rsidR="00937CE4">
        <w:rPr>
          <w:rFonts w:cs="Times New Roman"/>
          <w:i/>
        </w:rPr>
        <w:t>,</w:t>
      </w:r>
      <w:r w:rsidR="00937CE4" w:rsidRPr="00937CE4">
        <w:rPr>
          <w:rFonts w:cs="Times New Roman"/>
          <w:i/>
        </w:rPr>
        <w:t xml:space="preserve"> Chapter 5: Determining Income and Calculating Rent</w:t>
      </w:r>
      <w:r w:rsidR="00937CE4">
        <w:rPr>
          <w:rFonts w:cs="Times New Roman"/>
          <w:i/>
        </w:rPr>
        <w:t>,</w:t>
      </w:r>
      <w:r w:rsidR="00937CE4">
        <w:rPr>
          <w:rFonts w:cs="Times New Roman"/>
        </w:rPr>
        <w:t xml:space="preserve"> </w:t>
      </w:r>
      <w:r w:rsidR="00610C94">
        <w:rPr>
          <w:rFonts w:cs="Times New Roman"/>
        </w:rPr>
        <w:t xml:space="preserve">household members </w:t>
      </w:r>
      <w:r w:rsidR="00B22EA3">
        <w:rPr>
          <w:rFonts w:cs="Times New Roman"/>
        </w:rPr>
        <w:t>do not need to</w:t>
      </w:r>
      <w:r w:rsidR="00937CE4" w:rsidRPr="00937CE4">
        <w:rPr>
          <w:rFonts w:cs="Times New Roman"/>
        </w:rPr>
        <w:t xml:space="preserve"> have legal custody of a dependent </w:t>
      </w:r>
      <w:r w:rsidR="0009178B" w:rsidRPr="00937CE4">
        <w:rPr>
          <w:rFonts w:cs="Times New Roman"/>
        </w:rPr>
        <w:t>to</w:t>
      </w:r>
      <w:r w:rsidR="00937CE4" w:rsidRPr="00937CE4">
        <w:rPr>
          <w:rFonts w:cs="Times New Roman"/>
        </w:rPr>
        <w:t xml:space="preserve"> receive the dependent deduction.</w:t>
      </w:r>
    </w:p>
    <w:p w14:paraId="177BDA57" w14:textId="39A9FD47" w:rsidR="006831AD" w:rsidRDefault="006831AD" w:rsidP="00DA098E">
      <w:pPr>
        <w:pStyle w:val="NoSpacing"/>
        <w:numPr>
          <w:ilvl w:val="0"/>
          <w:numId w:val="22"/>
        </w:numPr>
        <w:rPr>
          <w:rFonts w:cs="Times New Roman"/>
          <w:b/>
        </w:rPr>
      </w:pPr>
      <w:r w:rsidRPr="00166252">
        <w:rPr>
          <w:rFonts w:cs="Times New Roman"/>
          <w:b/>
        </w:rPr>
        <w:t xml:space="preserve">How can housing status for STRMU be </w:t>
      </w:r>
      <w:r w:rsidR="00F14943">
        <w:rPr>
          <w:rFonts w:cs="Times New Roman"/>
          <w:b/>
        </w:rPr>
        <w:t>confirmed</w:t>
      </w:r>
      <w:r w:rsidR="00F14943" w:rsidRPr="00166252">
        <w:rPr>
          <w:rFonts w:cs="Times New Roman"/>
          <w:b/>
        </w:rPr>
        <w:t xml:space="preserve"> </w:t>
      </w:r>
      <w:r w:rsidRPr="00166252">
        <w:rPr>
          <w:rFonts w:cs="Times New Roman"/>
          <w:b/>
        </w:rPr>
        <w:t>if the client’s name is not on the lease agreement?</w:t>
      </w:r>
    </w:p>
    <w:p w14:paraId="6F31719C" w14:textId="1E1D1C71" w:rsidR="00C57BD3" w:rsidRDefault="00CC4321" w:rsidP="00C57BD3">
      <w:pPr>
        <w:pStyle w:val="NoSpacing"/>
        <w:ind w:left="720"/>
        <w:rPr>
          <w:rFonts w:cs="Times New Roman"/>
        </w:rPr>
      </w:pPr>
      <w:r>
        <w:rPr>
          <w:rFonts w:cs="Times New Roman"/>
        </w:rPr>
        <w:t>HUD Notice</w:t>
      </w:r>
      <w:r w:rsidR="00C57BD3" w:rsidRPr="00C57BD3">
        <w:rPr>
          <w:rFonts w:cs="Times New Roman"/>
        </w:rPr>
        <w:t xml:space="preserve"> 06-07</w:t>
      </w:r>
      <w:r>
        <w:rPr>
          <w:rFonts w:cs="Times New Roman"/>
        </w:rPr>
        <w:t xml:space="preserve"> for </w:t>
      </w:r>
      <w:r w:rsidR="00C57BD3" w:rsidRPr="00C57BD3">
        <w:rPr>
          <w:rFonts w:cs="Times New Roman"/>
        </w:rPr>
        <w:t xml:space="preserve">STRMU states: “In order to receive STRMU assistance, there must be evidence of client tenancy or ownership and residency. To receive rental payments, the eligible </w:t>
      </w:r>
      <w:r w:rsidR="00F41F6C">
        <w:rPr>
          <w:rFonts w:cs="Times New Roman"/>
        </w:rPr>
        <w:t>individual</w:t>
      </w:r>
      <w:r w:rsidR="00F41F6C" w:rsidRPr="00C57BD3">
        <w:rPr>
          <w:rFonts w:cs="Times New Roman"/>
        </w:rPr>
        <w:t xml:space="preserve"> </w:t>
      </w:r>
      <w:r w:rsidR="00C57BD3" w:rsidRPr="00C57BD3">
        <w:rPr>
          <w:rFonts w:cs="Times New Roman"/>
        </w:rPr>
        <w:t xml:space="preserve">or a member of the resident household must present evidence that </w:t>
      </w:r>
      <w:r w:rsidR="00024308">
        <w:rPr>
          <w:rFonts w:cs="Times New Roman"/>
        </w:rPr>
        <w:t>they</w:t>
      </w:r>
      <w:r w:rsidR="00024308" w:rsidRPr="00C57BD3">
        <w:rPr>
          <w:rFonts w:cs="Times New Roman"/>
        </w:rPr>
        <w:t xml:space="preserve"> </w:t>
      </w:r>
      <w:r w:rsidR="00024308">
        <w:rPr>
          <w:rFonts w:cs="Times New Roman"/>
        </w:rPr>
        <w:t>are</w:t>
      </w:r>
      <w:r w:rsidR="00C57BD3" w:rsidRPr="00C57BD3">
        <w:rPr>
          <w:rFonts w:cs="Times New Roman"/>
        </w:rPr>
        <w:t xml:space="preserve"> a named tenant under a valid lease or that </w:t>
      </w:r>
      <w:r w:rsidR="00024308">
        <w:rPr>
          <w:rFonts w:cs="Times New Roman"/>
        </w:rPr>
        <w:t>they</w:t>
      </w:r>
      <w:r w:rsidR="00024308" w:rsidRPr="00C57BD3">
        <w:rPr>
          <w:rFonts w:cs="Times New Roman"/>
        </w:rPr>
        <w:t xml:space="preserve"> </w:t>
      </w:r>
      <w:r w:rsidR="00024308">
        <w:rPr>
          <w:rFonts w:cs="Times New Roman"/>
        </w:rPr>
        <w:t>are</w:t>
      </w:r>
      <w:r w:rsidR="00C57BD3" w:rsidRPr="00C57BD3">
        <w:rPr>
          <w:rFonts w:cs="Times New Roman"/>
        </w:rPr>
        <w:t xml:space="preserve"> a legal resident of the premises.”</w:t>
      </w:r>
      <w:r w:rsidR="00B75673">
        <w:rPr>
          <w:rFonts w:cs="Times New Roman"/>
        </w:rPr>
        <w:t xml:space="preserve"> </w:t>
      </w:r>
      <w:r w:rsidR="0009178B">
        <w:rPr>
          <w:rFonts w:cs="Times New Roman"/>
        </w:rPr>
        <w:t>Satisfactory</w:t>
      </w:r>
      <w:r w:rsidR="0009178B" w:rsidRPr="00C57BD3">
        <w:rPr>
          <w:rFonts w:cs="Times New Roman"/>
        </w:rPr>
        <w:t xml:space="preserve"> </w:t>
      </w:r>
      <w:r w:rsidR="00C57BD3" w:rsidRPr="00C57BD3">
        <w:rPr>
          <w:rFonts w:cs="Times New Roman"/>
        </w:rPr>
        <w:t xml:space="preserve">evidence </w:t>
      </w:r>
      <w:r w:rsidR="0009178B">
        <w:rPr>
          <w:rFonts w:cs="Times New Roman"/>
        </w:rPr>
        <w:t>of tenanc</w:t>
      </w:r>
      <w:r w:rsidR="003B5652">
        <w:rPr>
          <w:rFonts w:cs="Times New Roman"/>
        </w:rPr>
        <w:t xml:space="preserve">y </w:t>
      </w:r>
      <w:r w:rsidR="00C57BD3" w:rsidRPr="00C57BD3">
        <w:rPr>
          <w:rFonts w:cs="Times New Roman"/>
        </w:rPr>
        <w:t>include</w:t>
      </w:r>
      <w:r w:rsidR="003B5652">
        <w:rPr>
          <w:rFonts w:cs="Times New Roman"/>
        </w:rPr>
        <w:t>s</w:t>
      </w:r>
      <w:r w:rsidR="008A5C57">
        <w:rPr>
          <w:rFonts w:cs="Times New Roman"/>
        </w:rPr>
        <w:t xml:space="preserve">, but </w:t>
      </w:r>
      <w:r w:rsidR="003B5652">
        <w:rPr>
          <w:rFonts w:cs="Times New Roman"/>
        </w:rPr>
        <w:t>is</w:t>
      </w:r>
      <w:r w:rsidR="008A5C57">
        <w:rPr>
          <w:rFonts w:cs="Times New Roman"/>
        </w:rPr>
        <w:t xml:space="preserve"> not limited to</w:t>
      </w:r>
      <w:r w:rsidR="00C57BD3" w:rsidRPr="00C57BD3">
        <w:rPr>
          <w:rFonts w:cs="Times New Roman"/>
        </w:rPr>
        <w:t>:</w:t>
      </w:r>
    </w:p>
    <w:p w14:paraId="130A2593" w14:textId="5CAD718D" w:rsidR="00C57BD3" w:rsidRPr="00C57BD3" w:rsidRDefault="00C57BD3" w:rsidP="00754E9B">
      <w:pPr>
        <w:pStyle w:val="ListParagraph"/>
        <w:numPr>
          <w:ilvl w:val="1"/>
          <w:numId w:val="21"/>
        </w:numPr>
        <w:spacing w:after="0" w:line="240" w:lineRule="auto"/>
        <w:rPr>
          <w:rFonts w:cs="Times New Roman"/>
        </w:rPr>
      </w:pPr>
      <w:r w:rsidRPr="00C57BD3">
        <w:rPr>
          <w:rFonts w:cs="Times New Roman"/>
        </w:rPr>
        <w:t>Rent</w:t>
      </w:r>
      <w:r w:rsidR="003B5652">
        <w:rPr>
          <w:rFonts w:cs="Times New Roman"/>
        </w:rPr>
        <w:t xml:space="preserve"> payment</w:t>
      </w:r>
      <w:r w:rsidRPr="00C57BD3">
        <w:rPr>
          <w:rFonts w:cs="Times New Roman"/>
        </w:rPr>
        <w:t xml:space="preserve"> receipts, cancelled </w:t>
      </w:r>
      <w:r w:rsidR="0009178B" w:rsidRPr="00C57BD3">
        <w:rPr>
          <w:rFonts w:cs="Times New Roman"/>
        </w:rPr>
        <w:t>check</w:t>
      </w:r>
      <w:r w:rsidR="003B5652">
        <w:rPr>
          <w:rFonts w:cs="Times New Roman"/>
        </w:rPr>
        <w:t>s</w:t>
      </w:r>
      <w:r w:rsidR="0009178B" w:rsidRPr="00C57BD3">
        <w:rPr>
          <w:rFonts w:cs="Times New Roman"/>
        </w:rPr>
        <w:t>,</w:t>
      </w:r>
      <w:r w:rsidRPr="00C57BD3">
        <w:rPr>
          <w:rFonts w:cs="Times New Roman"/>
        </w:rPr>
        <w:t xml:space="preserve"> or </w:t>
      </w:r>
      <w:r w:rsidR="003B5652">
        <w:rPr>
          <w:rFonts w:cs="Times New Roman"/>
        </w:rPr>
        <w:t>copies</w:t>
      </w:r>
      <w:r w:rsidRPr="00C57BD3">
        <w:rPr>
          <w:rFonts w:cs="Times New Roman"/>
        </w:rPr>
        <w:t xml:space="preserve"> of money order</w:t>
      </w:r>
      <w:r w:rsidR="003B5652">
        <w:rPr>
          <w:rFonts w:cs="Times New Roman"/>
        </w:rPr>
        <w:t>s</w:t>
      </w:r>
      <w:r w:rsidRPr="00C57BD3">
        <w:rPr>
          <w:rFonts w:cs="Times New Roman"/>
        </w:rPr>
        <w:t xml:space="preserve"> from the tenant to the </w:t>
      </w:r>
      <w:r w:rsidR="00793E07">
        <w:rPr>
          <w:rFonts w:cs="Times New Roman"/>
        </w:rPr>
        <w:t>owner</w:t>
      </w:r>
      <w:r w:rsidR="003B5652">
        <w:rPr>
          <w:rFonts w:cs="Times New Roman"/>
        </w:rPr>
        <w:t xml:space="preserve"> that document the individual’s tenancy and responsibility for making rental payments.</w:t>
      </w:r>
    </w:p>
    <w:p w14:paraId="756D643B" w14:textId="04EA0AC3" w:rsidR="00C57BD3" w:rsidRPr="00C57BD3" w:rsidRDefault="00C57BD3" w:rsidP="00754E9B">
      <w:pPr>
        <w:pStyle w:val="ListParagraph"/>
        <w:numPr>
          <w:ilvl w:val="1"/>
          <w:numId w:val="21"/>
        </w:numPr>
        <w:spacing w:after="0" w:line="240" w:lineRule="auto"/>
        <w:rPr>
          <w:rFonts w:cs="Times New Roman"/>
        </w:rPr>
      </w:pPr>
      <w:r w:rsidRPr="00C57BD3">
        <w:rPr>
          <w:rFonts w:cs="Times New Roman"/>
        </w:rPr>
        <w:t xml:space="preserve">A late payment </w:t>
      </w:r>
      <w:proofErr w:type="gramStart"/>
      <w:r w:rsidRPr="00C57BD3">
        <w:rPr>
          <w:rFonts w:cs="Times New Roman"/>
        </w:rPr>
        <w:t>notice</w:t>
      </w:r>
      <w:proofErr w:type="gramEnd"/>
      <w:r w:rsidRPr="00C57BD3">
        <w:rPr>
          <w:rFonts w:cs="Times New Roman"/>
        </w:rPr>
        <w:t xml:space="preserve"> or any other written communication from the </w:t>
      </w:r>
      <w:r w:rsidR="00793E07">
        <w:rPr>
          <w:rFonts w:cs="Times New Roman"/>
        </w:rPr>
        <w:t>owner</w:t>
      </w:r>
      <w:r w:rsidRPr="00C57BD3">
        <w:rPr>
          <w:rFonts w:cs="Times New Roman"/>
        </w:rPr>
        <w:t xml:space="preserve"> to the tenant that provides evidence of</w:t>
      </w:r>
      <w:r w:rsidR="003B5652">
        <w:rPr>
          <w:rFonts w:cs="Times New Roman"/>
        </w:rPr>
        <w:t xml:space="preserve"> the individual’s</w:t>
      </w:r>
      <w:r w:rsidRPr="00C57BD3">
        <w:rPr>
          <w:rFonts w:cs="Times New Roman"/>
        </w:rPr>
        <w:t xml:space="preserve"> tenancy</w:t>
      </w:r>
      <w:r w:rsidR="003B5652">
        <w:rPr>
          <w:rFonts w:cs="Times New Roman"/>
        </w:rPr>
        <w:t xml:space="preserve"> and responsibility for making rental payments</w:t>
      </w:r>
      <w:r w:rsidRPr="00C57BD3">
        <w:rPr>
          <w:rFonts w:cs="Times New Roman"/>
        </w:rPr>
        <w:t>.</w:t>
      </w:r>
    </w:p>
    <w:p w14:paraId="3E88C8BA" w14:textId="21AB9AD5" w:rsidR="00C57BD3" w:rsidRPr="00C57BD3" w:rsidRDefault="00C57BD3" w:rsidP="00754E9B">
      <w:pPr>
        <w:pStyle w:val="ListParagraph"/>
        <w:numPr>
          <w:ilvl w:val="1"/>
          <w:numId w:val="21"/>
        </w:numPr>
        <w:spacing w:after="0" w:line="240" w:lineRule="auto"/>
        <w:rPr>
          <w:rFonts w:cs="Times New Roman"/>
        </w:rPr>
      </w:pPr>
      <w:r w:rsidRPr="00C57BD3">
        <w:rPr>
          <w:rFonts w:cs="Times New Roman"/>
        </w:rPr>
        <w:t xml:space="preserve">If not named on the lease, any written documentation from the </w:t>
      </w:r>
      <w:r w:rsidR="00793E07">
        <w:rPr>
          <w:rFonts w:cs="Times New Roman"/>
        </w:rPr>
        <w:t>owner</w:t>
      </w:r>
      <w:r w:rsidRPr="00C57BD3">
        <w:rPr>
          <w:rFonts w:cs="Times New Roman"/>
        </w:rPr>
        <w:t xml:space="preserve"> that </w:t>
      </w:r>
      <w:r w:rsidR="003B5652">
        <w:rPr>
          <w:rFonts w:cs="Times New Roman"/>
        </w:rPr>
        <w:t>confirms the individual’s tenancy and responsibility for making rental payments.</w:t>
      </w:r>
    </w:p>
    <w:p w14:paraId="59C4B3BA" w14:textId="4F5F9580" w:rsidR="002F31ED" w:rsidRDefault="002F31ED" w:rsidP="00DA098E">
      <w:pPr>
        <w:pStyle w:val="NoSpacing"/>
        <w:numPr>
          <w:ilvl w:val="0"/>
          <w:numId w:val="22"/>
        </w:numPr>
        <w:rPr>
          <w:rFonts w:cs="Times New Roman"/>
          <w:b/>
        </w:rPr>
      </w:pPr>
      <w:r>
        <w:rPr>
          <w:rFonts w:cs="Times New Roman"/>
          <w:b/>
        </w:rPr>
        <w:t>A</w:t>
      </w:r>
      <w:r w:rsidRPr="002F31ED">
        <w:rPr>
          <w:rFonts w:cs="Times New Roman"/>
          <w:b/>
        </w:rPr>
        <w:t xml:space="preserve"> household uses a pay-as-you go utility service. The company use</w:t>
      </w:r>
      <w:r>
        <w:rPr>
          <w:rFonts w:cs="Times New Roman"/>
          <w:b/>
        </w:rPr>
        <w:t>s</w:t>
      </w:r>
      <w:r w:rsidRPr="002F31ED">
        <w:rPr>
          <w:rFonts w:cs="Times New Roman"/>
          <w:b/>
        </w:rPr>
        <w:t xml:space="preserve"> email or text to inform someone of how much electricity they have used. This gives the </w:t>
      </w:r>
      <w:r w:rsidR="006A2A3B">
        <w:rPr>
          <w:rFonts w:cs="Times New Roman"/>
          <w:b/>
        </w:rPr>
        <w:t>household</w:t>
      </w:r>
      <w:r w:rsidR="006A2A3B" w:rsidRPr="002F31ED">
        <w:rPr>
          <w:rFonts w:cs="Times New Roman"/>
          <w:b/>
        </w:rPr>
        <w:t xml:space="preserve"> </w:t>
      </w:r>
      <w:r w:rsidRPr="002F31ED">
        <w:rPr>
          <w:rFonts w:cs="Times New Roman"/>
          <w:b/>
        </w:rPr>
        <w:t xml:space="preserve">a chance to add money to their balance. The utility vendor draws from this, </w:t>
      </w:r>
      <w:r w:rsidR="00E96186" w:rsidRPr="002F31ED">
        <w:rPr>
          <w:rFonts w:cs="Times New Roman"/>
          <w:b/>
        </w:rPr>
        <w:t>like</w:t>
      </w:r>
      <w:r w:rsidRPr="002F31ED">
        <w:rPr>
          <w:rFonts w:cs="Times New Roman"/>
          <w:b/>
        </w:rPr>
        <w:t xml:space="preserve"> a pay-as-you-go cell phone.</w:t>
      </w:r>
      <w:r>
        <w:rPr>
          <w:rFonts w:cs="Times New Roman"/>
          <w:b/>
        </w:rPr>
        <w:t xml:space="preserve"> </w:t>
      </w:r>
      <w:r w:rsidRPr="002F31ED">
        <w:rPr>
          <w:rFonts w:cs="Times New Roman"/>
          <w:b/>
        </w:rPr>
        <w:t>Without a formal bill that describes what is due,</w:t>
      </w:r>
      <w:r>
        <w:rPr>
          <w:rFonts w:cs="Times New Roman"/>
          <w:b/>
        </w:rPr>
        <w:t xml:space="preserve"> how would a Project Sponsor obtain supporting documentation for STRMU payment</w:t>
      </w:r>
      <w:r w:rsidR="006A2A3B">
        <w:rPr>
          <w:rFonts w:cs="Times New Roman"/>
          <w:b/>
        </w:rPr>
        <w:t>s</w:t>
      </w:r>
      <w:r>
        <w:rPr>
          <w:rFonts w:cs="Times New Roman"/>
          <w:b/>
        </w:rPr>
        <w:t xml:space="preserve"> and track the 21-week period?</w:t>
      </w:r>
    </w:p>
    <w:p w14:paraId="29B852EF" w14:textId="77777777" w:rsidR="002F31ED" w:rsidRPr="002F31ED" w:rsidRDefault="002F31ED" w:rsidP="002F31ED">
      <w:pPr>
        <w:pStyle w:val="NoSpacing"/>
        <w:ind w:left="720"/>
        <w:rPr>
          <w:rFonts w:cs="Times New Roman"/>
        </w:rPr>
      </w:pPr>
      <w:r w:rsidRPr="002F31ED">
        <w:rPr>
          <w:rFonts w:cs="Times New Roman"/>
        </w:rPr>
        <w:t>In short:</w:t>
      </w:r>
    </w:p>
    <w:p w14:paraId="1F525233" w14:textId="29191888" w:rsidR="002F31ED" w:rsidRPr="002F31ED" w:rsidRDefault="002F31ED" w:rsidP="002F31ED">
      <w:pPr>
        <w:pStyle w:val="NoSpacing"/>
        <w:numPr>
          <w:ilvl w:val="0"/>
          <w:numId w:val="46"/>
        </w:numPr>
        <w:ind w:left="1170"/>
        <w:rPr>
          <w:rFonts w:cs="Times New Roman"/>
        </w:rPr>
      </w:pPr>
      <w:r w:rsidRPr="002F31ED">
        <w:rPr>
          <w:rFonts w:cs="Times New Roman"/>
        </w:rPr>
        <w:t xml:space="preserve">The utility vendor could provide a summary that indicates previous pre-use payments made by the client and the amount of electricity days </w:t>
      </w:r>
      <w:r>
        <w:rPr>
          <w:rFonts w:cs="Times New Roman"/>
        </w:rPr>
        <w:t>that the payment “bought” them.</w:t>
      </w:r>
    </w:p>
    <w:p w14:paraId="34282AEC" w14:textId="1FD417F4" w:rsidR="002F31ED" w:rsidRPr="002F31ED" w:rsidRDefault="002F31ED" w:rsidP="002F31ED">
      <w:pPr>
        <w:pStyle w:val="NoSpacing"/>
        <w:numPr>
          <w:ilvl w:val="0"/>
          <w:numId w:val="46"/>
        </w:numPr>
        <w:ind w:left="1170"/>
        <w:rPr>
          <w:rFonts w:cs="Times New Roman"/>
        </w:rPr>
      </w:pPr>
      <w:r>
        <w:rPr>
          <w:rFonts w:cs="Times New Roman"/>
        </w:rPr>
        <w:t>The utility vendor may bill for services in arrears</w:t>
      </w:r>
      <w:r w:rsidRPr="002F31ED">
        <w:rPr>
          <w:rFonts w:cs="Times New Roman"/>
        </w:rPr>
        <w:t xml:space="preserve"> for the actual energy their home consumed. Therefore, </w:t>
      </w:r>
      <w:r>
        <w:rPr>
          <w:rFonts w:cs="Times New Roman"/>
        </w:rPr>
        <w:t>a</w:t>
      </w:r>
      <w:r w:rsidRPr="002F31ED">
        <w:rPr>
          <w:rFonts w:cs="Times New Roman"/>
        </w:rPr>
        <w:t xml:space="preserve"> print-out should provide </w:t>
      </w:r>
      <w:r w:rsidR="00B61177">
        <w:rPr>
          <w:rFonts w:cs="Times New Roman"/>
        </w:rPr>
        <w:t>sufficient information to</w:t>
      </w:r>
      <w:r w:rsidRPr="002F31ED">
        <w:rPr>
          <w:rFonts w:cs="Times New Roman"/>
        </w:rPr>
        <w:t xml:space="preserve"> determine how much </w:t>
      </w:r>
      <w:r w:rsidR="00B61177">
        <w:rPr>
          <w:rFonts w:cs="Times New Roman"/>
        </w:rPr>
        <w:t xml:space="preserve">the </w:t>
      </w:r>
      <w:r w:rsidRPr="002F31ED">
        <w:rPr>
          <w:rFonts w:cs="Times New Roman"/>
        </w:rPr>
        <w:t xml:space="preserve">STRMU </w:t>
      </w:r>
      <w:r w:rsidR="00406151">
        <w:rPr>
          <w:rFonts w:cs="Times New Roman"/>
        </w:rPr>
        <w:t>payment</w:t>
      </w:r>
      <w:r w:rsidR="00406151" w:rsidRPr="002F31ED">
        <w:rPr>
          <w:rFonts w:cs="Times New Roman"/>
        </w:rPr>
        <w:t xml:space="preserve"> </w:t>
      </w:r>
      <w:r w:rsidRPr="002F31ED">
        <w:rPr>
          <w:rFonts w:cs="Times New Roman"/>
        </w:rPr>
        <w:t xml:space="preserve">will purchase, and the approximate number of </w:t>
      </w:r>
      <w:r>
        <w:rPr>
          <w:rFonts w:cs="Times New Roman"/>
        </w:rPr>
        <w:t>days that STRMU will cover.</w:t>
      </w:r>
    </w:p>
    <w:p w14:paraId="580AAEB9" w14:textId="1EE81423" w:rsidR="002F31ED" w:rsidRPr="002F31ED" w:rsidRDefault="002F31ED" w:rsidP="002F31ED">
      <w:pPr>
        <w:pStyle w:val="NoSpacing"/>
        <w:numPr>
          <w:ilvl w:val="0"/>
          <w:numId w:val="46"/>
        </w:numPr>
        <w:ind w:left="1170"/>
        <w:rPr>
          <w:rFonts w:cs="Times New Roman"/>
        </w:rPr>
      </w:pPr>
      <w:r w:rsidRPr="002F31ED">
        <w:rPr>
          <w:rFonts w:cs="Times New Roman"/>
        </w:rPr>
        <w:t>This verification and a print-out of the program from their web site should provide sufficient documentation for the payment</w:t>
      </w:r>
      <w:r w:rsidR="00CC4321">
        <w:rPr>
          <w:rFonts w:cs="Times New Roman"/>
        </w:rPr>
        <w:t xml:space="preserve"> and for tracking purposes</w:t>
      </w:r>
      <w:r w:rsidRPr="002F31ED">
        <w:rPr>
          <w:rFonts w:cs="Times New Roman"/>
        </w:rPr>
        <w:t>.</w:t>
      </w:r>
    </w:p>
    <w:p w14:paraId="42CEE861" w14:textId="748487D7" w:rsidR="002F31ED" w:rsidRDefault="002F31ED" w:rsidP="00DA098E">
      <w:pPr>
        <w:pStyle w:val="ListParagraph"/>
        <w:numPr>
          <w:ilvl w:val="0"/>
          <w:numId w:val="22"/>
        </w:numPr>
        <w:spacing w:after="0" w:line="240" w:lineRule="auto"/>
        <w:rPr>
          <w:rFonts w:cs="Times New Roman"/>
          <w:b/>
        </w:rPr>
      </w:pPr>
      <w:r w:rsidRPr="002F31ED">
        <w:rPr>
          <w:rFonts w:cs="Times New Roman"/>
          <w:b/>
        </w:rPr>
        <w:t xml:space="preserve">Can a homeless household receive STRMU services to pay a utility debt so that they can establish utility services at a new address they </w:t>
      </w:r>
      <w:r>
        <w:rPr>
          <w:rFonts w:cs="Times New Roman"/>
          <w:b/>
        </w:rPr>
        <w:t>will be assisted in moving into (i.e., can STRMU be used for rapid rehousing purposes</w:t>
      </w:r>
      <w:r w:rsidR="00E22B54">
        <w:rPr>
          <w:rFonts w:cs="Times New Roman"/>
          <w:b/>
        </w:rPr>
        <w:t>)?</w:t>
      </w:r>
    </w:p>
    <w:p w14:paraId="31FCC21B" w14:textId="283E4726" w:rsidR="002F31ED" w:rsidRPr="002F31ED" w:rsidRDefault="002F31ED" w:rsidP="002F31ED">
      <w:pPr>
        <w:pStyle w:val="ListParagraph"/>
        <w:spacing w:after="0" w:line="240" w:lineRule="auto"/>
        <w:rPr>
          <w:rFonts w:cs="Times New Roman"/>
        </w:rPr>
      </w:pPr>
      <w:r w:rsidRPr="002F31ED">
        <w:rPr>
          <w:rFonts w:cs="Times New Roman"/>
        </w:rPr>
        <w:t xml:space="preserve">Although </w:t>
      </w:r>
      <w:r w:rsidR="00093B2B">
        <w:rPr>
          <w:rFonts w:cs="Times New Roman"/>
        </w:rPr>
        <w:t>r</w:t>
      </w:r>
      <w:r w:rsidRPr="002F31ED">
        <w:rPr>
          <w:rFonts w:cs="Times New Roman"/>
        </w:rPr>
        <w:t xml:space="preserve">apid </w:t>
      </w:r>
      <w:r w:rsidR="00093B2B">
        <w:rPr>
          <w:rFonts w:cs="Times New Roman"/>
        </w:rPr>
        <w:t>r</w:t>
      </w:r>
      <w:r w:rsidRPr="002F31ED">
        <w:rPr>
          <w:rFonts w:cs="Times New Roman"/>
        </w:rPr>
        <w:t>ehousing is a good goal for households</w:t>
      </w:r>
      <w:r w:rsidR="00E22B54">
        <w:rPr>
          <w:rFonts w:cs="Times New Roman"/>
        </w:rPr>
        <w:t>,</w:t>
      </w:r>
      <w:r w:rsidRPr="002F31ED">
        <w:rPr>
          <w:rFonts w:cs="Times New Roman"/>
        </w:rPr>
        <w:t xml:space="preserve"> STRMU </w:t>
      </w:r>
      <w:r w:rsidR="00E22B54" w:rsidRPr="002F31ED">
        <w:rPr>
          <w:rFonts w:cs="Times New Roman"/>
        </w:rPr>
        <w:t>cannot</w:t>
      </w:r>
      <w:r w:rsidRPr="002F31ED">
        <w:rPr>
          <w:rFonts w:cs="Times New Roman"/>
        </w:rPr>
        <w:t xml:space="preserve"> be provided for back debts for homeless households. Households must be currently housed </w:t>
      </w:r>
      <w:r w:rsidR="00E96186" w:rsidRPr="002F31ED">
        <w:rPr>
          <w:rFonts w:cs="Times New Roman"/>
        </w:rPr>
        <w:t>to</w:t>
      </w:r>
      <w:r w:rsidRPr="002F31ED">
        <w:rPr>
          <w:rFonts w:cs="Times New Roman"/>
        </w:rPr>
        <w:t xml:space="preserve"> </w:t>
      </w:r>
      <w:r w:rsidR="00FB6CA0">
        <w:rPr>
          <w:rFonts w:cs="Times New Roman"/>
        </w:rPr>
        <w:t>qualify</w:t>
      </w:r>
      <w:r w:rsidRPr="002F31ED">
        <w:rPr>
          <w:rFonts w:cs="Times New Roman"/>
        </w:rPr>
        <w:t xml:space="preserve"> for STRMU. STRMU is intended to </w:t>
      </w:r>
      <w:r w:rsidR="00E22B54" w:rsidRPr="002F31ED">
        <w:rPr>
          <w:rFonts w:cs="Times New Roman"/>
        </w:rPr>
        <w:t>stabilize</w:t>
      </w:r>
      <w:r w:rsidRPr="002F31ED">
        <w:rPr>
          <w:rFonts w:cs="Times New Roman"/>
        </w:rPr>
        <w:t xml:space="preserve"> households experiencing a crisis due to health or income loss that can be alleviated with a short-term assistance to keep them in their current housing if they can sustain it a</w:t>
      </w:r>
      <w:r w:rsidR="00E22B54">
        <w:rPr>
          <w:rFonts w:cs="Times New Roman"/>
        </w:rPr>
        <w:t xml:space="preserve">fter STRMU </w:t>
      </w:r>
      <w:r w:rsidR="00406151">
        <w:rPr>
          <w:rFonts w:cs="Times New Roman"/>
        </w:rPr>
        <w:t xml:space="preserve">services </w:t>
      </w:r>
      <w:r w:rsidR="00E22B54">
        <w:rPr>
          <w:rFonts w:cs="Times New Roman"/>
        </w:rPr>
        <w:t>end.</w:t>
      </w:r>
      <w:r w:rsidR="00AE36E9">
        <w:rPr>
          <w:rFonts w:cs="Times New Roman"/>
        </w:rPr>
        <w:t xml:space="preserve"> </w:t>
      </w:r>
      <w:r w:rsidRPr="002F31ED">
        <w:rPr>
          <w:rFonts w:cs="Times New Roman"/>
        </w:rPr>
        <w:t xml:space="preserve">PHP </w:t>
      </w:r>
      <w:r w:rsidR="007B43C7">
        <w:rPr>
          <w:rFonts w:cs="Times New Roman"/>
        </w:rPr>
        <w:t>can pay for</w:t>
      </w:r>
      <w:r w:rsidRPr="002F31ED">
        <w:rPr>
          <w:rFonts w:cs="Times New Roman"/>
        </w:rPr>
        <w:t xml:space="preserve"> utility </w:t>
      </w:r>
      <w:r w:rsidR="00AE36E9" w:rsidRPr="00AE36E9">
        <w:rPr>
          <w:rFonts w:cs="Times New Roman"/>
        </w:rPr>
        <w:t>hookup fees and deposits</w:t>
      </w:r>
      <w:r w:rsidR="00E22B54">
        <w:rPr>
          <w:rFonts w:cs="Times New Roman"/>
        </w:rPr>
        <w:t xml:space="preserve">. </w:t>
      </w:r>
      <w:r w:rsidR="00580C80">
        <w:rPr>
          <w:rFonts w:cs="Times New Roman"/>
        </w:rPr>
        <w:t xml:space="preserve">PHP can also pay for </w:t>
      </w:r>
      <w:r w:rsidR="00580C80" w:rsidRPr="00580C80">
        <w:rPr>
          <w:rFonts w:cs="Times New Roman"/>
        </w:rPr>
        <w:t xml:space="preserve">utility arrears or other past expenses if a household must pay them to secure a new unit. If a Project Sponsor will pay arrears or other past expenses, the Project Sponsor must document that the payment is required and justified </w:t>
      </w:r>
      <w:r w:rsidR="00E96186" w:rsidRPr="00580C80">
        <w:rPr>
          <w:rFonts w:cs="Times New Roman"/>
        </w:rPr>
        <w:t>for</w:t>
      </w:r>
      <w:r w:rsidR="00580C80" w:rsidRPr="00580C80">
        <w:rPr>
          <w:rFonts w:cs="Times New Roman"/>
        </w:rPr>
        <w:t xml:space="preserve"> the household to secure a new unit.</w:t>
      </w:r>
      <w:r w:rsidR="00580C80">
        <w:rPr>
          <w:rFonts w:cs="Times New Roman"/>
        </w:rPr>
        <w:t xml:space="preserve"> </w:t>
      </w:r>
      <w:r w:rsidR="00E22B54">
        <w:rPr>
          <w:rFonts w:cs="Times New Roman"/>
        </w:rPr>
        <w:t xml:space="preserve">Project Sponsors </w:t>
      </w:r>
      <w:r w:rsidR="00580C80">
        <w:rPr>
          <w:rFonts w:cs="Times New Roman"/>
        </w:rPr>
        <w:t xml:space="preserve">could also </w:t>
      </w:r>
      <w:r w:rsidR="00E22B54">
        <w:rPr>
          <w:rFonts w:cs="Times New Roman"/>
        </w:rPr>
        <w:t>contact</w:t>
      </w:r>
      <w:r w:rsidRPr="002F31ED">
        <w:rPr>
          <w:rFonts w:cs="Times New Roman"/>
        </w:rPr>
        <w:t xml:space="preserve"> the utility company</w:t>
      </w:r>
      <w:r w:rsidR="00E22B54">
        <w:rPr>
          <w:rFonts w:cs="Times New Roman"/>
        </w:rPr>
        <w:t xml:space="preserve"> to see if they would</w:t>
      </w:r>
      <w:r w:rsidRPr="002F31ED">
        <w:rPr>
          <w:rFonts w:cs="Times New Roman"/>
        </w:rPr>
        <w:t xml:space="preserve"> agree to a </w:t>
      </w:r>
      <w:r w:rsidR="007B43C7">
        <w:rPr>
          <w:rFonts w:cs="Times New Roman"/>
        </w:rPr>
        <w:t xml:space="preserve">PHP </w:t>
      </w:r>
      <w:r w:rsidRPr="002F31ED">
        <w:rPr>
          <w:rFonts w:cs="Times New Roman"/>
        </w:rPr>
        <w:t xml:space="preserve">deposit for the new service and a payment </w:t>
      </w:r>
      <w:r w:rsidR="00FB6CA0">
        <w:rPr>
          <w:rFonts w:cs="Times New Roman"/>
        </w:rPr>
        <w:t>plan for the past-due</w:t>
      </w:r>
      <w:r w:rsidR="00E22B54">
        <w:rPr>
          <w:rFonts w:cs="Times New Roman"/>
        </w:rPr>
        <w:t xml:space="preserve"> amount.</w:t>
      </w:r>
      <w:r w:rsidRPr="002F31ED">
        <w:rPr>
          <w:rFonts w:cs="Times New Roman"/>
        </w:rPr>
        <w:t xml:space="preserve"> Because </w:t>
      </w:r>
      <w:r w:rsidR="00E22B54">
        <w:rPr>
          <w:rFonts w:cs="Times New Roman"/>
        </w:rPr>
        <w:t>of PHP financial limitations,</w:t>
      </w:r>
      <w:r w:rsidRPr="002F31ED">
        <w:rPr>
          <w:rFonts w:cs="Times New Roman"/>
        </w:rPr>
        <w:t xml:space="preserve"> </w:t>
      </w:r>
      <w:r w:rsidR="00E22B54">
        <w:rPr>
          <w:rFonts w:cs="Times New Roman"/>
        </w:rPr>
        <w:t>P</w:t>
      </w:r>
      <w:r w:rsidRPr="002F31ED">
        <w:rPr>
          <w:rFonts w:cs="Times New Roman"/>
        </w:rPr>
        <w:t xml:space="preserve">roject </w:t>
      </w:r>
      <w:r w:rsidR="00E22B54">
        <w:rPr>
          <w:rFonts w:cs="Times New Roman"/>
        </w:rPr>
        <w:t>S</w:t>
      </w:r>
      <w:r w:rsidRPr="002F31ED">
        <w:rPr>
          <w:rFonts w:cs="Times New Roman"/>
        </w:rPr>
        <w:t>ponsor</w:t>
      </w:r>
      <w:r w:rsidR="00E22B54">
        <w:rPr>
          <w:rFonts w:cs="Times New Roman"/>
        </w:rPr>
        <w:t>s</w:t>
      </w:r>
      <w:r w:rsidRPr="002F31ED">
        <w:rPr>
          <w:rFonts w:cs="Times New Roman"/>
        </w:rPr>
        <w:t xml:space="preserve"> </w:t>
      </w:r>
      <w:r w:rsidR="00E22B54">
        <w:rPr>
          <w:rFonts w:cs="Times New Roman"/>
        </w:rPr>
        <w:t xml:space="preserve">may </w:t>
      </w:r>
      <w:r w:rsidRPr="002F31ED">
        <w:rPr>
          <w:rFonts w:cs="Times New Roman"/>
        </w:rPr>
        <w:t>have to u</w:t>
      </w:r>
      <w:r w:rsidR="00E22B54">
        <w:rPr>
          <w:rFonts w:cs="Times New Roman"/>
        </w:rPr>
        <w:t>se other sources of funding to leverage the costs.</w:t>
      </w:r>
    </w:p>
    <w:p w14:paraId="28BAB580" w14:textId="5A0052DD" w:rsidR="00E22B54" w:rsidRDefault="00E22B54" w:rsidP="00DA098E">
      <w:pPr>
        <w:pStyle w:val="ListParagraph"/>
        <w:numPr>
          <w:ilvl w:val="0"/>
          <w:numId w:val="22"/>
        </w:numPr>
        <w:spacing w:after="0" w:line="240" w:lineRule="auto"/>
        <w:rPr>
          <w:rFonts w:cs="Times New Roman"/>
          <w:b/>
        </w:rPr>
      </w:pPr>
      <w:r w:rsidRPr="00E22B54">
        <w:rPr>
          <w:rFonts w:cs="Times New Roman"/>
          <w:b/>
        </w:rPr>
        <w:lastRenderedPageBreak/>
        <w:t xml:space="preserve">How do we correctly attribute debts to a specific </w:t>
      </w:r>
      <w:r w:rsidR="00863744">
        <w:rPr>
          <w:rFonts w:cs="Times New Roman"/>
          <w:b/>
        </w:rPr>
        <w:t>timeframe for STRMU tracking</w:t>
      </w:r>
      <w:r w:rsidRPr="00E22B54">
        <w:rPr>
          <w:rFonts w:cs="Times New Roman"/>
          <w:b/>
        </w:rPr>
        <w:t>? For example, a household may owe</w:t>
      </w:r>
      <w:r w:rsidR="00863744">
        <w:rPr>
          <w:rFonts w:cs="Times New Roman"/>
          <w:b/>
        </w:rPr>
        <w:t xml:space="preserve"> a debt of</w:t>
      </w:r>
      <w:r w:rsidRPr="00E22B54">
        <w:rPr>
          <w:rFonts w:cs="Times New Roman"/>
          <w:b/>
        </w:rPr>
        <w:t xml:space="preserve"> $500.00 to their utility company in addition to the $100.00</w:t>
      </w:r>
      <w:r w:rsidR="00863744">
        <w:rPr>
          <w:rFonts w:cs="Times New Roman"/>
          <w:b/>
        </w:rPr>
        <w:t xml:space="preserve"> they owe for the most recent metering period</w:t>
      </w:r>
      <w:r w:rsidRPr="00E22B54">
        <w:rPr>
          <w:rFonts w:cs="Times New Roman"/>
          <w:b/>
        </w:rPr>
        <w:t xml:space="preserve">. The $500.00 debt </w:t>
      </w:r>
      <w:r w:rsidR="00863744">
        <w:rPr>
          <w:rFonts w:cs="Times New Roman"/>
          <w:b/>
        </w:rPr>
        <w:t xml:space="preserve">has </w:t>
      </w:r>
      <w:r w:rsidRPr="00E22B54">
        <w:rPr>
          <w:rFonts w:cs="Times New Roman"/>
          <w:b/>
        </w:rPr>
        <w:t>accrued over several months. How would we break this debt down into days without a record of the amount due each month?</w:t>
      </w:r>
    </w:p>
    <w:p w14:paraId="4A0744B9" w14:textId="5F28E271" w:rsidR="00E22B54" w:rsidRPr="00E22B54" w:rsidRDefault="00E22B54" w:rsidP="00E22B54">
      <w:pPr>
        <w:pStyle w:val="ListParagraph"/>
        <w:spacing w:after="0" w:line="240" w:lineRule="auto"/>
        <w:rPr>
          <w:rFonts w:cs="Times New Roman"/>
        </w:rPr>
      </w:pPr>
      <w:r>
        <w:rPr>
          <w:rFonts w:cs="Times New Roman"/>
        </w:rPr>
        <w:t>Project S</w:t>
      </w:r>
      <w:r w:rsidRPr="00E22B54">
        <w:rPr>
          <w:rFonts w:cs="Times New Roman"/>
        </w:rPr>
        <w:t>ponsors</w:t>
      </w:r>
      <w:r>
        <w:rPr>
          <w:rFonts w:cs="Times New Roman"/>
        </w:rPr>
        <w:t xml:space="preserve"> should</w:t>
      </w:r>
      <w:r w:rsidRPr="00E22B54">
        <w:rPr>
          <w:rFonts w:cs="Times New Roman"/>
        </w:rPr>
        <w:t xml:space="preserve"> obtain </w:t>
      </w:r>
      <w:r w:rsidR="00863744">
        <w:rPr>
          <w:rFonts w:cs="Times New Roman"/>
        </w:rPr>
        <w:t>either 1) a series of bills detailing the current charges for each metering period</w:t>
      </w:r>
      <w:r w:rsidRPr="00E22B54">
        <w:rPr>
          <w:rFonts w:cs="Times New Roman"/>
        </w:rPr>
        <w:t xml:space="preserve"> </w:t>
      </w:r>
      <w:r w:rsidR="00863744">
        <w:rPr>
          <w:rFonts w:cs="Times New Roman"/>
        </w:rPr>
        <w:t xml:space="preserve">or 2) a </w:t>
      </w:r>
      <w:r w:rsidRPr="00E22B54">
        <w:rPr>
          <w:rFonts w:cs="Times New Roman"/>
        </w:rPr>
        <w:t xml:space="preserve">ledger from the </w:t>
      </w:r>
      <w:r w:rsidR="00FB6CA0">
        <w:rPr>
          <w:rFonts w:cs="Times New Roman"/>
        </w:rPr>
        <w:t xml:space="preserve">owner/representative or </w:t>
      </w:r>
      <w:r w:rsidRPr="00E22B54">
        <w:rPr>
          <w:rFonts w:cs="Times New Roman"/>
        </w:rPr>
        <w:t xml:space="preserve">utility company that details how the debt accrued </w:t>
      </w:r>
      <w:r w:rsidR="00863744">
        <w:rPr>
          <w:rFonts w:cs="Times New Roman"/>
        </w:rPr>
        <w:t xml:space="preserve">and any </w:t>
      </w:r>
      <w:r>
        <w:rPr>
          <w:rFonts w:cs="Times New Roman"/>
        </w:rPr>
        <w:t>payments made by the household.</w:t>
      </w:r>
      <w:r w:rsidRPr="00E22B54">
        <w:rPr>
          <w:rFonts w:cs="Times New Roman"/>
        </w:rPr>
        <w:t xml:space="preserve"> This </w:t>
      </w:r>
      <w:r>
        <w:rPr>
          <w:rFonts w:cs="Times New Roman"/>
        </w:rPr>
        <w:t>is the</w:t>
      </w:r>
      <w:r w:rsidRPr="00E22B54">
        <w:rPr>
          <w:rFonts w:cs="Times New Roman"/>
        </w:rPr>
        <w:t xml:space="preserve"> only way of knowing </w:t>
      </w:r>
      <w:r w:rsidR="00FB6CA0">
        <w:rPr>
          <w:rFonts w:cs="Times New Roman"/>
        </w:rPr>
        <w:t>the exact amount</w:t>
      </w:r>
      <w:r w:rsidR="008B3FCD">
        <w:rPr>
          <w:rFonts w:cs="Times New Roman"/>
        </w:rPr>
        <w:t>s</w:t>
      </w:r>
      <w:r w:rsidR="00FB6CA0">
        <w:rPr>
          <w:rFonts w:cs="Times New Roman"/>
        </w:rPr>
        <w:t xml:space="preserve"> of</w:t>
      </w:r>
      <w:r w:rsidRPr="00E22B54">
        <w:rPr>
          <w:rFonts w:cs="Times New Roman"/>
        </w:rPr>
        <w:t xml:space="preserve"> debts </w:t>
      </w:r>
      <w:r w:rsidR="00FB6CA0">
        <w:rPr>
          <w:rFonts w:cs="Times New Roman"/>
        </w:rPr>
        <w:t xml:space="preserve">accrued </w:t>
      </w:r>
      <w:proofErr w:type="gramStart"/>
      <w:r w:rsidR="00FB6CA0">
        <w:rPr>
          <w:rFonts w:cs="Times New Roman"/>
        </w:rPr>
        <w:t>in a given</w:t>
      </w:r>
      <w:proofErr w:type="gramEnd"/>
      <w:r w:rsidR="00FB6CA0">
        <w:rPr>
          <w:rFonts w:cs="Times New Roman"/>
        </w:rPr>
        <w:t xml:space="preserve"> timeframe with any</w:t>
      </w:r>
      <w:r w:rsidRPr="00E22B54">
        <w:rPr>
          <w:rFonts w:cs="Times New Roman"/>
        </w:rPr>
        <w:t xml:space="preserve"> certainty.</w:t>
      </w:r>
    </w:p>
    <w:p w14:paraId="66344B0B" w14:textId="0B239B02" w:rsidR="007E2A00" w:rsidRDefault="007E2A00" w:rsidP="00DA098E">
      <w:pPr>
        <w:pStyle w:val="ListParagraph"/>
        <w:numPr>
          <w:ilvl w:val="0"/>
          <w:numId w:val="22"/>
        </w:numPr>
        <w:spacing w:after="0" w:line="240" w:lineRule="auto"/>
        <w:rPr>
          <w:rFonts w:cs="Times New Roman"/>
          <w:b/>
        </w:rPr>
      </w:pPr>
      <w:r w:rsidRPr="00166252">
        <w:rPr>
          <w:rFonts w:cs="Times New Roman"/>
          <w:b/>
        </w:rPr>
        <w:t>Are property taxes an eligible STRMU cost?</w:t>
      </w:r>
    </w:p>
    <w:p w14:paraId="310C8EB5" w14:textId="641CFC94" w:rsidR="00340514" w:rsidRPr="00340514" w:rsidRDefault="00340514" w:rsidP="00340514">
      <w:pPr>
        <w:pStyle w:val="ListParagraph"/>
        <w:spacing w:after="0" w:line="240" w:lineRule="auto"/>
        <w:rPr>
          <w:rFonts w:cs="Times New Roman"/>
        </w:rPr>
      </w:pPr>
      <w:r>
        <w:rPr>
          <w:rFonts w:cs="Times New Roman"/>
        </w:rPr>
        <w:t xml:space="preserve">Yes, if </w:t>
      </w:r>
      <w:r w:rsidR="00863744">
        <w:rPr>
          <w:rFonts w:cs="Times New Roman"/>
        </w:rPr>
        <w:t xml:space="preserve">the </w:t>
      </w:r>
      <w:r>
        <w:rPr>
          <w:rFonts w:cs="Times New Roman"/>
        </w:rPr>
        <w:t xml:space="preserve">taxes are </w:t>
      </w:r>
      <w:r w:rsidR="00863744">
        <w:rPr>
          <w:rFonts w:cs="Times New Roman"/>
        </w:rPr>
        <w:t xml:space="preserve">included in </w:t>
      </w:r>
      <w:r>
        <w:rPr>
          <w:rFonts w:cs="Times New Roman"/>
        </w:rPr>
        <w:t>the mortgage payment. Otherwise, they are not.</w:t>
      </w:r>
    </w:p>
    <w:p w14:paraId="23CD9EA5" w14:textId="52D4F7B7" w:rsidR="009365D9" w:rsidRPr="00166252" w:rsidRDefault="009365D9" w:rsidP="00DA098E">
      <w:pPr>
        <w:pStyle w:val="ListParagraph"/>
        <w:numPr>
          <w:ilvl w:val="0"/>
          <w:numId w:val="22"/>
        </w:numPr>
        <w:spacing w:after="0" w:line="240" w:lineRule="auto"/>
        <w:rPr>
          <w:rFonts w:cs="Times New Roman"/>
          <w:b/>
        </w:rPr>
      </w:pPr>
      <w:r w:rsidRPr="00166252">
        <w:rPr>
          <w:rFonts w:cs="Times New Roman"/>
          <w:b/>
        </w:rPr>
        <w:t>A household is composed of one serodiscordant couple. The household receives STRMU services. If the other individual seroconverts, do they qualify the household for an additional 21 weeks of assistance?</w:t>
      </w:r>
    </w:p>
    <w:p w14:paraId="224BD91D" w14:textId="0AEAC973" w:rsidR="009365D9" w:rsidRPr="00166252" w:rsidRDefault="009365D9" w:rsidP="00C57BD3">
      <w:pPr>
        <w:pStyle w:val="ListParagraph"/>
        <w:spacing w:after="0" w:line="240" w:lineRule="auto"/>
        <w:rPr>
          <w:rFonts w:cs="Times New Roman"/>
        </w:rPr>
      </w:pPr>
      <w:r w:rsidRPr="00166252">
        <w:rPr>
          <w:rFonts w:cs="Times New Roman"/>
        </w:rPr>
        <w:t>No, the 21 weeks of assistance are for the household, not individual household members, and cannot be doubled or otherwise increased.</w:t>
      </w:r>
    </w:p>
    <w:p w14:paraId="7BF4D93A" w14:textId="389F059F" w:rsidR="00AB7A77" w:rsidRDefault="007F2361" w:rsidP="00DA098E">
      <w:pPr>
        <w:pStyle w:val="ListParagraph"/>
        <w:numPr>
          <w:ilvl w:val="0"/>
          <w:numId w:val="22"/>
        </w:numPr>
        <w:spacing w:after="0" w:line="240" w:lineRule="auto"/>
        <w:rPr>
          <w:rFonts w:cs="Times New Roman"/>
          <w:b/>
        </w:rPr>
      </w:pPr>
      <w:r>
        <w:rPr>
          <w:rFonts w:cs="Times New Roman"/>
          <w:b/>
        </w:rPr>
        <w:t xml:space="preserve">Can we use STRMU to </w:t>
      </w:r>
      <w:r w:rsidR="00AB7A77" w:rsidRPr="00166252">
        <w:rPr>
          <w:rFonts w:cs="Times New Roman"/>
          <w:b/>
        </w:rPr>
        <w:t>pay rent, mortgage, and</w:t>
      </w:r>
      <w:r>
        <w:rPr>
          <w:rFonts w:cs="Times New Roman"/>
          <w:b/>
        </w:rPr>
        <w:t>/</w:t>
      </w:r>
      <w:r w:rsidR="00AB7A77" w:rsidRPr="00166252">
        <w:rPr>
          <w:rFonts w:cs="Times New Roman"/>
          <w:b/>
        </w:rPr>
        <w:t xml:space="preserve">or utility bills that predate </w:t>
      </w:r>
      <w:r w:rsidR="008670DF">
        <w:rPr>
          <w:rFonts w:cs="Times New Roman"/>
          <w:b/>
        </w:rPr>
        <w:t>a household’s</w:t>
      </w:r>
      <w:r w:rsidR="008670DF" w:rsidRPr="00166252">
        <w:rPr>
          <w:rFonts w:cs="Times New Roman"/>
          <w:b/>
        </w:rPr>
        <w:t xml:space="preserve"> </w:t>
      </w:r>
      <w:r w:rsidR="00AB7A77" w:rsidRPr="00166252">
        <w:rPr>
          <w:rFonts w:cs="Times New Roman"/>
          <w:b/>
        </w:rPr>
        <w:t xml:space="preserve">enrollment in the HOPWA Program? For example, if a </w:t>
      </w:r>
      <w:r w:rsidR="008670DF">
        <w:rPr>
          <w:rFonts w:cs="Times New Roman"/>
          <w:b/>
        </w:rPr>
        <w:t>household</w:t>
      </w:r>
      <w:r w:rsidR="008670DF" w:rsidRPr="00166252">
        <w:rPr>
          <w:rFonts w:cs="Times New Roman"/>
          <w:b/>
        </w:rPr>
        <w:t xml:space="preserve"> </w:t>
      </w:r>
      <w:r w:rsidR="00AB7A77" w:rsidRPr="00166252">
        <w:rPr>
          <w:rFonts w:cs="Times New Roman"/>
          <w:b/>
        </w:rPr>
        <w:t>was enrolled in the HOPWA Program in January, can we pay December bills?</w:t>
      </w:r>
    </w:p>
    <w:p w14:paraId="44F3BC3B" w14:textId="447BE656" w:rsidR="00B107A8" w:rsidRPr="00B107A8" w:rsidRDefault="00B107A8" w:rsidP="00B107A8">
      <w:pPr>
        <w:pStyle w:val="ListParagraph"/>
        <w:spacing w:after="0" w:line="240" w:lineRule="auto"/>
        <w:rPr>
          <w:rFonts w:cs="Times New Roman"/>
        </w:rPr>
      </w:pPr>
      <w:r w:rsidRPr="00B107A8">
        <w:rPr>
          <w:rFonts w:cs="Times New Roman"/>
        </w:rPr>
        <w:t xml:space="preserve">Yes, </w:t>
      </w:r>
      <w:r w:rsidR="00284CC1">
        <w:rPr>
          <w:rFonts w:cs="Times New Roman"/>
        </w:rPr>
        <w:t xml:space="preserve">to prevent homelessness, </w:t>
      </w:r>
      <w:r w:rsidR="007F2361">
        <w:rPr>
          <w:rFonts w:cs="Times New Roman"/>
        </w:rPr>
        <w:t xml:space="preserve">STRMU may pay for </w:t>
      </w:r>
      <w:r w:rsidRPr="00B107A8">
        <w:rPr>
          <w:rFonts w:cs="Times New Roman"/>
        </w:rPr>
        <w:t xml:space="preserve">previous, verifiable balances that predate a </w:t>
      </w:r>
      <w:r w:rsidR="001F552D">
        <w:rPr>
          <w:rFonts w:cs="Times New Roman"/>
        </w:rPr>
        <w:t>household’s enrollment</w:t>
      </w:r>
      <w:r w:rsidR="004F4AF3">
        <w:rPr>
          <w:rFonts w:cs="Times New Roman"/>
        </w:rPr>
        <w:t xml:space="preserve"> date in the HOPWA P</w:t>
      </w:r>
      <w:r w:rsidR="001F552D">
        <w:rPr>
          <w:rFonts w:cs="Times New Roman"/>
        </w:rPr>
        <w:t>rogram</w:t>
      </w:r>
      <w:r w:rsidR="004F4AF3">
        <w:rPr>
          <w:rFonts w:cs="Times New Roman"/>
        </w:rPr>
        <w:t xml:space="preserve"> and the start date of STRMU services</w:t>
      </w:r>
      <w:r w:rsidR="007F2361" w:rsidRPr="00B107A8">
        <w:rPr>
          <w:rFonts w:cs="Times New Roman"/>
        </w:rPr>
        <w:t>.</w:t>
      </w:r>
      <w:r w:rsidR="007F2361">
        <w:rPr>
          <w:rFonts w:cs="Times New Roman"/>
        </w:rPr>
        <w:t xml:space="preserve"> </w:t>
      </w:r>
      <w:r w:rsidR="00284CC1">
        <w:rPr>
          <w:rFonts w:cs="Times New Roman"/>
        </w:rPr>
        <w:t>Project Sponsors t</w:t>
      </w:r>
      <w:r w:rsidR="007F2361">
        <w:rPr>
          <w:rFonts w:cs="Times New Roman"/>
        </w:rPr>
        <w:t xml:space="preserve">rack the days of accrued costs </w:t>
      </w:r>
      <w:r w:rsidR="00284CC1">
        <w:rPr>
          <w:rFonts w:cs="Times New Roman"/>
        </w:rPr>
        <w:t>paid by STRMU</w:t>
      </w:r>
      <w:r w:rsidR="007F2361">
        <w:rPr>
          <w:rFonts w:cs="Times New Roman"/>
        </w:rPr>
        <w:t xml:space="preserve"> </w:t>
      </w:r>
      <w:r w:rsidR="00284CC1">
        <w:rPr>
          <w:rFonts w:cs="Times New Roman"/>
        </w:rPr>
        <w:t>to ensure</w:t>
      </w:r>
      <w:r w:rsidR="007F2361">
        <w:rPr>
          <w:rFonts w:cs="Times New Roman"/>
        </w:rPr>
        <w:t xml:space="preserve"> that the total amount of STRMU </w:t>
      </w:r>
      <w:r w:rsidR="00FE5101">
        <w:rPr>
          <w:rFonts w:cs="Times New Roman"/>
        </w:rPr>
        <w:t>assistance</w:t>
      </w:r>
      <w:r w:rsidR="00406151">
        <w:rPr>
          <w:rFonts w:cs="Times New Roman"/>
        </w:rPr>
        <w:t xml:space="preserve"> </w:t>
      </w:r>
      <w:r w:rsidR="00284CC1">
        <w:rPr>
          <w:rFonts w:cs="Times New Roman"/>
        </w:rPr>
        <w:t>does not exceed</w:t>
      </w:r>
      <w:r w:rsidR="007F2361">
        <w:rPr>
          <w:rFonts w:cs="Times New Roman"/>
        </w:rPr>
        <w:t xml:space="preserve"> </w:t>
      </w:r>
      <w:r w:rsidR="000854AE">
        <w:rPr>
          <w:rFonts w:cs="Times New Roman"/>
        </w:rPr>
        <w:t>21 weeks</w:t>
      </w:r>
      <w:r w:rsidR="007F2361">
        <w:rPr>
          <w:rFonts w:cs="Times New Roman"/>
        </w:rPr>
        <w:t>.</w:t>
      </w:r>
      <w:r w:rsidR="007F2361" w:rsidRPr="00B107A8">
        <w:rPr>
          <w:rFonts w:cs="Times New Roman"/>
        </w:rPr>
        <w:t xml:space="preserve"> </w:t>
      </w:r>
      <w:r w:rsidRPr="00B107A8">
        <w:rPr>
          <w:rFonts w:cs="Times New Roman"/>
        </w:rPr>
        <w:t xml:space="preserve">This also applies if the </w:t>
      </w:r>
      <w:r w:rsidR="004F4AF3">
        <w:rPr>
          <w:rFonts w:cs="Times New Roman"/>
        </w:rPr>
        <w:t>accrued costs of the bills</w:t>
      </w:r>
      <w:r w:rsidRPr="00B107A8">
        <w:rPr>
          <w:rFonts w:cs="Times New Roman"/>
        </w:rPr>
        <w:t xml:space="preserve"> predate the start date of the contract period</w:t>
      </w:r>
      <w:r w:rsidR="004F4AF3">
        <w:rPr>
          <w:rFonts w:cs="Times New Roman"/>
        </w:rPr>
        <w:t xml:space="preserve"> (the HOPWA</w:t>
      </w:r>
      <w:r w:rsidR="006E7B7D">
        <w:rPr>
          <w:rFonts w:cs="Times New Roman"/>
        </w:rPr>
        <w:t xml:space="preserve"> </w:t>
      </w:r>
      <w:r w:rsidR="00B8513D">
        <w:rPr>
          <w:rFonts w:cs="Times New Roman"/>
        </w:rPr>
        <w:t>p</w:t>
      </w:r>
      <w:r w:rsidR="004F4AF3">
        <w:rPr>
          <w:rFonts w:cs="Times New Roman"/>
        </w:rPr>
        <w:t>rogram year is 0</w:t>
      </w:r>
      <w:r w:rsidR="00B8513D">
        <w:rPr>
          <w:rFonts w:cs="Times New Roman"/>
        </w:rPr>
        <w:t>9</w:t>
      </w:r>
      <w:r w:rsidR="004F4AF3">
        <w:rPr>
          <w:rFonts w:cs="Times New Roman"/>
        </w:rPr>
        <w:t>/01 – 0</w:t>
      </w:r>
      <w:r w:rsidR="006E7B7D">
        <w:rPr>
          <w:rFonts w:cs="Times New Roman"/>
        </w:rPr>
        <w:t>8</w:t>
      </w:r>
      <w:r w:rsidR="004F4AF3">
        <w:rPr>
          <w:rFonts w:cs="Times New Roman"/>
        </w:rPr>
        <w:t>/31)</w:t>
      </w:r>
      <w:r w:rsidRPr="00B107A8">
        <w:rPr>
          <w:rFonts w:cs="Times New Roman"/>
        </w:rPr>
        <w:t>.</w:t>
      </w:r>
      <w:r w:rsidR="00B75673">
        <w:rPr>
          <w:rFonts w:cs="Times New Roman"/>
        </w:rPr>
        <w:t xml:space="preserve"> </w:t>
      </w:r>
      <w:r w:rsidRPr="00B107A8">
        <w:rPr>
          <w:rFonts w:cs="Times New Roman"/>
        </w:rPr>
        <w:t xml:space="preserve">For example, </w:t>
      </w:r>
      <w:r w:rsidR="00284CC1">
        <w:rPr>
          <w:rFonts w:cs="Times New Roman"/>
        </w:rPr>
        <w:t xml:space="preserve">a Project Sponsor that cuts </w:t>
      </w:r>
      <w:r w:rsidR="004F4AF3">
        <w:rPr>
          <w:rFonts w:cs="Times New Roman"/>
        </w:rPr>
        <w:t xml:space="preserve">a check </w:t>
      </w:r>
      <w:r w:rsidR="00284CC1">
        <w:rPr>
          <w:rFonts w:cs="Times New Roman"/>
        </w:rPr>
        <w:t>i</w:t>
      </w:r>
      <w:r w:rsidR="004F4AF3">
        <w:rPr>
          <w:rFonts w:cs="Times New Roman"/>
        </w:rPr>
        <w:t xml:space="preserve">n </w:t>
      </w:r>
      <w:r w:rsidR="00B8513D">
        <w:rPr>
          <w:rFonts w:cs="Times New Roman"/>
        </w:rPr>
        <w:t>September</w:t>
      </w:r>
      <w:r w:rsidR="00B8513D" w:rsidRPr="00B107A8">
        <w:rPr>
          <w:rFonts w:cs="Times New Roman"/>
        </w:rPr>
        <w:t xml:space="preserve"> </w:t>
      </w:r>
      <w:r w:rsidR="004F4AF3">
        <w:rPr>
          <w:rFonts w:cs="Times New Roman"/>
        </w:rPr>
        <w:t>for</w:t>
      </w:r>
      <w:r w:rsidRPr="00B107A8">
        <w:rPr>
          <w:rFonts w:cs="Times New Roman"/>
        </w:rPr>
        <w:t xml:space="preserve"> outstanding bills from </w:t>
      </w:r>
      <w:r w:rsidR="00B8513D">
        <w:rPr>
          <w:rFonts w:cs="Times New Roman"/>
        </w:rPr>
        <w:t>August</w:t>
      </w:r>
      <w:r w:rsidR="00B8513D" w:rsidRPr="00B107A8">
        <w:rPr>
          <w:rFonts w:cs="Times New Roman"/>
        </w:rPr>
        <w:t xml:space="preserve"> </w:t>
      </w:r>
      <w:r w:rsidRPr="00B107A8">
        <w:rPr>
          <w:rFonts w:cs="Times New Roman"/>
        </w:rPr>
        <w:t>of the prior contract year</w:t>
      </w:r>
      <w:r w:rsidR="004F4AF3">
        <w:rPr>
          <w:rFonts w:cs="Times New Roman"/>
        </w:rPr>
        <w:t xml:space="preserve"> would bill to the contract that started in </w:t>
      </w:r>
      <w:r w:rsidR="00B8513D">
        <w:rPr>
          <w:rFonts w:cs="Times New Roman"/>
        </w:rPr>
        <w:t xml:space="preserve">September </w:t>
      </w:r>
      <w:r w:rsidR="004F4AF3">
        <w:rPr>
          <w:rFonts w:cs="Times New Roman"/>
        </w:rPr>
        <w:t xml:space="preserve">regardless of which days of accrued costs </w:t>
      </w:r>
      <w:r w:rsidR="00284CC1">
        <w:rPr>
          <w:rFonts w:cs="Times New Roman"/>
        </w:rPr>
        <w:t>the Project Sponsor paid</w:t>
      </w:r>
      <w:r w:rsidR="004F4AF3">
        <w:rPr>
          <w:rFonts w:cs="Times New Roman"/>
        </w:rPr>
        <w:t xml:space="preserve"> for. </w:t>
      </w:r>
      <w:r w:rsidRPr="00B107A8">
        <w:rPr>
          <w:rFonts w:cs="Times New Roman"/>
        </w:rPr>
        <w:t xml:space="preserve">Thus, </w:t>
      </w:r>
      <w:r w:rsidR="00284CC1">
        <w:rPr>
          <w:rFonts w:cs="Times New Roman"/>
        </w:rPr>
        <w:t>STRMU provides</w:t>
      </w:r>
      <w:r w:rsidRPr="00B107A8">
        <w:rPr>
          <w:rFonts w:cs="Times New Roman"/>
        </w:rPr>
        <w:t xml:space="preserve"> a “seamless” housing assistance service </w:t>
      </w:r>
      <w:r w:rsidR="00284CC1">
        <w:rPr>
          <w:rFonts w:cs="Times New Roman"/>
        </w:rPr>
        <w:t>despite crossing into a new contract timeframe</w:t>
      </w:r>
      <w:r w:rsidRPr="00B107A8">
        <w:rPr>
          <w:rFonts w:cs="Times New Roman"/>
        </w:rPr>
        <w:t>.</w:t>
      </w:r>
      <w:r w:rsidR="00B75673">
        <w:rPr>
          <w:rFonts w:cs="Times New Roman"/>
        </w:rPr>
        <w:t xml:space="preserve"> </w:t>
      </w:r>
      <w:r w:rsidRPr="00B107A8">
        <w:rPr>
          <w:rFonts w:cs="Times New Roman"/>
        </w:rPr>
        <w:t xml:space="preserve">From an accounting perspective, </w:t>
      </w:r>
      <w:r w:rsidR="0018625C">
        <w:rPr>
          <w:rFonts w:cs="Times New Roman"/>
        </w:rPr>
        <w:t xml:space="preserve">the </w:t>
      </w:r>
      <w:r w:rsidR="00284CC1">
        <w:rPr>
          <w:rFonts w:cs="Times New Roman"/>
        </w:rPr>
        <w:t>Project Sponsor would bill the p</w:t>
      </w:r>
      <w:r w:rsidRPr="00B107A8">
        <w:rPr>
          <w:rFonts w:cs="Times New Roman"/>
        </w:rPr>
        <w:t xml:space="preserve">redating bills </w:t>
      </w:r>
      <w:r w:rsidR="00284CC1">
        <w:rPr>
          <w:rFonts w:cs="Times New Roman"/>
        </w:rPr>
        <w:t xml:space="preserve">to </w:t>
      </w:r>
      <w:r w:rsidRPr="00B107A8">
        <w:rPr>
          <w:rFonts w:cs="Times New Roman"/>
        </w:rPr>
        <w:t>the current project yea</w:t>
      </w:r>
      <w:r>
        <w:rPr>
          <w:rFonts w:cs="Times New Roman"/>
        </w:rPr>
        <w:t>r’s budget.</w:t>
      </w:r>
    </w:p>
    <w:p w14:paraId="7B3E8DC3" w14:textId="00818AD6" w:rsidR="00AB7A77" w:rsidRDefault="00166460" w:rsidP="00DA098E">
      <w:pPr>
        <w:pStyle w:val="ListParagraph"/>
        <w:numPr>
          <w:ilvl w:val="0"/>
          <w:numId w:val="22"/>
        </w:numPr>
        <w:spacing w:after="0" w:line="240" w:lineRule="auto"/>
        <w:rPr>
          <w:rFonts w:cs="Times New Roman"/>
          <w:b/>
        </w:rPr>
      </w:pPr>
      <w:r>
        <w:rPr>
          <w:rFonts w:cs="Times New Roman"/>
          <w:b/>
        </w:rPr>
        <w:t>If</w:t>
      </w:r>
      <w:r w:rsidR="00AB7A77" w:rsidRPr="00166252">
        <w:rPr>
          <w:rFonts w:cs="Times New Roman"/>
          <w:b/>
        </w:rPr>
        <w:t xml:space="preserve"> a client </w:t>
      </w:r>
      <w:r>
        <w:rPr>
          <w:rFonts w:cs="Times New Roman"/>
          <w:b/>
        </w:rPr>
        <w:t>enrolls in the HOPWA program</w:t>
      </w:r>
      <w:r w:rsidR="00AB7A77" w:rsidRPr="00166252">
        <w:rPr>
          <w:rFonts w:cs="Times New Roman"/>
          <w:b/>
        </w:rPr>
        <w:t xml:space="preserve"> in June and receives </w:t>
      </w:r>
      <w:r>
        <w:rPr>
          <w:rFonts w:cs="Times New Roman"/>
          <w:b/>
        </w:rPr>
        <w:t xml:space="preserve">STRMU </w:t>
      </w:r>
      <w:r w:rsidR="00AB7A77" w:rsidRPr="00166252">
        <w:rPr>
          <w:rFonts w:cs="Times New Roman"/>
          <w:b/>
        </w:rPr>
        <w:t xml:space="preserve">utility </w:t>
      </w:r>
      <w:r w:rsidR="009C1524">
        <w:rPr>
          <w:rFonts w:cs="Times New Roman"/>
          <w:b/>
        </w:rPr>
        <w:t>assistance</w:t>
      </w:r>
      <w:r w:rsidR="009C1524" w:rsidRPr="00166252">
        <w:rPr>
          <w:rFonts w:cs="Times New Roman"/>
          <w:b/>
        </w:rPr>
        <w:t xml:space="preserve"> </w:t>
      </w:r>
      <w:r w:rsidR="00AB7A77" w:rsidRPr="00166252">
        <w:rPr>
          <w:rFonts w:cs="Times New Roman"/>
          <w:b/>
        </w:rPr>
        <w:t>for that month plus the previous months of April and May</w:t>
      </w:r>
      <w:r>
        <w:rPr>
          <w:rFonts w:cs="Times New Roman"/>
          <w:b/>
        </w:rPr>
        <w:t>, d</w:t>
      </w:r>
      <w:r w:rsidR="00AB7A77" w:rsidRPr="00166252">
        <w:rPr>
          <w:rFonts w:cs="Times New Roman"/>
          <w:b/>
        </w:rPr>
        <w:t>oes this count as one month of assistance or three months?</w:t>
      </w:r>
    </w:p>
    <w:p w14:paraId="2E06F8B1" w14:textId="0126DEB5" w:rsidR="00A90BEA" w:rsidRPr="00A90BEA" w:rsidRDefault="00A90BEA" w:rsidP="00A90BEA">
      <w:pPr>
        <w:pStyle w:val="ListParagraph"/>
        <w:spacing w:after="0" w:line="240" w:lineRule="auto"/>
        <w:rPr>
          <w:rFonts w:cs="Times New Roman"/>
        </w:rPr>
      </w:pPr>
      <w:r w:rsidRPr="00A90BEA">
        <w:rPr>
          <w:rFonts w:cs="Times New Roman"/>
        </w:rPr>
        <w:t xml:space="preserve">The 21-week </w:t>
      </w:r>
      <w:r w:rsidR="001F552D">
        <w:rPr>
          <w:rFonts w:cs="Times New Roman"/>
        </w:rPr>
        <w:t>limit</w:t>
      </w:r>
      <w:r w:rsidRPr="00A90BEA">
        <w:rPr>
          <w:rFonts w:cs="Times New Roman"/>
        </w:rPr>
        <w:t xml:space="preserve"> under </w:t>
      </w:r>
      <w:r w:rsidR="001F552D">
        <w:rPr>
          <w:rFonts w:cs="Times New Roman"/>
        </w:rPr>
        <w:t>STRMU is based on days of accrued costs</w:t>
      </w:r>
      <w:r w:rsidRPr="00A90BEA">
        <w:rPr>
          <w:rFonts w:cs="Times New Roman"/>
        </w:rPr>
        <w:t>.</w:t>
      </w:r>
      <w:r w:rsidR="00B75673">
        <w:rPr>
          <w:rFonts w:cs="Times New Roman"/>
        </w:rPr>
        <w:t xml:space="preserve"> </w:t>
      </w:r>
      <w:r w:rsidRPr="00A90BEA">
        <w:rPr>
          <w:rFonts w:cs="Times New Roman"/>
        </w:rPr>
        <w:t xml:space="preserve">Therefore, if </w:t>
      </w:r>
      <w:r w:rsidR="001F552D">
        <w:rPr>
          <w:rFonts w:cs="Times New Roman"/>
        </w:rPr>
        <w:t>STRMU pays</w:t>
      </w:r>
      <w:r w:rsidRPr="00A90BEA">
        <w:rPr>
          <w:rFonts w:cs="Times New Roman"/>
        </w:rPr>
        <w:t xml:space="preserve"> </w:t>
      </w:r>
      <w:r w:rsidR="001F552D">
        <w:rPr>
          <w:rFonts w:cs="Times New Roman"/>
        </w:rPr>
        <w:t xml:space="preserve">April, May, and June, </w:t>
      </w:r>
      <w:r w:rsidRPr="00A90BEA">
        <w:rPr>
          <w:rFonts w:cs="Times New Roman"/>
        </w:rPr>
        <w:t xml:space="preserve">then that </w:t>
      </w:r>
      <w:r w:rsidR="007033F7">
        <w:rPr>
          <w:rFonts w:cs="Times New Roman"/>
        </w:rPr>
        <w:t>would</w:t>
      </w:r>
      <w:r w:rsidR="007033F7" w:rsidRPr="00A90BEA">
        <w:rPr>
          <w:rFonts w:cs="Times New Roman"/>
        </w:rPr>
        <w:t xml:space="preserve"> </w:t>
      </w:r>
      <w:r w:rsidRPr="00A90BEA">
        <w:rPr>
          <w:rFonts w:cs="Times New Roman"/>
        </w:rPr>
        <w:t xml:space="preserve">constitute </w:t>
      </w:r>
      <w:r w:rsidR="007033F7">
        <w:rPr>
          <w:rFonts w:cs="Times New Roman"/>
        </w:rPr>
        <w:t xml:space="preserve">roughly </w:t>
      </w:r>
      <w:r w:rsidR="001F552D">
        <w:rPr>
          <w:rFonts w:cs="Times New Roman"/>
        </w:rPr>
        <w:t>91</w:t>
      </w:r>
      <w:r w:rsidRPr="00A90BEA">
        <w:rPr>
          <w:rFonts w:cs="Times New Roman"/>
        </w:rPr>
        <w:t xml:space="preserve"> </w:t>
      </w:r>
      <w:r w:rsidR="007033F7">
        <w:rPr>
          <w:rFonts w:cs="Times New Roman"/>
        </w:rPr>
        <w:t xml:space="preserve">days (depending on the actual utility metering periods for each bill) </w:t>
      </w:r>
      <w:r w:rsidRPr="00A90BEA">
        <w:rPr>
          <w:rFonts w:cs="Times New Roman"/>
        </w:rPr>
        <w:t>out</w:t>
      </w:r>
      <w:r w:rsidR="001F552D">
        <w:rPr>
          <w:rFonts w:cs="Times New Roman"/>
        </w:rPr>
        <w:t xml:space="preserve"> of 147 days in a 52</w:t>
      </w:r>
      <w:r w:rsidR="00AF0523">
        <w:rPr>
          <w:rFonts w:cs="Times New Roman"/>
        </w:rPr>
        <w:t>-</w:t>
      </w:r>
      <w:r w:rsidR="001F552D">
        <w:rPr>
          <w:rFonts w:cs="Times New Roman"/>
        </w:rPr>
        <w:t>week period – regardless of what day or month the check is cut.</w:t>
      </w:r>
    </w:p>
    <w:p w14:paraId="3C4CF607" w14:textId="3FAFE23E" w:rsidR="00AB7A77" w:rsidRDefault="000A08A7" w:rsidP="00DA098E">
      <w:pPr>
        <w:pStyle w:val="ListParagraph"/>
        <w:numPr>
          <w:ilvl w:val="0"/>
          <w:numId w:val="22"/>
        </w:numPr>
        <w:spacing w:after="0" w:line="240" w:lineRule="auto"/>
        <w:rPr>
          <w:rFonts w:cs="Times New Roman"/>
          <w:b/>
        </w:rPr>
      </w:pPr>
      <w:r w:rsidRPr="00166252">
        <w:rPr>
          <w:rFonts w:cs="Times New Roman"/>
          <w:b/>
        </w:rPr>
        <w:t>Regarding</w:t>
      </w:r>
      <w:r w:rsidR="00AB7A77" w:rsidRPr="00166252">
        <w:rPr>
          <w:rFonts w:cs="Times New Roman"/>
          <w:b/>
        </w:rPr>
        <w:t xml:space="preserve"> the 21-week </w:t>
      </w:r>
      <w:r w:rsidR="002A5045">
        <w:rPr>
          <w:rFonts w:cs="Times New Roman"/>
          <w:b/>
        </w:rPr>
        <w:t>cap</w:t>
      </w:r>
      <w:r w:rsidR="002A5045" w:rsidRPr="00166252">
        <w:rPr>
          <w:rFonts w:cs="Times New Roman"/>
          <w:b/>
        </w:rPr>
        <w:t xml:space="preserve"> </w:t>
      </w:r>
      <w:r w:rsidR="00AB7A77" w:rsidRPr="00166252">
        <w:rPr>
          <w:rFonts w:cs="Times New Roman"/>
          <w:b/>
        </w:rPr>
        <w:t>for STRMU, what happens when the 21</w:t>
      </w:r>
      <w:r w:rsidR="00AB7A77" w:rsidRPr="00166252">
        <w:rPr>
          <w:rFonts w:cs="Times New Roman"/>
          <w:b/>
          <w:vertAlign w:val="superscript"/>
        </w:rPr>
        <w:t>st</w:t>
      </w:r>
      <w:r w:rsidR="00AB7A77" w:rsidRPr="00166252">
        <w:rPr>
          <w:rFonts w:cs="Times New Roman"/>
          <w:b/>
        </w:rPr>
        <w:t xml:space="preserve"> week is in the middle of a month?</w:t>
      </w:r>
    </w:p>
    <w:p w14:paraId="4757ACAC" w14:textId="166E2FB3" w:rsidR="00A90BEA" w:rsidRPr="00A90BEA" w:rsidRDefault="00A90BEA" w:rsidP="00A90BEA">
      <w:pPr>
        <w:pStyle w:val="ListParagraph"/>
        <w:spacing w:after="0" w:line="240" w:lineRule="auto"/>
        <w:rPr>
          <w:rFonts w:cs="Times New Roman"/>
        </w:rPr>
      </w:pPr>
      <w:r>
        <w:rPr>
          <w:rFonts w:cs="Times New Roman"/>
        </w:rPr>
        <w:t xml:space="preserve">The household </w:t>
      </w:r>
      <w:r w:rsidR="007033F7">
        <w:rPr>
          <w:rFonts w:cs="Times New Roman"/>
        </w:rPr>
        <w:t xml:space="preserve">or another source of assistance </w:t>
      </w:r>
      <w:r>
        <w:rPr>
          <w:rFonts w:cs="Times New Roman"/>
        </w:rPr>
        <w:t xml:space="preserve">will have to pay </w:t>
      </w:r>
      <w:r w:rsidR="007033F7">
        <w:rPr>
          <w:rFonts w:cs="Times New Roman"/>
        </w:rPr>
        <w:t>for any balances beyond what STRMU can cover</w:t>
      </w:r>
      <w:r>
        <w:rPr>
          <w:rFonts w:cs="Times New Roman"/>
        </w:rPr>
        <w:t>.</w:t>
      </w:r>
    </w:p>
    <w:p w14:paraId="4D088FDE" w14:textId="0762374F" w:rsidR="00DC652A" w:rsidRPr="00A90BEA" w:rsidRDefault="00DC652A" w:rsidP="00DA098E">
      <w:pPr>
        <w:pStyle w:val="ListParagraph"/>
        <w:numPr>
          <w:ilvl w:val="0"/>
          <w:numId w:val="22"/>
        </w:numPr>
        <w:spacing w:after="0" w:line="240" w:lineRule="auto"/>
        <w:rPr>
          <w:rFonts w:cs="Times New Roman"/>
          <w:b/>
        </w:rPr>
      </w:pPr>
      <w:r w:rsidRPr="00166252">
        <w:rPr>
          <w:b/>
        </w:rPr>
        <w:t>If a</w:t>
      </w:r>
      <w:r w:rsidR="00CB6983">
        <w:rPr>
          <w:b/>
        </w:rPr>
        <w:t xml:space="preserve"> Project Sponsor</w:t>
      </w:r>
      <w:r w:rsidRPr="00166252">
        <w:rPr>
          <w:b/>
        </w:rPr>
        <w:t xml:space="preserve"> provides one STRMU </w:t>
      </w:r>
      <w:r w:rsidR="003D19EB">
        <w:rPr>
          <w:b/>
        </w:rPr>
        <w:t xml:space="preserve">service </w:t>
      </w:r>
      <w:r w:rsidRPr="00166252">
        <w:rPr>
          <w:b/>
        </w:rPr>
        <w:t xml:space="preserve">in March, then another </w:t>
      </w:r>
      <w:r w:rsidR="003D19EB">
        <w:rPr>
          <w:b/>
        </w:rPr>
        <w:t>service</w:t>
      </w:r>
      <w:r w:rsidR="003D19EB" w:rsidRPr="00166252">
        <w:rPr>
          <w:b/>
        </w:rPr>
        <w:t xml:space="preserve"> </w:t>
      </w:r>
      <w:r w:rsidRPr="00166252">
        <w:rPr>
          <w:b/>
        </w:rPr>
        <w:t xml:space="preserve">in September, then another </w:t>
      </w:r>
      <w:r w:rsidR="003D19EB">
        <w:rPr>
          <w:b/>
        </w:rPr>
        <w:t>service</w:t>
      </w:r>
      <w:r w:rsidR="003D19EB" w:rsidRPr="00166252">
        <w:rPr>
          <w:b/>
        </w:rPr>
        <w:t xml:space="preserve"> </w:t>
      </w:r>
      <w:r w:rsidRPr="00166252">
        <w:rPr>
          <w:b/>
        </w:rPr>
        <w:t xml:space="preserve">in December, do they need to fill out </w:t>
      </w:r>
      <w:r w:rsidR="008C6EFD">
        <w:rPr>
          <w:b/>
        </w:rPr>
        <w:t>Form P</w:t>
      </w:r>
      <w:r w:rsidRPr="00166252">
        <w:rPr>
          <w:b/>
        </w:rPr>
        <w:t xml:space="preserve"> each time?</w:t>
      </w:r>
    </w:p>
    <w:p w14:paraId="6BBF2B4F" w14:textId="07DB63A5" w:rsidR="00A90BEA" w:rsidRDefault="00A90BEA" w:rsidP="00A90BEA">
      <w:pPr>
        <w:pStyle w:val="ListParagraph"/>
        <w:spacing w:after="0"/>
      </w:pPr>
      <w:r>
        <w:t>No</w:t>
      </w:r>
      <w:r w:rsidR="00335089">
        <w:t>, Project Sponsors are only required to collect d</w:t>
      </w:r>
      <w:r w:rsidR="008C6EFD">
        <w:t xml:space="preserve">isenrollment </w:t>
      </w:r>
      <w:r w:rsidR="000035B2">
        <w:t xml:space="preserve">information </w:t>
      </w:r>
      <w:r>
        <w:t xml:space="preserve">when the household is </w:t>
      </w:r>
      <w:r w:rsidR="008C6EFD">
        <w:t xml:space="preserve">disenrolled </w:t>
      </w:r>
      <w:r>
        <w:t xml:space="preserve">from the program. </w:t>
      </w:r>
      <w:r w:rsidR="00335089">
        <w:t xml:space="preserve">Form P tracks both service outcome data (for TBRA, STRMU, FBHA, and Supportive Services) and program disenrollment data (if applicable) that must be reported to HUD. </w:t>
      </w:r>
      <w:r>
        <w:t xml:space="preserve">However, the form </w:t>
      </w:r>
      <w:r w:rsidR="00335089">
        <w:t>s</w:t>
      </w:r>
      <w:r>
        <w:t xml:space="preserve">hould be updated as </w:t>
      </w:r>
      <w:r w:rsidR="000035B2">
        <w:t xml:space="preserve">services start and end and as specific service </w:t>
      </w:r>
      <w:r>
        <w:t>outcomes are achieved.</w:t>
      </w:r>
    </w:p>
    <w:p w14:paraId="4F6E0A1F" w14:textId="7388F1EB" w:rsidR="00DC652A" w:rsidRDefault="00DC652A" w:rsidP="00DA098E">
      <w:pPr>
        <w:numPr>
          <w:ilvl w:val="0"/>
          <w:numId w:val="22"/>
        </w:numPr>
        <w:spacing w:after="0" w:line="240" w:lineRule="auto"/>
        <w:rPr>
          <w:b/>
        </w:rPr>
      </w:pPr>
      <w:r w:rsidRPr="00166252">
        <w:rPr>
          <w:b/>
        </w:rPr>
        <w:t xml:space="preserve">Can </w:t>
      </w:r>
      <w:r w:rsidR="00335089">
        <w:rPr>
          <w:b/>
        </w:rPr>
        <w:t>Project Sponsors</w:t>
      </w:r>
      <w:r w:rsidRPr="00166252">
        <w:rPr>
          <w:b/>
        </w:rPr>
        <w:t xml:space="preserve"> develop their own system </w:t>
      </w:r>
      <w:r w:rsidR="00335089">
        <w:rPr>
          <w:b/>
        </w:rPr>
        <w:t>of tracking</w:t>
      </w:r>
      <w:r w:rsidRPr="00166252">
        <w:rPr>
          <w:b/>
        </w:rPr>
        <w:t xml:space="preserve"> </w:t>
      </w:r>
      <w:r w:rsidR="00335089">
        <w:rPr>
          <w:b/>
        </w:rPr>
        <w:t>the STRMU 21-week cap</w:t>
      </w:r>
      <w:r w:rsidRPr="00166252">
        <w:rPr>
          <w:b/>
        </w:rPr>
        <w:t>?</w:t>
      </w:r>
    </w:p>
    <w:p w14:paraId="0BC8ED25" w14:textId="648F1154" w:rsidR="00A90BEA" w:rsidRPr="00A90BEA" w:rsidRDefault="00A90BEA" w:rsidP="00A90BEA">
      <w:pPr>
        <w:pStyle w:val="ListParagraph"/>
        <w:spacing w:after="0"/>
        <w:jc w:val="both"/>
      </w:pPr>
      <w:r>
        <w:t>No</w:t>
      </w:r>
      <w:r w:rsidR="00226A16">
        <w:t>,</w:t>
      </w:r>
      <w:r w:rsidR="00B75673">
        <w:t xml:space="preserve"> </w:t>
      </w:r>
      <w:r w:rsidR="00335089">
        <w:t xml:space="preserve">DSHS </w:t>
      </w:r>
      <w:r>
        <w:t>Project Sponsor</w:t>
      </w:r>
      <w:r w:rsidR="00335089">
        <w:t>s</w:t>
      </w:r>
      <w:r>
        <w:t xml:space="preserve"> must use the calendar day method.</w:t>
      </w:r>
      <w:r w:rsidR="00B75673">
        <w:t xml:space="preserve"> </w:t>
      </w:r>
      <w:r w:rsidR="004F1048">
        <w:t xml:space="preserve">Per </w:t>
      </w:r>
      <w:r w:rsidR="002F48D4">
        <w:t>HUD</w:t>
      </w:r>
      <w:r w:rsidR="004F1048">
        <w:t xml:space="preserve">’s </w:t>
      </w:r>
      <w:r w:rsidR="004F1048" w:rsidRPr="004F1048">
        <w:rPr>
          <w:i/>
        </w:rPr>
        <w:t>HOPWA Short-Term Rent, Mortgage, and Utility Assistance Guide</w:t>
      </w:r>
      <w:r w:rsidR="004F1048">
        <w:t xml:space="preserve">, </w:t>
      </w:r>
      <w:r w:rsidR="00226A16">
        <w:t xml:space="preserve">a grantee’s </w:t>
      </w:r>
      <w:r>
        <w:t>Project Sponsors</w:t>
      </w:r>
      <w:r w:rsidR="00226A16">
        <w:t xml:space="preserve"> </w:t>
      </w:r>
      <w:r w:rsidR="004F1048">
        <w:t xml:space="preserve">must </w:t>
      </w:r>
      <w:r>
        <w:t xml:space="preserve">use </w:t>
      </w:r>
      <w:r w:rsidR="00226A16">
        <w:t>a uniform tracking method</w:t>
      </w:r>
      <w:r>
        <w:t>.</w:t>
      </w:r>
    </w:p>
    <w:p w14:paraId="181C6A7E" w14:textId="5F989CFA" w:rsidR="00DC652A" w:rsidRDefault="00DC652A" w:rsidP="00DA098E">
      <w:pPr>
        <w:numPr>
          <w:ilvl w:val="0"/>
          <w:numId w:val="22"/>
        </w:numPr>
        <w:tabs>
          <w:tab w:val="left" w:pos="2160"/>
        </w:tabs>
        <w:spacing w:after="0" w:line="240" w:lineRule="auto"/>
        <w:jc w:val="both"/>
        <w:rPr>
          <w:b/>
        </w:rPr>
      </w:pPr>
      <w:r w:rsidRPr="00166252">
        <w:rPr>
          <w:b/>
        </w:rPr>
        <w:t xml:space="preserve">Does HUD permit a waiver of </w:t>
      </w:r>
      <w:r w:rsidR="00226A16">
        <w:rPr>
          <w:b/>
        </w:rPr>
        <w:t>the STRMU 21-week cap</w:t>
      </w:r>
      <w:r w:rsidRPr="00166252">
        <w:rPr>
          <w:b/>
        </w:rPr>
        <w:t>?</w:t>
      </w:r>
    </w:p>
    <w:p w14:paraId="553B892E" w14:textId="45AEA7D2" w:rsidR="00A90BEA" w:rsidRPr="00A90BEA" w:rsidRDefault="00A22812" w:rsidP="00B76812">
      <w:pPr>
        <w:pStyle w:val="NoSpacing"/>
        <w:ind w:left="720"/>
      </w:pPr>
      <w:r>
        <w:t xml:space="preserve">HOPWA </w:t>
      </w:r>
      <w:r w:rsidR="00A90BEA">
        <w:t xml:space="preserve">regulations permit </w:t>
      </w:r>
      <w:r w:rsidR="00036C5C">
        <w:t>the HUD Assistant Secretary for Community Planning and Development</w:t>
      </w:r>
      <w:r w:rsidR="00A203D3">
        <w:t xml:space="preserve"> </w:t>
      </w:r>
      <w:r w:rsidR="00036C5C">
        <w:t xml:space="preserve">to grant a </w:t>
      </w:r>
      <w:r w:rsidR="00A90BEA">
        <w:t xml:space="preserve">case-by-case </w:t>
      </w:r>
      <w:r>
        <w:t>waiver to the STRMU 21-week cap</w:t>
      </w:r>
      <w:r w:rsidR="00036C5C">
        <w:t>.</w:t>
      </w:r>
      <w:r w:rsidR="00A90BEA">
        <w:t xml:space="preserve"> HUD approval is rare and extraordinary and should not be expected by anyone assisted under this program.</w:t>
      </w:r>
    </w:p>
    <w:p w14:paraId="2788FE08" w14:textId="175936DF" w:rsidR="00DC652A" w:rsidRDefault="00226A16" w:rsidP="00DA098E">
      <w:pPr>
        <w:numPr>
          <w:ilvl w:val="0"/>
          <w:numId w:val="22"/>
        </w:numPr>
        <w:spacing w:after="0" w:line="240" w:lineRule="auto"/>
        <w:jc w:val="both"/>
        <w:rPr>
          <w:b/>
        </w:rPr>
      </w:pPr>
      <w:r>
        <w:rPr>
          <w:b/>
        </w:rPr>
        <w:t>Are Project Sponsors required</w:t>
      </w:r>
      <w:r w:rsidR="00DC652A" w:rsidRPr="00166252">
        <w:rPr>
          <w:b/>
        </w:rPr>
        <w:t xml:space="preserve"> to </w:t>
      </w:r>
      <w:r>
        <w:rPr>
          <w:b/>
        </w:rPr>
        <w:t>establish</w:t>
      </w:r>
      <w:r w:rsidRPr="00166252">
        <w:rPr>
          <w:b/>
        </w:rPr>
        <w:t xml:space="preserve"> </w:t>
      </w:r>
      <w:r w:rsidR="00DC652A" w:rsidRPr="00166252">
        <w:rPr>
          <w:b/>
        </w:rPr>
        <w:t>an Annual STRMU Cap?</w:t>
      </w:r>
    </w:p>
    <w:p w14:paraId="4BDED6B8" w14:textId="7553CBEA" w:rsidR="00A90BEA" w:rsidRPr="00A90BEA" w:rsidRDefault="00A90BEA" w:rsidP="00A90BEA">
      <w:pPr>
        <w:pStyle w:val="ListParagraph"/>
        <w:spacing w:after="0"/>
        <w:jc w:val="both"/>
      </w:pPr>
      <w:r>
        <w:t>No.</w:t>
      </w:r>
      <w:r w:rsidR="00B75673">
        <w:t xml:space="preserve"> </w:t>
      </w:r>
      <w:r w:rsidR="00226A16">
        <w:t>Project Sponsors</w:t>
      </w:r>
      <w:r>
        <w:t xml:space="preserve"> may choose to set an Annual STRMU Cap based on available funds and clients’ needs.</w:t>
      </w:r>
    </w:p>
    <w:p w14:paraId="1A533717" w14:textId="5868FC87" w:rsidR="000035B2" w:rsidRPr="000035B2" w:rsidRDefault="000035B2" w:rsidP="00DA098E">
      <w:pPr>
        <w:pStyle w:val="ListParagraph"/>
        <w:numPr>
          <w:ilvl w:val="0"/>
          <w:numId w:val="22"/>
        </w:numPr>
        <w:spacing w:after="0" w:line="240" w:lineRule="auto"/>
        <w:jc w:val="both"/>
        <w:rPr>
          <w:b/>
        </w:rPr>
      </w:pPr>
      <w:r w:rsidRPr="000035B2">
        <w:rPr>
          <w:b/>
        </w:rPr>
        <w:t xml:space="preserve">Due to limited funds and with the approval of </w:t>
      </w:r>
      <w:r w:rsidR="00570DA0">
        <w:rPr>
          <w:b/>
        </w:rPr>
        <w:t>their AA</w:t>
      </w:r>
      <w:r w:rsidRPr="000035B2">
        <w:rPr>
          <w:b/>
        </w:rPr>
        <w:t>, can a Project Sponsor allocate only for STRMU?</w:t>
      </w:r>
    </w:p>
    <w:p w14:paraId="59DC382A" w14:textId="4EACADB2" w:rsidR="009E00C5" w:rsidRPr="009E00C5" w:rsidRDefault="009E00C5" w:rsidP="00B76812">
      <w:pPr>
        <w:pStyle w:val="NoSpacing"/>
        <w:ind w:left="720"/>
      </w:pPr>
      <w:r w:rsidRPr="009E00C5">
        <w:t xml:space="preserve">Project Sponsors must justify to </w:t>
      </w:r>
      <w:r w:rsidR="00570DA0">
        <w:t>their AA</w:t>
      </w:r>
      <w:r w:rsidRPr="009E00C5">
        <w:t xml:space="preserve"> the reason for providing only STRMU.</w:t>
      </w:r>
      <w:r w:rsidR="00B75673">
        <w:t xml:space="preserve"> </w:t>
      </w:r>
      <w:r w:rsidRPr="009E00C5">
        <w:t>For example, an acceptable justification may be that another organization is meeting the need for TBRA.</w:t>
      </w:r>
      <w:r w:rsidR="00B75673">
        <w:t xml:space="preserve"> </w:t>
      </w:r>
      <w:r w:rsidRPr="009E00C5">
        <w:t>Project Sponsors should not decide to provide only one service based on administrative purposes.</w:t>
      </w:r>
      <w:r w:rsidR="00B75673">
        <w:t xml:space="preserve"> </w:t>
      </w:r>
      <w:r w:rsidRPr="009E00C5">
        <w:t xml:space="preserve">The decision should be based on </w:t>
      </w:r>
      <w:r w:rsidR="003834C6">
        <w:t>local needs</w:t>
      </w:r>
      <w:r w:rsidRPr="009E00C5">
        <w:t>.</w:t>
      </w:r>
    </w:p>
    <w:p w14:paraId="6794AF7B" w14:textId="77777777" w:rsidR="00B86961" w:rsidRDefault="00B86961" w:rsidP="00DA098E">
      <w:pPr>
        <w:numPr>
          <w:ilvl w:val="0"/>
          <w:numId w:val="22"/>
        </w:numPr>
        <w:spacing w:after="0" w:line="240" w:lineRule="auto"/>
        <w:rPr>
          <w:b/>
        </w:rPr>
      </w:pPr>
      <w:r w:rsidRPr="00166252">
        <w:rPr>
          <w:b/>
        </w:rPr>
        <w:t>Can a Project Sponsor choose not to pay late and/or reconnect fees?</w:t>
      </w:r>
    </w:p>
    <w:p w14:paraId="04868A7F" w14:textId="1890A8F9" w:rsidR="009E00C5" w:rsidRPr="009E00C5" w:rsidRDefault="00E96179" w:rsidP="00E96186">
      <w:pPr>
        <w:pStyle w:val="NoSpacing"/>
        <w:ind w:left="720"/>
      </w:pPr>
      <w:r>
        <w:lastRenderedPageBreak/>
        <w:t>Yes. Note, i</w:t>
      </w:r>
      <w:r w:rsidR="009E00C5" w:rsidRPr="009E00C5">
        <w:t xml:space="preserve">f </w:t>
      </w:r>
      <w:r w:rsidR="002041B4">
        <w:t>a</w:t>
      </w:r>
      <w:r w:rsidR="002041B4" w:rsidRPr="009E00C5">
        <w:t xml:space="preserve"> </w:t>
      </w:r>
      <w:r w:rsidR="009E00C5" w:rsidRPr="009E00C5">
        <w:t>Project Sponsor</w:t>
      </w:r>
      <w:r>
        <w:t xml:space="preserve"> chooses to not pay late and/or reconnect fees for any households, the Project Sponsor must have a</w:t>
      </w:r>
      <w:r w:rsidR="009E00C5" w:rsidRPr="009E00C5">
        <w:t xml:space="preserve"> </w:t>
      </w:r>
      <w:r>
        <w:t xml:space="preserve">local program </w:t>
      </w:r>
      <w:r w:rsidR="009E00C5" w:rsidRPr="009E00C5">
        <w:t xml:space="preserve">policy stating that it will not pay late and/or reconnect fees </w:t>
      </w:r>
      <w:r>
        <w:t xml:space="preserve">and </w:t>
      </w:r>
      <w:r w:rsidR="005F4ECB">
        <w:t>their AA</w:t>
      </w:r>
      <w:r w:rsidR="00A95162">
        <w:t xml:space="preserve"> must approve it</w:t>
      </w:r>
      <w:r w:rsidR="009E00C5" w:rsidRPr="009E00C5">
        <w:t>.</w:t>
      </w:r>
      <w:r w:rsidR="002041B4">
        <w:t xml:space="preserve"> Project Sponsors should first consider the consequences of such a policy on their ability to</w:t>
      </w:r>
      <w:r w:rsidR="00AA747E">
        <w:t xml:space="preserve"> adequately</w:t>
      </w:r>
      <w:r w:rsidR="002041B4">
        <w:t xml:space="preserve"> prevent homelessness </w:t>
      </w:r>
      <w:r w:rsidR="00B10005">
        <w:t>and/</w:t>
      </w:r>
      <w:r w:rsidR="002041B4">
        <w:t>or facilitate access to housing.</w:t>
      </w:r>
    </w:p>
    <w:p w14:paraId="5FEF7C53" w14:textId="7A7B2D77" w:rsidR="00B86961" w:rsidRDefault="00B86961" w:rsidP="00DE48B8">
      <w:pPr>
        <w:numPr>
          <w:ilvl w:val="0"/>
          <w:numId w:val="22"/>
        </w:numPr>
        <w:spacing w:after="0" w:line="240" w:lineRule="auto"/>
        <w:rPr>
          <w:b/>
        </w:rPr>
      </w:pPr>
      <w:r w:rsidRPr="00166252">
        <w:rPr>
          <w:b/>
        </w:rPr>
        <w:t>Is a Project Sponsor required to allow assistance for security</w:t>
      </w:r>
      <w:r w:rsidR="00AE36E9">
        <w:rPr>
          <w:b/>
        </w:rPr>
        <w:t xml:space="preserve"> and utility</w:t>
      </w:r>
      <w:r w:rsidRPr="00166252">
        <w:rPr>
          <w:b/>
        </w:rPr>
        <w:t xml:space="preserve"> deposits?</w:t>
      </w:r>
    </w:p>
    <w:p w14:paraId="5006E5C9" w14:textId="28824CAC" w:rsidR="00415D07" w:rsidRDefault="00415D07" w:rsidP="00E96186">
      <w:pPr>
        <w:pStyle w:val="NoSpacing"/>
        <w:ind w:left="720"/>
      </w:pPr>
      <w:r w:rsidRPr="00415D07">
        <w:t>No.</w:t>
      </w:r>
      <w:r w:rsidR="00B75673">
        <w:t xml:space="preserve"> </w:t>
      </w:r>
      <w:r w:rsidR="00C33892">
        <w:t>Project</w:t>
      </w:r>
      <w:r w:rsidRPr="00415D07">
        <w:t xml:space="preserve"> Sponsor</w:t>
      </w:r>
      <w:r w:rsidR="00C33892">
        <w:t>s</w:t>
      </w:r>
      <w:r w:rsidRPr="00415D07">
        <w:t xml:space="preserve"> may choose to </w:t>
      </w:r>
      <w:r w:rsidR="00C33892">
        <w:t>provide PHP service</w:t>
      </w:r>
      <w:r w:rsidRPr="00415D07">
        <w:t xml:space="preserve">s based </w:t>
      </w:r>
      <w:r w:rsidR="00C33892">
        <w:t>on current program funds, the need for move-in assistance within their HSDA, and capacity to maintain accounting records for returned security</w:t>
      </w:r>
      <w:r w:rsidR="00AE36E9">
        <w:t xml:space="preserve"> and </w:t>
      </w:r>
      <w:r w:rsidR="00C33892">
        <w:t>utility deposits (“program income”).</w:t>
      </w:r>
    </w:p>
    <w:p w14:paraId="246730BD" w14:textId="113D8F3C" w:rsidR="00541817" w:rsidRDefault="00541817" w:rsidP="00DE48B8">
      <w:pPr>
        <w:numPr>
          <w:ilvl w:val="0"/>
          <w:numId w:val="22"/>
        </w:numPr>
        <w:spacing w:after="0" w:line="240" w:lineRule="auto"/>
        <w:rPr>
          <w:b/>
        </w:rPr>
      </w:pPr>
      <w:r>
        <w:rPr>
          <w:b/>
        </w:rPr>
        <w:t>If a household is receiving rental assistance (e.g., TBRA or TSH) and experiences an emergency event that forces them to leave the current unit</w:t>
      </w:r>
      <w:r w:rsidR="004A1919">
        <w:rPr>
          <w:b/>
        </w:rPr>
        <w:t xml:space="preserve"> (e.g., a disaster, prolonged utility outage, credible threats to safety, etc.), c</w:t>
      </w:r>
      <w:r>
        <w:rPr>
          <w:b/>
        </w:rPr>
        <w:t xml:space="preserve">an a Project Sponsor provide STSH for a hotel/motel stay </w:t>
      </w:r>
      <w:r w:rsidR="00E96186">
        <w:rPr>
          <w:b/>
        </w:rPr>
        <w:t>to</w:t>
      </w:r>
      <w:r w:rsidR="004A1919">
        <w:rPr>
          <w:b/>
        </w:rPr>
        <w:t xml:space="preserve"> prevent homelessness until the situation has resolved</w:t>
      </w:r>
      <w:r w:rsidRPr="00166252">
        <w:rPr>
          <w:b/>
        </w:rPr>
        <w:t>?</w:t>
      </w:r>
      <w:r w:rsidR="004A1919">
        <w:rPr>
          <w:b/>
        </w:rPr>
        <w:t xml:space="preserve"> </w:t>
      </w:r>
    </w:p>
    <w:p w14:paraId="253F18C0" w14:textId="74430F87" w:rsidR="004A1919" w:rsidRDefault="004A1919" w:rsidP="00DE48B8">
      <w:pPr>
        <w:spacing w:after="0" w:line="240" w:lineRule="auto"/>
        <w:ind w:left="720"/>
      </w:pPr>
      <w:r w:rsidRPr="004F1682">
        <w:t>Yes.</w:t>
      </w:r>
      <w:r>
        <w:t xml:space="preserve"> While dual rental assistance/emergency shelter payments for a household can constitute a duplication of services in some situations, it might be possible to provide this type of assistance</w:t>
      </w:r>
      <w:r w:rsidR="00516EB0">
        <w:t xml:space="preserve"> on a case-by-case basis </w:t>
      </w:r>
      <w:r>
        <w:t xml:space="preserve">depending upon the circumstances. HUD/HOPWA guidance </w:t>
      </w:r>
      <w:r w:rsidR="00A203D3">
        <w:t>clearly states</w:t>
      </w:r>
      <w:r>
        <w:t xml:space="preserve"> that an assisted household cannot receive both a rental </w:t>
      </w:r>
      <w:r w:rsidR="00E3086E">
        <w:t xml:space="preserve">assistance </w:t>
      </w:r>
      <w:r>
        <w:t xml:space="preserve">subsidy (HOPWA </w:t>
      </w:r>
      <w:r w:rsidR="00E3086E">
        <w:t>rental assistance</w:t>
      </w:r>
      <w:r>
        <w:t xml:space="preserve"> or another federal </w:t>
      </w:r>
      <w:r w:rsidR="00E3086E">
        <w:t xml:space="preserve">rental assistance </w:t>
      </w:r>
      <w:r>
        <w:t>subsidy such as Section 8/HCV</w:t>
      </w:r>
      <w:r w:rsidR="005A7294">
        <w:t>P</w:t>
      </w:r>
      <w:r>
        <w:t>) and emergency assistance, including hotel/motel assistance</w:t>
      </w:r>
      <w:r w:rsidR="00E3086E">
        <w:t>,</w:t>
      </w:r>
      <w:r>
        <w:t xml:space="preserve"> at the same time. However, if a </w:t>
      </w:r>
      <w:r w:rsidR="00E3086E">
        <w:t>household receiving rental assistance</w:t>
      </w:r>
      <w:r>
        <w:t xml:space="preserve"> must leave the </w:t>
      </w:r>
      <w:r w:rsidR="00740B95">
        <w:t>assisted</w:t>
      </w:r>
      <w:r>
        <w:t xml:space="preserve"> unit</w:t>
      </w:r>
      <w:r w:rsidR="00740B95">
        <w:t xml:space="preserve"> due to an emergency event</w:t>
      </w:r>
      <w:r>
        <w:t xml:space="preserve"> and </w:t>
      </w:r>
      <w:r w:rsidR="00740B95">
        <w:t>temporarily reside</w:t>
      </w:r>
      <w:r>
        <w:t xml:space="preserve"> in a hotel/motel to prevent homel</w:t>
      </w:r>
      <w:r w:rsidR="00E3086E">
        <w:t>essness, this would not constitute any d</w:t>
      </w:r>
      <w:r>
        <w:t>uplication of assistance.</w:t>
      </w:r>
      <w:r w:rsidR="00E3086E">
        <w:t xml:space="preserve"> </w:t>
      </w:r>
      <w:r w:rsidR="00516EB0">
        <w:t xml:space="preserve">If a Project Sponsor will utilize this option, they must consult with </w:t>
      </w:r>
      <w:r w:rsidR="00570DA0">
        <w:t>their AA</w:t>
      </w:r>
      <w:r w:rsidR="00516EB0">
        <w:t xml:space="preserve"> and </w:t>
      </w:r>
      <w:r w:rsidR="00570DA0">
        <w:t>their AA</w:t>
      </w:r>
      <w:r w:rsidR="00516EB0">
        <w:t xml:space="preserve"> must consult with DSHS. DSHS will provide written approval</w:t>
      </w:r>
      <w:r w:rsidR="000C1128">
        <w:t>/denial</w:t>
      </w:r>
      <w:r w:rsidR="00516EB0">
        <w:t xml:space="preserve"> to the AA and Project Sponsor via email </w:t>
      </w:r>
      <w:r w:rsidR="00A203D3">
        <w:t>for inclusion</w:t>
      </w:r>
      <w:r w:rsidR="00516EB0">
        <w:t xml:space="preserve"> in the household’s record. </w:t>
      </w:r>
      <w:r w:rsidR="000C1128">
        <w:t xml:space="preserve">If approved by DSHS, </w:t>
      </w:r>
      <w:r w:rsidR="00740B95">
        <w:t>a</w:t>
      </w:r>
      <w:r w:rsidR="00740B95" w:rsidRPr="00740B95">
        <w:t xml:space="preserve"> </w:t>
      </w:r>
      <w:r w:rsidR="00740B95">
        <w:t xml:space="preserve">Project Sponsor should include </w:t>
      </w:r>
      <w:r>
        <w:t xml:space="preserve">documentation of the circumstances </w:t>
      </w:r>
      <w:r w:rsidR="00740B95">
        <w:t>and carefully explain</w:t>
      </w:r>
      <w:r>
        <w:t xml:space="preserve"> the need for </w:t>
      </w:r>
      <w:r w:rsidR="00E3086E">
        <w:t>emergency shelter</w:t>
      </w:r>
      <w:r>
        <w:t xml:space="preserve"> to avoid homelessness</w:t>
      </w:r>
      <w:r w:rsidR="00516EB0">
        <w:t xml:space="preserve"> in the household’s case notes or on letterhead</w:t>
      </w:r>
      <w:r w:rsidR="00E3086E">
        <w:t>.</w:t>
      </w:r>
      <w:r>
        <w:t xml:space="preserve"> </w:t>
      </w:r>
      <w:r w:rsidR="00E3086E">
        <w:t>I</w:t>
      </w:r>
      <w:r>
        <w:t xml:space="preserve">f, for any reason, a </w:t>
      </w:r>
      <w:r w:rsidR="00E3086E">
        <w:t>household receiving rental assistance</w:t>
      </w:r>
      <w:r>
        <w:t xml:space="preserve"> cannot remain in their current unit due to an action</w:t>
      </w:r>
      <w:r w:rsidR="00516EB0">
        <w:t>/inaction of</w:t>
      </w:r>
      <w:r>
        <w:t xml:space="preserve"> the</w:t>
      </w:r>
      <w:r w:rsidR="00516EB0">
        <w:t xml:space="preserve"> </w:t>
      </w:r>
      <w:r>
        <w:t xml:space="preserve">owner, </w:t>
      </w:r>
      <w:r w:rsidR="00740B95">
        <w:t>a</w:t>
      </w:r>
      <w:r w:rsidR="00E3086E">
        <w:t xml:space="preserve"> Project Sponsor should obtain</w:t>
      </w:r>
      <w:r>
        <w:t xml:space="preserve"> a legal review of </w:t>
      </w:r>
      <w:r w:rsidR="00740B95">
        <w:t xml:space="preserve">the </w:t>
      </w:r>
      <w:r>
        <w:t>owner</w:t>
      </w:r>
      <w:r w:rsidR="00740B95">
        <w:t>’s</w:t>
      </w:r>
      <w:r>
        <w:t xml:space="preserve"> responsibilities outlined in the lease.</w:t>
      </w:r>
    </w:p>
    <w:p w14:paraId="3381D029" w14:textId="6EDC79DF" w:rsidR="002014C7" w:rsidRDefault="002014C7" w:rsidP="00DE48B8">
      <w:pPr>
        <w:numPr>
          <w:ilvl w:val="0"/>
          <w:numId w:val="22"/>
        </w:numPr>
        <w:spacing w:after="0" w:line="240" w:lineRule="auto"/>
        <w:rPr>
          <w:b/>
        </w:rPr>
      </w:pPr>
      <w:r>
        <w:rPr>
          <w:b/>
        </w:rPr>
        <w:t>Which program activities are subject to Housing Quality Standards</w:t>
      </w:r>
      <w:r w:rsidR="009A512F">
        <w:rPr>
          <w:b/>
        </w:rPr>
        <w:t xml:space="preserve"> (HQS)</w:t>
      </w:r>
      <w:r>
        <w:rPr>
          <w:b/>
        </w:rPr>
        <w:t>?</w:t>
      </w:r>
    </w:p>
    <w:p w14:paraId="5194CE98" w14:textId="6A092719" w:rsidR="002014C7" w:rsidRDefault="002014C7" w:rsidP="00DE48B8">
      <w:pPr>
        <w:spacing w:after="0" w:line="240" w:lineRule="auto"/>
        <w:ind w:left="720"/>
        <w:rPr>
          <w:bCs/>
        </w:rPr>
      </w:pPr>
      <w:r w:rsidRPr="002014C7">
        <w:rPr>
          <w:bCs/>
        </w:rPr>
        <w:t xml:space="preserve">All housing assisted under </w:t>
      </w:r>
      <w:r w:rsidR="009A512F">
        <w:rPr>
          <w:bCs/>
        </w:rPr>
        <w:t xml:space="preserve">24 CFR </w:t>
      </w:r>
      <w:r w:rsidRPr="002014C7">
        <w:rPr>
          <w:bCs/>
        </w:rPr>
        <w:t>§574.300(b)(3),(4),(5),</w:t>
      </w:r>
      <w:r>
        <w:rPr>
          <w:bCs/>
        </w:rPr>
        <w:t xml:space="preserve"> </w:t>
      </w:r>
      <w:r w:rsidRPr="002014C7">
        <w:rPr>
          <w:bCs/>
        </w:rPr>
        <w:t xml:space="preserve">and (8) must meet </w:t>
      </w:r>
      <w:r w:rsidR="009A512F">
        <w:rPr>
          <w:bCs/>
        </w:rPr>
        <w:t>HQS</w:t>
      </w:r>
      <w:r w:rsidRPr="002014C7">
        <w:rPr>
          <w:bCs/>
        </w:rPr>
        <w:t>.</w:t>
      </w:r>
      <w:r w:rsidR="003D6F38">
        <w:rPr>
          <w:bCs/>
        </w:rPr>
        <w:t xml:space="preserve"> This includes:</w:t>
      </w:r>
    </w:p>
    <w:p w14:paraId="73FC69E7" w14:textId="289CC877" w:rsidR="009A512F" w:rsidRDefault="009A512F" w:rsidP="00DE48B8">
      <w:pPr>
        <w:pStyle w:val="ListParagraph"/>
        <w:numPr>
          <w:ilvl w:val="0"/>
          <w:numId w:val="161"/>
        </w:numPr>
        <w:spacing w:after="0" w:line="240" w:lineRule="auto"/>
        <w:ind w:left="1170"/>
        <w:rPr>
          <w:bCs/>
        </w:rPr>
      </w:pPr>
      <w:r>
        <w:rPr>
          <w:bCs/>
        </w:rPr>
        <w:t xml:space="preserve">3: </w:t>
      </w:r>
      <w:r w:rsidRPr="009A512F">
        <w:rPr>
          <w:bCs/>
        </w:rPr>
        <w:t>Acquisition, rehabilitation, conversion, lease, and repair of facilities to provide housing and services</w:t>
      </w:r>
      <w:r>
        <w:rPr>
          <w:bCs/>
        </w:rPr>
        <w:t>;</w:t>
      </w:r>
    </w:p>
    <w:p w14:paraId="3695A933" w14:textId="3FAF6664" w:rsidR="009A512F" w:rsidRDefault="009A512F" w:rsidP="009A512F">
      <w:pPr>
        <w:pStyle w:val="ListParagraph"/>
        <w:numPr>
          <w:ilvl w:val="0"/>
          <w:numId w:val="161"/>
        </w:numPr>
        <w:spacing w:after="0" w:line="240" w:lineRule="auto"/>
        <w:ind w:left="1170"/>
        <w:jc w:val="both"/>
        <w:rPr>
          <w:bCs/>
        </w:rPr>
      </w:pPr>
      <w:r>
        <w:rPr>
          <w:bCs/>
        </w:rPr>
        <w:t xml:space="preserve">4: </w:t>
      </w:r>
      <w:r w:rsidRPr="009A512F">
        <w:rPr>
          <w:bCs/>
        </w:rPr>
        <w:t>New construction (for single room occupancy (SRO) dwellings and community residences only)</w:t>
      </w:r>
      <w:r>
        <w:rPr>
          <w:bCs/>
        </w:rPr>
        <w:t>;</w:t>
      </w:r>
    </w:p>
    <w:p w14:paraId="781B7720" w14:textId="68D4187D" w:rsidR="009A512F" w:rsidRDefault="009A512F" w:rsidP="009A512F">
      <w:pPr>
        <w:pStyle w:val="ListParagraph"/>
        <w:numPr>
          <w:ilvl w:val="0"/>
          <w:numId w:val="161"/>
        </w:numPr>
        <w:spacing w:after="0" w:line="240" w:lineRule="auto"/>
        <w:ind w:left="1170"/>
        <w:jc w:val="both"/>
        <w:rPr>
          <w:bCs/>
        </w:rPr>
      </w:pPr>
      <w:r>
        <w:rPr>
          <w:bCs/>
        </w:rPr>
        <w:t xml:space="preserve">5: </w:t>
      </w:r>
      <w:r w:rsidRPr="009A512F">
        <w:rPr>
          <w:bCs/>
        </w:rPr>
        <w:t>Project- or tenant-based rental assistance, including assistance for shared housing arrangements;</w:t>
      </w:r>
      <w:r>
        <w:rPr>
          <w:bCs/>
        </w:rPr>
        <w:t xml:space="preserve"> and</w:t>
      </w:r>
    </w:p>
    <w:p w14:paraId="7956F64E" w14:textId="295D44B0" w:rsidR="009A512F" w:rsidRDefault="009A512F" w:rsidP="00DE48B8">
      <w:pPr>
        <w:pStyle w:val="ListParagraph"/>
        <w:numPr>
          <w:ilvl w:val="0"/>
          <w:numId w:val="161"/>
        </w:numPr>
        <w:spacing w:after="0" w:line="240" w:lineRule="auto"/>
        <w:ind w:left="1170"/>
        <w:rPr>
          <w:bCs/>
        </w:rPr>
      </w:pPr>
      <w:r>
        <w:rPr>
          <w:bCs/>
        </w:rPr>
        <w:t>8:</w:t>
      </w:r>
      <w:r w:rsidRPr="009A512F">
        <w:t xml:space="preserve"> </w:t>
      </w:r>
      <w:r w:rsidRPr="009A512F">
        <w:rPr>
          <w:bCs/>
        </w:rPr>
        <w:t>Operating costs for housing including maintenance, security, operation, insurance, utilities, furnishings, equipment, supplies, and other incidental costs</w:t>
      </w:r>
      <w:r>
        <w:rPr>
          <w:bCs/>
        </w:rPr>
        <w:t>.</w:t>
      </w:r>
    </w:p>
    <w:p w14:paraId="7A20CCCE" w14:textId="52C1B804" w:rsidR="009A512F" w:rsidRPr="00DE48B8" w:rsidRDefault="003D6F38" w:rsidP="00DE48B8">
      <w:pPr>
        <w:pStyle w:val="ListParagraph"/>
        <w:spacing w:after="0" w:line="240" w:lineRule="auto"/>
        <w:rPr>
          <w:bCs/>
        </w:rPr>
      </w:pPr>
      <w:r w:rsidRPr="003D6F38">
        <w:rPr>
          <w:bCs/>
        </w:rPr>
        <w:t xml:space="preserve">TBRA and FBHA </w:t>
      </w:r>
      <w:r>
        <w:rPr>
          <w:bCs/>
        </w:rPr>
        <w:t xml:space="preserve">(both STSH and TSH) </w:t>
      </w:r>
      <w:r w:rsidRPr="003D6F38">
        <w:rPr>
          <w:bCs/>
        </w:rPr>
        <w:t xml:space="preserve">units must be inspected. </w:t>
      </w:r>
      <w:r>
        <w:rPr>
          <w:bCs/>
        </w:rPr>
        <w:t xml:space="preserve">Broadly, DSHS-authorized FBHA activities could include leasing, operating, project-based rental assistance, and/or master-leasing (which falls under leasing). Therefore, all DSHS-authorized FBHA activities are subject to HQS. </w:t>
      </w:r>
      <w:r w:rsidRPr="003D6F38">
        <w:rPr>
          <w:bCs/>
        </w:rPr>
        <w:t xml:space="preserve">STRMU and PHP units </w:t>
      </w:r>
      <w:r>
        <w:rPr>
          <w:bCs/>
        </w:rPr>
        <w:t xml:space="preserve">generally </w:t>
      </w:r>
      <w:r w:rsidRPr="003D6F38">
        <w:rPr>
          <w:bCs/>
        </w:rPr>
        <w:t>do not require inspections, but</w:t>
      </w:r>
      <w:r w:rsidR="00C36376">
        <w:rPr>
          <w:bCs/>
        </w:rPr>
        <w:t xml:space="preserve"> </w:t>
      </w:r>
      <w:r w:rsidRPr="003D6F38">
        <w:rPr>
          <w:bCs/>
        </w:rPr>
        <w:t>households must certify their housing meets all standards and requirements.</w:t>
      </w:r>
      <w:r>
        <w:rPr>
          <w:bCs/>
        </w:rPr>
        <w:t xml:space="preserve"> Please see Section 10: Housing Quality Standards for additional information.</w:t>
      </w:r>
    </w:p>
    <w:p w14:paraId="30CA11E1" w14:textId="5C4C0A9B" w:rsidR="00FA34D3" w:rsidRDefault="00603C83" w:rsidP="00DE48B8">
      <w:pPr>
        <w:numPr>
          <w:ilvl w:val="0"/>
          <w:numId w:val="22"/>
        </w:numPr>
        <w:spacing w:after="0" w:line="240" w:lineRule="auto"/>
        <w:rPr>
          <w:b/>
        </w:rPr>
      </w:pPr>
      <w:r>
        <w:rPr>
          <w:b/>
        </w:rPr>
        <w:t>A</w:t>
      </w:r>
      <w:r w:rsidRPr="00603C83">
        <w:rPr>
          <w:b/>
        </w:rPr>
        <w:t xml:space="preserve"> household is currently </w:t>
      </w:r>
      <w:r>
        <w:rPr>
          <w:b/>
        </w:rPr>
        <w:t xml:space="preserve">enrolled in the HOPWA program and receiving rental assistance services (in this case, TBRA). The household has </w:t>
      </w:r>
      <w:r w:rsidR="003D581F">
        <w:rPr>
          <w:b/>
        </w:rPr>
        <w:t>received a</w:t>
      </w:r>
      <w:r>
        <w:rPr>
          <w:b/>
        </w:rPr>
        <w:t xml:space="preserve"> </w:t>
      </w:r>
      <w:r w:rsidR="005A7294">
        <w:rPr>
          <w:b/>
        </w:rPr>
        <w:t>voucher from the HCVP</w:t>
      </w:r>
      <w:r w:rsidRPr="00603C83">
        <w:rPr>
          <w:b/>
        </w:rPr>
        <w:t xml:space="preserve"> </w:t>
      </w:r>
      <w:r>
        <w:rPr>
          <w:b/>
        </w:rPr>
        <w:t xml:space="preserve">and must find a suitable unit before their voucher </w:t>
      </w:r>
      <w:r w:rsidR="004B7598">
        <w:rPr>
          <w:b/>
        </w:rPr>
        <w:t xml:space="preserve">term </w:t>
      </w:r>
      <w:r>
        <w:rPr>
          <w:b/>
        </w:rPr>
        <w:t>expires</w:t>
      </w:r>
      <w:r w:rsidRPr="00603C83">
        <w:rPr>
          <w:b/>
        </w:rPr>
        <w:t xml:space="preserve">. If their current unit does not qualify for </w:t>
      </w:r>
      <w:r w:rsidR="005A7294">
        <w:rPr>
          <w:b/>
        </w:rPr>
        <w:t xml:space="preserve">the HCVP </w:t>
      </w:r>
      <w:r w:rsidR="003D581F">
        <w:rPr>
          <w:b/>
        </w:rPr>
        <w:t xml:space="preserve">(although it should since the requirements for TBRA and </w:t>
      </w:r>
      <w:r w:rsidR="005A7294">
        <w:rPr>
          <w:b/>
        </w:rPr>
        <w:t xml:space="preserve">the HCVP </w:t>
      </w:r>
      <w:r w:rsidR="003D581F">
        <w:rPr>
          <w:b/>
        </w:rPr>
        <w:t>are similar)</w:t>
      </w:r>
      <w:r w:rsidRPr="00603C83">
        <w:rPr>
          <w:b/>
        </w:rPr>
        <w:t xml:space="preserve">, </w:t>
      </w:r>
      <w:r w:rsidR="003D581F">
        <w:rPr>
          <w:b/>
        </w:rPr>
        <w:t xml:space="preserve">then </w:t>
      </w:r>
      <w:r w:rsidRPr="00603C83">
        <w:rPr>
          <w:b/>
        </w:rPr>
        <w:t xml:space="preserve">they would have to </w:t>
      </w:r>
      <w:r>
        <w:rPr>
          <w:b/>
        </w:rPr>
        <w:t>move</w:t>
      </w:r>
      <w:r w:rsidRPr="00603C83">
        <w:rPr>
          <w:b/>
        </w:rPr>
        <w:t xml:space="preserve">. </w:t>
      </w:r>
      <w:r>
        <w:rPr>
          <w:b/>
        </w:rPr>
        <w:t>This</w:t>
      </w:r>
      <w:r w:rsidRPr="00603C83">
        <w:rPr>
          <w:b/>
        </w:rPr>
        <w:t xml:space="preserve"> would entail breaking their current lease and selecting a different unit.</w:t>
      </w:r>
      <w:r w:rsidR="003D581F">
        <w:rPr>
          <w:b/>
        </w:rPr>
        <w:t xml:space="preserve"> T</w:t>
      </w:r>
      <w:r w:rsidRPr="00603C83">
        <w:rPr>
          <w:b/>
        </w:rPr>
        <w:t xml:space="preserve">he owner of the </w:t>
      </w:r>
      <w:r w:rsidR="003D581F">
        <w:rPr>
          <w:b/>
        </w:rPr>
        <w:t>HOPWA-assisted</w:t>
      </w:r>
      <w:r w:rsidRPr="00603C83">
        <w:rPr>
          <w:b/>
        </w:rPr>
        <w:t xml:space="preserve"> unit </w:t>
      </w:r>
      <w:r w:rsidR="003D581F">
        <w:rPr>
          <w:b/>
        </w:rPr>
        <w:t>stated</w:t>
      </w:r>
      <w:r w:rsidRPr="00603C83">
        <w:rPr>
          <w:b/>
        </w:rPr>
        <w:t xml:space="preserve"> that the penalty for breaking the lease would cost approximately $3,000.</w:t>
      </w:r>
      <w:r>
        <w:rPr>
          <w:b/>
        </w:rPr>
        <w:t xml:space="preserve"> </w:t>
      </w:r>
      <w:r w:rsidRPr="00603C83">
        <w:rPr>
          <w:b/>
        </w:rPr>
        <w:t xml:space="preserve">If a household must break their </w:t>
      </w:r>
      <w:r w:rsidR="003D581F">
        <w:rPr>
          <w:b/>
        </w:rPr>
        <w:t xml:space="preserve">current </w:t>
      </w:r>
      <w:r w:rsidRPr="00603C83">
        <w:rPr>
          <w:b/>
        </w:rPr>
        <w:t xml:space="preserve">lease </w:t>
      </w:r>
      <w:r w:rsidR="00E96186" w:rsidRPr="00603C83">
        <w:rPr>
          <w:b/>
        </w:rPr>
        <w:t>to</w:t>
      </w:r>
      <w:r w:rsidRPr="00603C83">
        <w:rPr>
          <w:b/>
        </w:rPr>
        <w:t xml:space="preserve"> transition from </w:t>
      </w:r>
      <w:r w:rsidR="003D581F">
        <w:rPr>
          <w:b/>
        </w:rPr>
        <w:t>HOPWA</w:t>
      </w:r>
      <w:r w:rsidRPr="00603C83">
        <w:rPr>
          <w:b/>
        </w:rPr>
        <w:t xml:space="preserve"> to </w:t>
      </w:r>
      <w:r w:rsidR="005A7294">
        <w:rPr>
          <w:b/>
        </w:rPr>
        <w:t>the HCVP</w:t>
      </w:r>
      <w:r w:rsidRPr="00603C83">
        <w:rPr>
          <w:b/>
        </w:rPr>
        <w:t xml:space="preserve">, can PHP pay penalties for breaking the current lease in the interest </w:t>
      </w:r>
      <w:r w:rsidR="004B7598">
        <w:rPr>
          <w:b/>
        </w:rPr>
        <w:t xml:space="preserve">of </w:t>
      </w:r>
      <w:r w:rsidR="005A4EC4">
        <w:rPr>
          <w:b/>
        </w:rPr>
        <w:t>1) securing</w:t>
      </w:r>
      <w:r w:rsidR="005A4EC4" w:rsidRPr="008A60D8">
        <w:rPr>
          <w:b/>
        </w:rPr>
        <w:t xml:space="preserve"> </w:t>
      </w:r>
      <w:r w:rsidR="005A4EC4">
        <w:rPr>
          <w:b/>
        </w:rPr>
        <w:t xml:space="preserve">a </w:t>
      </w:r>
      <w:r w:rsidR="005A4EC4" w:rsidRPr="008A60D8">
        <w:rPr>
          <w:b/>
        </w:rPr>
        <w:t xml:space="preserve">new permanent </w:t>
      </w:r>
      <w:r w:rsidR="005A4EC4">
        <w:rPr>
          <w:b/>
        </w:rPr>
        <w:t>residence</w:t>
      </w:r>
      <w:r w:rsidR="00FA52E3">
        <w:rPr>
          <w:b/>
        </w:rPr>
        <w:t xml:space="preserve"> with a reasonable expectation their occupancy will continue</w:t>
      </w:r>
      <w:r w:rsidR="005A4EC4">
        <w:rPr>
          <w:b/>
        </w:rPr>
        <w:t xml:space="preserve"> while 2) </w:t>
      </w:r>
      <w:r w:rsidR="004B7598">
        <w:rPr>
          <w:b/>
        </w:rPr>
        <w:t xml:space="preserve">averting </w:t>
      </w:r>
      <w:r w:rsidR="005A4EC4">
        <w:rPr>
          <w:b/>
        </w:rPr>
        <w:t>a n</w:t>
      </w:r>
      <w:r w:rsidR="00220FCB">
        <w:rPr>
          <w:b/>
        </w:rPr>
        <w:t xml:space="preserve">egative </w:t>
      </w:r>
      <w:r w:rsidR="004B7598">
        <w:rPr>
          <w:b/>
        </w:rPr>
        <w:t>impact</w:t>
      </w:r>
      <w:r w:rsidR="00220FCB">
        <w:rPr>
          <w:b/>
        </w:rPr>
        <w:t xml:space="preserve"> </w:t>
      </w:r>
      <w:r w:rsidR="004B7598">
        <w:rPr>
          <w:b/>
        </w:rPr>
        <w:t>to</w:t>
      </w:r>
      <w:r w:rsidR="00220FCB">
        <w:rPr>
          <w:b/>
        </w:rPr>
        <w:t xml:space="preserve"> </w:t>
      </w:r>
      <w:r w:rsidR="005A4EC4">
        <w:rPr>
          <w:b/>
        </w:rPr>
        <w:t>the household’s</w:t>
      </w:r>
      <w:r w:rsidR="00220FCB">
        <w:rPr>
          <w:b/>
        </w:rPr>
        <w:t xml:space="preserve"> </w:t>
      </w:r>
      <w:r w:rsidR="003D581F">
        <w:rPr>
          <w:b/>
        </w:rPr>
        <w:t>rental history</w:t>
      </w:r>
      <w:r w:rsidRPr="00603C83">
        <w:rPr>
          <w:b/>
        </w:rPr>
        <w:t>?</w:t>
      </w:r>
    </w:p>
    <w:p w14:paraId="299F7924" w14:textId="559C4468" w:rsidR="00FA34D3" w:rsidRPr="004F1682" w:rsidRDefault="003D581F" w:rsidP="00DE48B8">
      <w:pPr>
        <w:spacing w:after="0" w:line="240" w:lineRule="auto"/>
        <w:ind w:left="720"/>
      </w:pPr>
      <w:r>
        <w:t>No. B</w:t>
      </w:r>
      <w:r w:rsidRPr="003D581F">
        <w:t xml:space="preserve">reaking and buying out the remainder of a lease agreement is not an eligible </w:t>
      </w:r>
      <w:r>
        <w:t>PHP</w:t>
      </w:r>
      <w:r w:rsidRPr="003D581F">
        <w:t xml:space="preserve"> cost, nor an eligible cost under any other HOPWA activity. </w:t>
      </w:r>
      <w:r>
        <w:t>The Project Sponsor should work</w:t>
      </w:r>
      <w:r w:rsidRPr="003D581F">
        <w:t xml:space="preserve"> closely with the </w:t>
      </w:r>
      <w:r w:rsidR="00220FCB">
        <w:t xml:space="preserve">household and the </w:t>
      </w:r>
      <w:r w:rsidR="005A7294">
        <w:t>HCVP</w:t>
      </w:r>
      <w:r w:rsidRPr="003D581F">
        <w:t xml:space="preserve"> to help ensure the current unit meets </w:t>
      </w:r>
      <w:r w:rsidR="005A7294">
        <w:t xml:space="preserve">HCVP </w:t>
      </w:r>
      <w:r w:rsidR="00220FCB">
        <w:t xml:space="preserve">requirements. The Project Sponsor should also </w:t>
      </w:r>
      <w:r w:rsidR="00B61177">
        <w:t>inquire about the</w:t>
      </w:r>
      <w:r w:rsidRPr="003D581F">
        <w:t xml:space="preserve"> </w:t>
      </w:r>
      <w:proofErr w:type="spellStart"/>
      <w:r w:rsidR="00220FCB">
        <w:t>HCV</w:t>
      </w:r>
      <w:r w:rsidR="005A7294">
        <w:t>P</w:t>
      </w:r>
      <w:r w:rsidR="00220FCB">
        <w:t>’s</w:t>
      </w:r>
      <w:proofErr w:type="spellEnd"/>
      <w:r w:rsidRPr="003D581F">
        <w:t xml:space="preserve"> policy </w:t>
      </w:r>
      <w:r w:rsidR="00B61177">
        <w:t>for</w:t>
      </w:r>
      <w:r w:rsidRPr="003D581F">
        <w:t xml:space="preserve"> requesting an extension to the initial voucher </w:t>
      </w:r>
      <w:r w:rsidR="00E96186">
        <w:t xml:space="preserve">search </w:t>
      </w:r>
      <w:r w:rsidRPr="003D581F">
        <w:t>term</w:t>
      </w:r>
      <w:r w:rsidR="00E96186">
        <w:t xml:space="preserve"> if necessary</w:t>
      </w:r>
      <w:r w:rsidRPr="003D581F">
        <w:t>.</w:t>
      </w:r>
      <w:r w:rsidR="00E96186">
        <w:t xml:space="preserve"> Additionally, the household may request an extension to the initial voucher search term as a reasonable accommodation for a person with disabilities even after the voucher term expires.</w:t>
      </w:r>
    </w:p>
    <w:p w14:paraId="5FDC727F" w14:textId="75CEB3A9" w:rsidR="007E2A00" w:rsidRPr="00166252" w:rsidRDefault="007E2A00" w:rsidP="00F211C9">
      <w:pPr>
        <w:pStyle w:val="Quote"/>
      </w:pPr>
      <w:r w:rsidRPr="00166252">
        <w:lastRenderedPageBreak/>
        <w:t>Household</w:t>
      </w:r>
      <w:r w:rsidR="00F211C9">
        <w:t xml:space="preserve"> Composition</w:t>
      </w:r>
      <w:r w:rsidRPr="00166252">
        <w:t xml:space="preserve"> and Shared Housing Arrangements</w:t>
      </w:r>
    </w:p>
    <w:p w14:paraId="67F13891" w14:textId="1CAF747C" w:rsidR="007E2A00" w:rsidRDefault="001B10C3" w:rsidP="00E96186">
      <w:pPr>
        <w:pStyle w:val="NoSpacing"/>
        <w:numPr>
          <w:ilvl w:val="0"/>
          <w:numId w:val="22"/>
        </w:numPr>
        <w:rPr>
          <w:b/>
        </w:rPr>
      </w:pPr>
      <w:r>
        <w:rPr>
          <w:b/>
        </w:rPr>
        <w:t>What is the difference between the client household and roommate households</w:t>
      </w:r>
      <w:r w:rsidR="007E2A00" w:rsidRPr="00166252">
        <w:rPr>
          <w:b/>
        </w:rPr>
        <w:t>?</w:t>
      </w:r>
    </w:p>
    <w:p w14:paraId="6C06BA36" w14:textId="6EACF5A7" w:rsidR="007E2A00" w:rsidRPr="00EC6087" w:rsidRDefault="0000403F" w:rsidP="00E96186">
      <w:pPr>
        <w:pStyle w:val="NoSpacing"/>
        <w:ind w:left="720"/>
      </w:pPr>
      <w:r w:rsidRPr="00340514">
        <w:t>A roommate relationship</w:t>
      </w:r>
      <w:r>
        <w:t xml:space="preserve"> (shared housing arrangement)</w:t>
      </w:r>
      <w:r w:rsidRPr="00340514">
        <w:t xml:space="preserve"> is established for the purposes of sharing rent and </w:t>
      </w:r>
      <w:r>
        <w:t>utilities</w:t>
      </w:r>
      <w:r w:rsidRPr="00340514">
        <w:t xml:space="preserve"> in return for receiving a share of the space available.</w:t>
      </w:r>
      <w:r>
        <w:t xml:space="preserve"> </w:t>
      </w:r>
      <w:r w:rsidR="00C33892" w:rsidRPr="00C33892">
        <w:t>In shared housing arrangements</w:t>
      </w:r>
      <w:r>
        <w:t xml:space="preserve">, </w:t>
      </w:r>
      <w:r w:rsidR="00100DB8" w:rsidRPr="00100DB8">
        <w:t xml:space="preserve">two or more unrelated households </w:t>
      </w:r>
      <w:r w:rsidR="00206548">
        <w:t xml:space="preserve">voluntarily </w:t>
      </w:r>
      <w:r w:rsidR="00100DB8" w:rsidRPr="00100DB8">
        <w:t>live together in a unit</w:t>
      </w:r>
      <w:r>
        <w:t>.</w:t>
      </w:r>
      <w:r w:rsidRPr="0000403F">
        <w:t xml:space="preserve"> </w:t>
      </w:r>
      <w:r>
        <w:t xml:space="preserve">Applicant households must </w:t>
      </w:r>
      <w:r w:rsidRPr="00340514">
        <w:t xml:space="preserve">identify </w:t>
      </w:r>
      <w:r>
        <w:t>their household members during initial eligibility certifications and interim and annual eligibility recertifications</w:t>
      </w:r>
      <w:r w:rsidRPr="00340514">
        <w:t xml:space="preserve">. </w:t>
      </w:r>
      <w:r>
        <w:t>Household membership is defined by the household, not by blood or marital relationships.</w:t>
      </w:r>
    </w:p>
    <w:p w14:paraId="2027A27E" w14:textId="203B5830" w:rsidR="007E2A00" w:rsidRDefault="007E2A00" w:rsidP="00E96186">
      <w:pPr>
        <w:pStyle w:val="NoSpacing"/>
        <w:numPr>
          <w:ilvl w:val="0"/>
          <w:numId w:val="22"/>
        </w:numPr>
        <w:rPr>
          <w:b/>
        </w:rPr>
      </w:pPr>
      <w:r w:rsidRPr="00166252">
        <w:rPr>
          <w:b/>
        </w:rPr>
        <w:t xml:space="preserve">Can a </w:t>
      </w:r>
      <w:r w:rsidR="00474081">
        <w:rPr>
          <w:b/>
        </w:rPr>
        <w:t>household</w:t>
      </w:r>
      <w:r w:rsidR="00474081" w:rsidRPr="00166252">
        <w:rPr>
          <w:b/>
        </w:rPr>
        <w:t xml:space="preserve"> </w:t>
      </w:r>
      <w:r w:rsidRPr="00166252">
        <w:rPr>
          <w:b/>
        </w:rPr>
        <w:t>rent a room</w:t>
      </w:r>
      <w:r w:rsidR="00390A31">
        <w:rPr>
          <w:b/>
        </w:rPr>
        <w:t xml:space="preserve"> or property</w:t>
      </w:r>
      <w:r w:rsidRPr="00166252">
        <w:rPr>
          <w:b/>
        </w:rPr>
        <w:t xml:space="preserve"> from family?</w:t>
      </w:r>
    </w:p>
    <w:p w14:paraId="2F535C1F" w14:textId="3965C7AF" w:rsidR="00390A31" w:rsidRPr="00EC6087" w:rsidRDefault="00EC6087" w:rsidP="00E96186">
      <w:pPr>
        <w:pStyle w:val="NoSpacing"/>
        <w:ind w:left="720"/>
      </w:pPr>
      <w:r w:rsidRPr="00EC6087">
        <w:t xml:space="preserve">The shared housing regulations </w:t>
      </w:r>
      <w:r w:rsidR="00573BB5">
        <w:t>in</w:t>
      </w:r>
      <w:r w:rsidR="00573BB5" w:rsidRPr="00EC6087">
        <w:t xml:space="preserve"> </w:t>
      </w:r>
      <w:r w:rsidRPr="00EC6087">
        <w:t xml:space="preserve">24 CFR </w:t>
      </w:r>
      <w:r w:rsidRPr="00520004">
        <w:rPr>
          <w:rFonts w:cs="Times New Roman"/>
        </w:rPr>
        <w:t>§</w:t>
      </w:r>
      <w:r w:rsidR="00CB69BF" w:rsidRPr="00CB69BF">
        <w:t>982.615</w:t>
      </w:r>
      <w:r w:rsidR="00CB69BF">
        <w:t xml:space="preserve">(b)(3) </w:t>
      </w:r>
      <w:r w:rsidRPr="00EC6087">
        <w:t xml:space="preserve">state that </w:t>
      </w:r>
      <w:r w:rsidR="00693803">
        <w:t>“</w:t>
      </w:r>
      <w:r w:rsidRPr="00EC6087">
        <w:t xml:space="preserve">an </w:t>
      </w:r>
      <w:r w:rsidR="00CB69BF" w:rsidRPr="00CB69BF">
        <w:t>assisted person may not be related by blood or marriage to a resident owner</w:t>
      </w:r>
      <w:r w:rsidRPr="00EC6087">
        <w:t>.</w:t>
      </w:r>
      <w:r w:rsidR="00693803">
        <w:t>”</w:t>
      </w:r>
      <w:r w:rsidR="00B75673">
        <w:t xml:space="preserve"> </w:t>
      </w:r>
      <w:r w:rsidR="00024308">
        <w:t>Also, p</w:t>
      </w:r>
      <w:r w:rsidR="006B6EE2">
        <w:t>er</w:t>
      </w:r>
      <w:r w:rsidRPr="00EC6087">
        <w:t xml:space="preserve"> 24 CFR </w:t>
      </w:r>
      <w:r w:rsidR="00B107A8" w:rsidRPr="00520004">
        <w:rPr>
          <w:rFonts w:cs="Times New Roman"/>
        </w:rPr>
        <w:t>§</w:t>
      </w:r>
      <w:r w:rsidR="00B0359A">
        <w:rPr>
          <w:rFonts w:cs="Times New Roman"/>
        </w:rPr>
        <w:t>9</w:t>
      </w:r>
      <w:r w:rsidR="006B6EE2">
        <w:t>82.306</w:t>
      </w:r>
      <w:r w:rsidRPr="00EC6087">
        <w:t>(d)</w:t>
      </w:r>
      <w:r w:rsidR="006B6EE2">
        <w:t>,</w:t>
      </w:r>
      <w:r w:rsidRPr="00EC6087">
        <w:t xml:space="preserve"> </w:t>
      </w:r>
      <w:r w:rsidR="00B0359A">
        <w:t>Project Sponsors cannot provide housing assistance if</w:t>
      </w:r>
      <w:r w:rsidR="00B0359A" w:rsidRPr="00B0359A">
        <w:t xml:space="preserve"> the</w:t>
      </w:r>
      <w:r w:rsidR="00B0359A">
        <w:t xml:space="preserve"> unit</w:t>
      </w:r>
      <w:r w:rsidR="00B0359A" w:rsidRPr="00B0359A">
        <w:t xml:space="preserve"> owner is the parent, child, grandparent, grandchild, sister, or brother of any member of the family</w:t>
      </w:r>
      <w:r w:rsidR="00024308">
        <w:t>. However, Project Sponsors may grant</w:t>
      </w:r>
      <w:r w:rsidR="003A6434">
        <w:t xml:space="preserve"> an</w:t>
      </w:r>
      <w:r w:rsidR="00024308">
        <w:t xml:space="preserve"> exception to these regulations if they determine that</w:t>
      </w:r>
      <w:r w:rsidR="00B0359A" w:rsidRPr="00B0359A">
        <w:t xml:space="preserve"> approving the unit would provide </w:t>
      </w:r>
      <w:r w:rsidR="003A6434">
        <w:t xml:space="preserve">a </w:t>
      </w:r>
      <w:r w:rsidR="00B0359A" w:rsidRPr="00B0359A">
        <w:t xml:space="preserve">reasonable accommodation for a </w:t>
      </w:r>
      <w:r w:rsidR="00024308">
        <w:t>household</w:t>
      </w:r>
      <w:r w:rsidR="00024308" w:rsidRPr="00B0359A">
        <w:t xml:space="preserve"> </w:t>
      </w:r>
      <w:r w:rsidR="00B0359A" w:rsidRPr="00B0359A">
        <w:t xml:space="preserve">member who is </w:t>
      </w:r>
      <w:r w:rsidR="00DD22CF">
        <w:t>disabled</w:t>
      </w:r>
      <w:r w:rsidR="00B0359A" w:rsidRPr="00B0359A">
        <w:t>.</w:t>
      </w:r>
      <w:r w:rsidR="003A6434">
        <w:t xml:space="preserve"> </w:t>
      </w:r>
      <w:r w:rsidR="00390A31">
        <w:t>For example, a</w:t>
      </w:r>
      <w:r w:rsidRPr="00EC6087">
        <w:t xml:space="preserve"> reasonable accommodation would permit a person with disabilities</w:t>
      </w:r>
      <w:r w:rsidR="00024308">
        <w:t>,</w:t>
      </w:r>
      <w:r w:rsidRPr="00EC6087">
        <w:t xml:space="preserve"> including </w:t>
      </w:r>
      <w:r w:rsidR="006B3100">
        <w:t>PLWH</w:t>
      </w:r>
      <w:r w:rsidR="00024308">
        <w:t>,</w:t>
      </w:r>
      <w:r w:rsidRPr="00EC6087">
        <w:t xml:space="preserve"> to receive benefits when housed with a family member who owns or rents the housing unit if </w:t>
      </w:r>
      <w:r w:rsidR="00DD22CF">
        <w:t>a medical professional determines</w:t>
      </w:r>
      <w:r w:rsidRPr="00EC6087">
        <w:t xml:space="preserve"> that living with the family member is important to the client’s overall health and</w:t>
      </w:r>
      <w:r w:rsidR="00B0359A">
        <w:t xml:space="preserve"> </w:t>
      </w:r>
      <w:r w:rsidR="008B5649">
        <w:t>welfare</w:t>
      </w:r>
      <w:r w:rsidR="00B0359A">
        <w:t xml:space="preserve">. In such situations, </w:t>
      </w:r>
      <w:r w:rsidRPr="00EC6087">
        <w:t xml:space="preserve">the </w:t>
      </w:r>
      <w:r w:rsidR="006B6EE2">
        <w:t>resident owner’s</w:t>
      </w:r>
      <w:r w:rsidRPr="00EC6087">
        <w:t xml:space="preserve"> income is not counted </w:t>
      </w:r>
      <w:r w:rsidR="00E54C1B">
        <w:t>toward</w:t>
      </w:r>
      <w:r w:rsidRPr="00EC6087">
        <w:t xml:space="preserve"> the</w:t>
      </w:r>
      <w:r w:rsidR="00B0359A">
        <w:t xml:space="preserve"> household’s income</w:t>
      </w:r>
      <w:r w:rsidRPr="00EC6087">
        <w:t xml:space="preserve"> eligibility </w:t>
      </w:r>
      <w:r w:rsidR="00B0359A">
        <w:t>for the program</w:t>
      </w:r>
      <w:r w:rsidRPr="00EC6087">
        <w:t>.</w:t>
      </w:r>
      <w:r w:rsidR="00B75673">
        <w:t xml:space="preserve"> </w:t>
      </w:r>
      <w:r w:rsidRPr="00EC6087">
        <w:t xml:space="preserve">Such payments are based on the number of bedrooms that the person with disabilities occupies in the home and must be reasonable for the type and nature of the housing arrangement, and </w:t>
      </w:r>
      <w:proofErr w:type="gramStart"/>
      <w:r w:rsidRPr="00EC6087">
        <w:t>similar to</w:t>
      </w:r>
      <w:proofErr w:type="gramEnd"/>
      <w:r w:rsidRPr="00EC6087">
        <w:t xml:space="preserve"> the reasonable rental fees available in comparable unassisted units.</w:t>
      </w:r>
      <w:r w:rsidR="003A6434">
        <w:t xml:space="preserve"> </w:t>
      </w:r>
      <w:r w:rsidR="00390A31" w:rsidRPr="00390A31">
        <w:t xml:space="preserve">To further clarify, a reasonable accommodation is permitted for clients who need to stay in place as an accommodation for their disability. If able, a client can make </w:t>
      </w:r>
      <w:r w:rsidR="00334A1E">
        <w:t>a reasonable accommodation</w:t>
      </w:r>
      <w:r w:rsidR="00390A31" w:rsidRPr="00390A31">
        <w:t xml:space="preserve"> request in writing, however, if the client is unable, they may have someone assist them with </w:t>
      </w:r>
      <w:r w:rsidR="00334A1E">
        <w:t>the request</w:t>
      </w:r>
      <w:r w:rsidR="00390A31" w:rsidRPr="00390A31">
        <w:t xml:space="preserve">. </w:t>
      </w:r>
      <w:r w:rsidR="00390A31">
        <w:t>Project Sponsors</w:t>
      </w:r>
      <w:r w:rsidR="00390A31" w:rsidRPr="00390A31">
        <w:t xml:space="preserve"> may also ask for written verification from a healthcare provider or someone knowledgeable about the person’s disability as back-up for the file. A reasonable accommodation should not be used merely as a mechanism for clients not to have to move or </w:t>
      </w:r>
      <w:r w:rsidR="00E54C1B" w:rsidRPr="00390A31">
        <w:t>to</w:t>
      </w:r>
      <w:r w:rsidR="00334A1E">
        <w:t xml:space="preserve"> </w:t>
      </w:r>
      <w:r w:rsidR="00390A31" w:rsidRPr="00390A31">
        <w:t>exclude additional household member’s income that would normally be considered when determining</w:t>
      </w:r>
      <w:r w:rsidR="00BD7837">
        <w:t xml:space="preserve"> household</w:t>
      </w:r>
      <w:r w:rsidR="00390A31" w:rsidRPr="00390A31">
        <w:t xml:space="preserve"> </w:t>
      </w:r>
      <w:r w:rsidR="00334A1E">
        <w:t xml:space="preserve">income eligibility – but </w:t>
      </w:r>
      <w:r w:rsidR="00390A31" w:rsidRPr="00390A31">
        <w:t xml:space="preserve">be legitimately due to their </w:t>
      </w:r>
      <w:proofErr w:type="gramStart"/>
      <w:r w:rsidR="00390A31" w:rsidRPr="00390A31">
        <w:t>particular disability</w:t>
      </w:r>
      <w:proofErr w:type="gramEnd"/>
      <w:r w:rsidR="00390A31" w:rsidRPr="00390A31">
        <w:t>. Overall, the process for requesting and approving reasonable accommodations shouldn’t be complicated, and generally, in other housing programs such as Section 8, reasonable requests are more often approved than not.</w:t>
      </w:r>
      <w:r w:rsidR="00334A1E">
        <w:t xml:space="preserve"> See the decision tree under Appendix </w:t>
      </w:r>
      <w:r w:rsidR="009E3DDE">
        <w:t>J</w:t>
      </w:r>
      <w:r w:rsidR="00334A1E">
        <w:t>: “Can I Pay this Owner?” for additional guidance.</w:t>
      </w:r>
    </w:p>
    <w:p w14:paraId="1B6C628F" w14:textId="6D678E79" w:rsidR="00B107A8" w:rsidRPr="00B107A8" w:rsidRDefault="007E2A00" w:rsidP="00DE48B8">
      <w:pPr>
        <w:pStyle w:val="NoSpacing"/>
        <w:numPr>
          <w:ilvl w:val="0"/>
          <w:numId w:val="22"/>
        </w:numPr>
      </w:pPr>
      <w:r w:rsidRPr="00693803">
        <w:rPr>
          <w:b/>
        </w:rPr>
        <w:t xml:space="preserve">Can an applicant household </w:t>
      </w:r>
      <w:r w:rsidR="00693803" w:rsidRPr="00693803">
        <w:rPr>
          <w:b/>
        </w:rPr>
        <w:t xml:space="preserve">include a dependent child as a household member if they don’t live with them? </w:t>
      </w:r>
      <w:r w:rsidR="00693803">
        <w:t>No, the dependent child</w:t>
      </w:r>
      <w:r w:rsidR="00B107A8" w:rsidRPr="00B107A8">
        <w:t xml:space="preserve"> must live </w:t>
      </w:r>
      <w:r w:rsidR="00693803">
        <w:t>with</w:t>
      </w:r>
      <w:r w:rsidR="00693803" w:rsidRPr="00B107A8">
        <w:t xml:space="preserve"> </w:t>
      </w:r>
      <w:r w:rsidR="00B107A8" w:rsidRPr="00B107A8">
        <w:t>household at least 51</w:t>
      </w:r>
      <w:r w:rsidR="00596A8B">
        <w:t xml:space="preserve"> percent</w:t>
      </w:r>
      <w:r w:rsidR="00B107A8" w:rsidRPr="00B107A8">
        <w:t xml:space="preserve"> of the time</w:t>
      </w:r>
      <w:r w:rsidR="00693803">
        <w:t>.</w:t>
      </w:r>
    </w:p>
    <w:p w14:paraId="798D0B36" w14:textId="56F58FEB" w:rsidR="007E2A00" w:rsidRDefault="009365D9" w:rsidP="00DA098E">
      <w:pPr>
        <w:pStyle w:val="NoSpacing"/>
        <w:numPr>
          <w:ilvl w:val="0"/>
          <w:numId w:val="22"/>
        </w:numPr>
        <w:rPr>
          <w:b/>
        </w:rPr>
      </w:pPr>
      <w:r w:rsidRPr="00166252">
        <w:rPr>
          <w:b/>
        </w:rPr>
        <w:t xml:space="preserve">If two single-person households </w:t>
      </w:r>
      <w:r w:rsidR="00206548">
        <w:rPr>
          <w:b/>
        </w:rPr>
        <w:t xml:space="preserve">voluntarily </w:t>
      </w:r>
      <w:r w:rsidRPr="00166252">
        <w:rPr>
          <w:b/>
        </w:rPr>
        <w:t>live together in a shared housing arrangement (i.e., roommates) but then decide to get married</w:t>
      </w:r>
      <w:r w:rsidR="002809F8">
        <w:rPr>
          <w:b/>
        </w:rPr>
        <w:t xml:space="preserve"> (i.e., the roommate joins the client’s household)</w:t>
      </w:r>
      <w:r w:rsidRPr="00166252">
        <w:rPr>
          <w:b/>
        </w:rPr>
        <w:t xml:space="preserve">, </w:t>
      </w:r>
      <w:r w:rsidR="00AA7400">
        <w:rPr>
          <w:b/>
        </w:rPr>
        <w:t>how do we document this change</w:t>
      </w:r>
      <w:r w:rsidRPr="00166252">
        <w:rPr>
          <w:b/>
        </w:rPr>
        <w:t>?</w:t>
      </w:r>
    </w:p>
    <w:p w14:paraId="5C06EC39" w14:textId="59672B87" w:rsidR="00B107A8" w:rsidRPr="00B76812" w:rsidRDefault="00B107A8" w:rsidP="00B76812">
      <w:pPr>
        <w:pStyle w:val="NoSpacing"/>
        <w:ind w:left="720"/>
      </w:pPr>
      <w:r w:rsidRPr="00B76812">
        <w:t>Conduct an interim</w:t>
      </w:r>
      <w:r w:rsidR="00AA7400">
        <w:t xml:space="preserve"> eligibility</w:t>
      </w:r>
      <w:r w:rsidRPr="00B76812">
        <w:t xml:space="preserve"> recertification to document the change in household composition</w:t>
      </w:r>
      <w:r w:rsidR="001C263F">
        <w:t xml:space="preserve"> and </w:t>
      </w:r>
      <w:r w:rsidR="005401B4">
        <w:t>re</w:t>
      </w:r>
      <w:r w:rsidR="001C263F">
        <w:t xml:space="preserve">assess other </w:t>
      </w:r>
      <w:r w:rsidR="00F93842">
        <w:t>eligibility factors</w:t>
      </w:r>
      <w:r w:rsidRPr="00B76812">
        <w:t>.</w:t>
      </w:r>
    </w:p>
    <w:p w14:paraId="48F8E0B1" w14:textId="2DE4EA2A" w:rsidR="00DC652A" w:rsidRPr="00166252" w:rsidRDefault="00DC652A" w:rsidP="00DA098E">
      <w:pPr>
        <w:pStyle w:val="Quote"/>
      </w:pPr>
      <w:r w:rsidRPr="00166252">
        <w:t>Other Questions</w:t>
      </w:r>
    </w:p>
    <w:p w14:paraId="7BF45908" w14:textId="376222A4" w:rsidR="00E22B54" w:rsidRDefault="00E22B54" w:rsidP="00DA098E">
      <w:pPr>
        <w:pStyle w:val="ListParagraph"/>
        <w:numPr>
          <w:ilvl w:val="0"/>
          <w:numId w:val="22"/>
        </w:numPr>
        <w:spacing w:after="0" w:line="240" w:lineRule="auto"/>
        <w:rPr>
          <w:b/>
        </w:rPr>
      </w:pPr>
      <w:r>
        <w:rPr>
          <w:b/>
        </w:rPr>
        <w:t xml:space="preserve">Which HOPWA contract pays </w:t>
      </w:r>
      <w:r w:rsidR="00B8513D">
        <w:rPr>
          <w:b/>
        </w:rPr>
        <w:t xml:space="preserve">September </w:t>
      </w:r>
      <w:r>
        <w:rPr>
          <w:b/>
        </w:rPr>
        <w:t>rent?</w:t>
      </w:r>
    </w:p>
    <w:p w14:paraId="07C2318D" w14:textId="62C3C0C5" w:rsidR="00443340" w:rsidRDefault="00D223C1" w:rsidP="00443340">
      <w:pPr>
        <w:pStyle w:val="ListParagraph"/>
        <w:spacing w:after="0" w:line="240" w:lineRule="auto"/>
      </w:pPr>
      <w:r>
        <w:t>Generally</w:t>
      </w:r>
      <w:r w:rsidR="00443340">
        <w:t xml:space="preserve">, Project Sponsors </w:t>
      </w:r>
      <w:r>
        <w:t>cut checks for next month’s rent a few days early to ensure that the rent is paid in a timely manner. In this scenario, t</w:t>
      </w:r>
      <w:r w:rsidRPr="00D223C1">
        <w:t>he invoice</w:t>
      </w:r>
      <w:r w:rsidR="00806EC8">
        <w:t xml:space="preserve"> (supporting document)</w:t>
      </w:r>
      <w:r w:rsidRPr="00D223C1">
        <w:t xml:space="preserve"> </w:t>
      </w:r>
      <w:r w:rsidR="00806EC8">
        <w:t>is for September rent.</w:t>
      </w:r>
      <w:r w:rsidRPr="00D223C1">
        <w:t xml:space="preserve"> </w:t>
      </w:r>
      <w:r w:rsidR="00806EC8">
        <w:t>W</w:t>
      </w:r>
      <w:r w:rsidRPr="00D223C1">
        <w:t xml:space="preserve">hen the check </w:t>
      </w:r>
      <w:r w:rsidR="00806EC8">
        <w:t>clears, the Project Sponsor will</w:t>
      </w:r>
      <w:r w:rsidRPr="00D223C1">
        <w:t xml:space="preserve"> move the funds from the prepaid account to the rent expense account showing it was paid. This will be done in the month</w:t>
      </w:r>
      <w:r w:rsidR="00806EC8">
        <w:t xml:space="preserve"> (September)</w:t>
      </w:r>
      <w:r w:rsidRPr="00D223C1">
        <w:t xml:space="preserve"> in which the activity (rent) occurred</w:t>
      </w:r>
      <w:r w:rsidR="00806EC8">
        <w:t>. For example, a check cut on 08/31/</w:t>
      </w:r>
      <w:r w:rsidR="000C5C4F">
        <w:t>2</w:t>
      </w:r>
      <w:r w:rsidR="0013550B">
        <w:t>4</w:t>
      </w:r>
      <w:r w:rsidR="000C5C4F" w:rsidRPr="00806EC8">
        <w:t xml:space="preserve"> </w:t>
      </w:r>
      <w:r w:rsidR="00806EC8" w:rsidRPr="00806EC8">
        <w:t>for September rent</w:t>
      </w:r>
      <w:r w:rsidR="00806EC8">
        <w:t xml:space="preserve"> </w:t>
      </w:r>
      <w:r w:rsidR="004D3394">
        <w:t>would</w:t>
      </w:r>
      <w:r w:rsidR="00806EC8">
        <w:t xml:space="preserve"> ultimately appear on the HOPWA 202</w:t>
      </w:r>
      <w:r w:rsidR="008F7DF7">
        <w:t>4</w:t>
      </w:r>
      <w:r w:rsidR="00806EC8">
        <w:t xml:space="preserve"> (09/01/</w:t>
      </w:r>
      <w:r w:rsidR="000C5C4F">
        <w:t>2</w:t>
      </w:r>
      <w:r w:rsidR="008F7DF7">
        <w:t>4</w:t>
      </w:r>
      <w:r w:rsidR="000C5C4F">
        <w:t xml:space="preserve"> </w:t>
      </w:r>
      <w:r w:rsidR="00806EC8">
        <w:t>– 08/31/</w:t>
      </w:r>
      <w:r w:rsidR="000C5C4F">
        <w:t>2</w:t>
      </w:r>
      <w:r w:rsidR="008F7DF7">
        <w:t>5</w:t>
      </w:r>
      <w:r w:rsidR="00806EC8">
        <w:t xml:space="preserve">) general ledger because the Project Sponsor </w:t>
      </w:r>
      <w:r w:rsidR="004D3394">
        <w:t>would</w:t>
      </w:r>
      <w:r w:rsidR="00806EC8">
        <w:t xml:space="preserve"> complete a journal entry moving the funds from the prepaid account to the expense account. </w:t>
      </w:r>
      <w:r w:rsidR="004D3394">
        <w:t xml:space="preserve">Project Sponsors must </w:t>
      </w:r>
      <w:r w:rsidR="00ED5464">
        <w:t>remember to move funds from the prepaid account to the expense account.</w:t>
      </w:r>
      <w:r w:rsidR="004D3394">
        <w:t xml:space="preserve"> If </w:t>
      </w:r>
      <w:r w:rsidR="00ED5464">
        <w:t>a</w:t>
      </w:r>
      <w:r w:rsidR="004D3394">
        <w:t xml:space="preserve"> Project Sponsor forgets to move </w:t>
      </w:r>
      <w:r w:rsidR="00ED5464">
        <w:t>these</w:t>
      </w:r>
      <w:r w:rsidR="004D3394">
        <w:t xml:space="preserve"> funds, then they would remain in the HOPWA 202</w:t>
      </w:r>
      <w:r w:rsidR="008F7DF7">
        <w:t>3</w:t>
      </w:r>
      <w:r w:rsidR="004D3394">
        <w:t xml:space="preserve"> (09/01/</w:t>
      </w:r>
      <w:r w:rsidR="000C5C4F">
        <w:t>2</w:t>
      </w:r>
      <w:r w:rsidR="008F7DF7">
        <w:t>3</w:t>
      </w:r>
      <w:r w:rsidR="000C5C4F">
        <w:t xml:space="preserve"> </w:t>
      </w:r>
      <w:r w:rsidR="004D3394">
        <w:t>– 08/31/</w:t>
      </w:r>
      <w:r w:rsidR="000C5C4F">
        <w:t>2</w:t>
      </w:r>
      <w:r w:rsidR="008F7DF7">
        <w:t>4</w:t>
      </w:r>
      <w:r w:rsidR="004D3394">
        <w:t xml:space="preserve">) general ledger. </w:t>
      </w:r>
      <w:r w:rsidR="00ED5464">
        <w:t>If this expenditure were selected for fiscal review, the cost would be disallowed</w:t>
      </w:r>
      <w:r w:rsidR="00443340">
        <w:t xml:space="preserve"> </w:t>
      </w:r>
      <w:r w:rsidR="00ED5464">
        <w:t>because the</w:t>
      </w:r>
      <w:r w:rsidR="00443340">
        <w:t xml:space="preserve"> activity </w:t>
      </w:r>
      <w:r w:rsidR="00ED5464">
        <w:t>occurred</w:t>
      </w:r>
      <w:r w:rsidR="00443340">
        <w:t xml:space="preserve"> in </w:t>
      </w:r>
      <w:r w:rsidR="00ED5464">
        <w:t>HOPWA 202</w:t>
      </w:r>
      <w:r w:rsidR="008F7DF7">
        <w:t>3</w:t>
      </w:r>
      <w:r w:rsidR="00ED5464">
        <w:t>.</w:t>
      </w:r>
    </w:p>
    <w:p w14:paraId="6115E4A5" w14:textId="56545A29" w:rsidR="00DC652A" w:rsidRDefault="00B86961" w:rsidP="00DA098E">
      <w:pPr>
        <w:numPr>
          <w:ilvl w:val="0"/>
          <w:numId w:val="22"/>
        </w:numPr>
        <w:spacing w:after="0" w:line="240" w:lineRule="auto"/>
        <w:rPr>
          <w:b/>
        </w:rPr>
      </w:pPr>
      <w:r w:rsidRPr="00166252">
        <w:rPr>
          <w:b/>
        </w:rPr>
        <w:t xml:space="preserve">When a lease agreement is not available, what type of documentation is needed for </w:t>
      </w:r>
      <w:r w:rsidR="00F4262B">
        <w:rPr>
          <w:b/>
        </w:rPr>
        <w:t>housing</w:t>
      </w:r>
      <w:r w:rsidR="00F4262B" w:rsidRPr="00166252">
        <w:rPr>
          <w:b/>
        </w:rPr>
        <w:t xml:space="preserve"> </w:t>
      </w:r>
      <w:r w:rsidRPr="00166252">
        <w:rPr>
          <w:b/>
        </w:rPr>
        <w:t>assistance?</w:t>
      </w:r>
    </w:p>
    <w:p w14:paraId="6279C105" w14:textId="27181D27" w:rsidR="009E00C5" w:rsidRPr="009E00C5" w:rsidRDefault="004F4EF3" w:rsidP="009E00C5">
      <w:pPr>
        <w:spacing w:after="0" w:line="240" w:lineRule="auto"/>
        <w:ind w:left="720"/>
      </w:pPr>
      <w:r>
        <w:lastRenderedPageBreak/>
        <w:t>An executed formal lease</w:t>
      </w:r>
      <w:r w:rsidR="00F01AE7">
        <w:t xml:space="preserve"> is </w:t>
      </w:r>
      <w:r w:rsidR="003A6434">
        <w:t>preferable</w:t>
      </w:r>
      <w:r w:rsidR="00F01AE7">
        <w:t xml:space="preserve"> because it</w:t>
      </w:r>
      <w:r>
        <w:t xml:space="preserve"> (a) </w:t>
      </w:r>
      <w:r w:rsidR="00425425">
        <w:t xml:space="preserve">confirms </w:t>
      </w:r>
      <w:r>
        <w:t xml:space="preserve">residency for </w:t>
      </w:r>
      <w:r w:rsidR="00BD7837">
        <w:t xml:space="preserve">household </w:t>
      </w:r>
      <w:r>
        <w:t xml:space="preserve">eligibility, (b) </w:t>
      </w:r>
      <w:r w:rsidR="00425425">
        <w:t xml:space="preserve">confirms </w:t>
      </w:r>
      <w:r>
        <w:t>tenancy as a prerequisite for TBRA</w:t>
      </w:r>
      <w:r w:rsidR="00E73F0E">
        <w:t>,</w:t>
      </w:r>
      <w:r>
        <w:t xml:space="preserve"> STRMU</w:t>
      </w:r>
      <w:r w:rsidR="00E73F0E">
        <w:t>, and TSH</w:t>
      </w:r>
      <w:r>
        <w:t xml:space="preserve"> services, and (c) </w:t>
      </w:r>
      <w:r w:rsidR="00425425">
        <w:t>is a</w:t>
      </w:r>
      <w:r>
        <w:t xml:space="preserve"> supporting document for </w:t>
      </w:r>
      <w:r w:rsidR="00E73F0E">
        <w:t>housing assistance</w:t>
      </w:r>
      <w:r>
        <w:t xml:space="preserve"> payments. Also, an executed formal lease affords legal protections to households and contributes to housing stability. Sample leases </w:t>
      </w:r>
      <w:r w:rsidR="003A6434">
        <w:t>are available</w:t>
      </w:r>
      <w:r>
        <w:t xml:space="preserve"> online. If </w:t>
      </w:r>
      <w:r w:rsidR="00324904">
        <w:t xml:space="preserve">Project Sponsors </w:t>
      </w:r>
      <w:r w:rsidRPr="004F4EF3">
        <w:rPr>
          <w:u w:val="single"/>
        </w:rPr>
        <w:t>cannot obtain</w:t>
      </w:r>
      <w:r>
        <w:t xml:space="preserve"> an executed formal lease, a</w:t>
      </w:r>
      <w:r w:rsidR="009E00C5" w:rsidRPr="009E00C5">
        <w:t xml:space="preserve"> letter signed and dated by the </w:t>
      </w:r>
      <w:r w:rsidR="00793E07">
        <w:t>owner</w:t>
      </w:r>
      <w:r w:rsidR="009E00C5" w:rsidRPr="009E00C5">
        <w:t xml:space="preserve"> and the client is acceptable if it contains the following information:</w:t>
      </w:r>
      <w:r w:rsidR="00B75673">
        <w:t xml:space="preserve"> </w:t>
      </w:r>
      <w:r w:rsidR="002809F8">
        <w:t>A</w:t>
      </w:r>
      <w:r w:rsidR="009E00C5" w:rsidRPr="009E00C5">
        <w:t>ddress of unit, amount of rent, due date of rent, period covered by the lease, whether utilities are included in the rent</w:t>
      </w:r>
      <w:r w:rsidR="00943245">
        <w:t xml:space="preserve"> and what kinds,</w:t>
      </w:r>
      <w:r w:rsidR="009E00C5" w:rsidRPr="009E00C5">
        <w:t xml:space="preserve"> and the </w:t>
      </w:r>
      <w:r w:rsidR="005A06F7">
        <w:t xml:space="preserve">owner or payee’s </w:t>
      </w:r>
      <w:r w:rsidR="009E00C5" w:rsidRPr="009E00C5">
        <w:t xml:space="preserve">address and phone number </w:t>
      </w:r>
      <w:r w:rsidR="00E73F0E">
        <w:t>(see Appendix</w:t>
      </w:r>
      <w:r w:rsidR="00E73F0E" w:rsidRPr="00E73F0E">
        <w:t xml:space="preserve"> I: Tenant Lease Provisions</w:t>
      </w:r>
      <w:r w:rsidR="00E73F0E">
        <w:t xml:space="preserve"> for additional guidance)</w:t>
      </w:r>
      <w:r w:rsidR="009E00C5" w:rsidRPr="009E00C5">
        <w:t>.</w:t>
      </w:r>
    </w:p>
    <w:p w14:paraId="37470DB5" w14:textId="7D13BB38" w:rsidR="00B86961" w:rsidRDefault="00B86961" w:rsidP="00DA098E">
      <w:pPr>
        <w:numPr>
          <w:ilvl w:val="0"/>
          <w:numId w:val="22"/>
        </w:numPr>
        <w:spacing w:after="0" w:line="240" w:lineRule="auto"/>
        <w:jc w:val="both"/>
        <w:rPr>
          <w:b/>
        </w:rPr>
      </w:pPr>
      <w:r w:rsidRPr="00166252">
        <w:rPr>
          <w:b/>
        </w:rPr>
        <w:t xml:space="preserve">What are the penalties for </w:t>
      </w:r>
      <w:r w:rsidR="00F4262B">
        <w:rPr>
          <w:b/>
        </w:rPr>
        <w:t>households that violate the terms of their lease</w:t>
      </w:r>
      <w:r w:rsidRPr="00166252">
        <w:rPr>
          <w:b/>
        </w:rPr>
        <w:t>?</w:t>
      </w:r>
    </w:p>
    <w:p w14:paraId="60FC8EEB" w14:textId="18D094DE" w:rsidR="009E00C5" w:rsidRPr="009E00C5" w:rsidRDefault="00F4262B" w:rsidP="009E00C5">
      <w:pPr>
        <w:spacing w:after="0" w:line="240" w:lineRule="auto"/>
        <w:ind w:left="720"/>
        <w:jc w:val="both"/>
      </w:pPr>
      <w:r>
        <w:t>A household</w:t>
      </w:r>
      <w:r w:rsidR="009E00C5" w:rsidRPr="009E00C5">
        <w:t xml:space="preserve"> may be </w:t>
      </w:r>
      <w:r>
        <w:t>considered for termination from the program if they violate</w:t>
      </w:r>
      <w:r w:rsidR="009E00C5" w:rsidRPr="009E00C5">
        <w:t xml:space="preserve"> the terms of their lease</w:t>
      </w:r>
      <w:r>
        <w:t xml:space="preserve"> or occupancy agreement</w:t>
      </w:r>
      <w:r w:rsidR="009E00C5" w:rsidRPr="009E00C5">
        <w:t>.</w:t>
      </w:r>
      <w:r w:rsidR="00B75673">
        <w:t xml:space="preserve"> </w:t>
      </w:r>
      <w:r w:rsidRPr="00F4262B">
        <w:t xml:space="preserve">Project Sponsors must ensure that </w:t>
      </w:r>
      <w:r w:rsidR="00BC02C5">
        <w:t>s</w:t>
      </w:r>
      <w:r w:rsidRPr="00F4262B">
        <w:t xml:space="preserve">upportive </w:t>
      </w:r>
      <w:r w:rsidR="00BC02C5">
        <w:t>s</w:t>
      </w:r>
      <w:r w:rsidRPr="00F4262B">
        <w:t>ervices are provided so that a household’s assistance is terminated only in the most severe cases.</w:t>
      </w:r>
      <w:r>
        <w:t xml:space="preserve"> The Project Sponsor must follow their termination policy</w:t>
      </w:r>
      <w:r w:rsidR="009E00C5" w:rsidRPr="009E00C5">
        <w:t>.</w:t>
      </w:r>
      <w:r w:rsidR="00B75673">
        <w:t xml:space="preserve"> </w:t>
      </w:r>
      <w:r w:rsidR="009E00C5" w:rsidRPr="009E00C5">
        <w:t xml:space="preserve">If </w:t>
      </w:r>
      <w:r>
        <w:t xml:space="preserve">a household </w:t>
      </w:r>
      <w:r w:rsidR="00B17A35">
        <w:t>will be</w:t>
      </w:r>
      <w:r>
        <w:t xml:space="preserve"> evicted</w:t>
      </w:r>
      <w:r w:rsidR="00B17A35">
        <w:t xml:space="preserve"> from their unit for violating the terms of their lease</w:t>
      </w:r>
      <w:r w:rsidR="009E00C5" w:rsidRPr="009E00C5">
        <w:t xml:space="preserve">, </w:t>
      </w:r>
      <w:r w:rsidR="001B10C3">
        <w:t xml:space="preserve">but will not be terminated from the program, </w:t>
      </w:r>
      <w:r>
        <w:t>the household</w:t>
      </w:r>
      <w:r w:rsidR="009E00C5" w:rsidRPr="009E00C5">
        <w:t xml:space="preserve"> may </w:t>
      </w:r>
      <w:r w:rsidR="001B10C3">
        <w:t>receive</w:t>
      </w:r>
      <w:r w:rsidR="009E00C5" w:rsidRPr="009E00C5">
        <w:t xml:space="preserve"> </w:t>
      </w:r>
      <w:r>
        <w:t>PHP</w:t>
      </w:r>
      <w:r w:rsidR="009E00C5" w:rsidRPr="009E00C5">
        <w:t xml:space="preserve"> </w:t>
      </w:r>
      <w:r w:rsidR="001B10C3">
        <w:t>services</w:t>
      </w:r>
      <w:r w:rsidR="004F4EF3">
        <w:t xml:space="preserve"> as a rapid-rehousing intervention</w:t>
      </w:r>
      <w:r w:rsidR="009E00C5" w:rsidRPr="009E00C5">
        <w:t>.</w:t>
      </w:r>
    </w:p>
    <w:p w14:paraId="7421387C" w14:textId="63233097" w:rsidR="00B86961" w:rsidRDefault="00B86961" w:rsidP="00DA098E">
      <w:pPr>
        <w:numPr>
          <w:ilvl w:val="0"/>
          <w:numId w:val="22"/>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b/>
        </w:rPr>
      </w:pPr>
      <w:r w:rsidRPr="00166252">
        <w:rPr>
          <w:b/>
        </w:rPr>
        <w:t xml:space="preserve">What is the liability of the Project Sponsor under the </w:t>
      </w:r>
      <w:r w:rsidR="004A16AC">
        <w:rPr>
          <w:b/>
        </w:rPr>
        <w:t xml:space="preserve">Housing Quality </w:t>
      </w:r>
      <w:r w:rsidR="0082659C">
        <w:rPr>
          <w:b/>
        </w:rPr>
        <w:t>Standards</w:t>
      </w:r>
      <w:r w:rsidRPr="00166252">
        <w:rPr>
          <w:b/>
        </w:rPr>
        <w:t>?</w:t>
      </w:r>
    </w:p>
    <w:p w14:paraId="618D5888" w14:textId="6D293BB0" w:rsidR="009E00C5" w:rsidRPr="009E00C5" w:rsidRDefault="009E00C5" w:rsidP="00B76812">
      <w:pPr>
        <w:pStyle w:val="NoSpacing"/>
        <w:ind w:left="720"/>
      </w:pPr>
      <w:r w:rsidRPr="009E00C5">
        <w:t>None.</w:t>
      </w:r>
      <w:r w:rsidR="00B75673">
        <w:t xml:space="preserve"> </w:t>
      </w:r>
      <w:r w:rsidRPr="009E00C5">
        <w:t xml:space="preserve">The inspection is not a declaration </w:t>
      </w:r>
      <w:r w:rsidR="003A6434">
        <w:t>that the unit</w:t>
      </w:r>
      <w:r w:rsidRPr="009E00C5">
        <w:t xml:space="preserve"> is a safe environment and should not be represented that way.</w:t>
      </w:r>
      <w:r w:rsidR="00B75673">
        <w:t xml:space="preserve"> </w:t>
      </w:r>
      <w:r w:rsidR="00F4262B">
        <w:t>Additionally</w:t>
      </w:r>
      <w:r w:rsidRPr="009E00C5">
        <w:t xml:space="preserve">, </w:t>
      </w:r>
      <w:r w:rsidR="00C71948">
        <w:t>Form G</w:t>
      </w:r>
      <w:r w:rsidRPr="009E00C5">
        <w:t xml:space="preserve"> states that the person </w:t>
      </w:r>
      <w:r w:rsidR="00C71948">
        <w:t xml:space="preserve">performing </w:t>
      </w:r>
      <w:r w:rsidRPr="009E00C5">
        <w:t xml:space="preserve">the inspection has inspected the property to the best of </w:t>
      </w:r>
      <w:r w:rsidR="00C71948">
        <w:t>their</w:t>
      </w:r>
      <w:r w:rsidRPr="009E00C5">
        <w:t xml:space="preserve"> ability.</w:t>
      </w:r>
      <w:r w:rsidR="00B75673">
        <w:t xml:space="preserve"> </w:t>
      </w:r>
      <w:r w:rsidRPr="009E00C5">
        <w:t>This does not imply any professional liability.</w:t>
      </w:r>
    </w:p>
    <w:p w14:paraId="21B026DC" w14:textId="0A67E5E0" w:rsidR="00B86961" w:rsidRDefault="00B86961" w:rsidP="00DA098E">
      <w:pPr>
        <w:numPr>
          <w:ilvl w:val="0"/>
          <w:numId w:val="22"/>
        </w:numPr>
        <w:spacing w:after="0" w:line="240" w:lineRule="auto"/>
        <w:jc w:val="both"/>
        <w:rPr>
          <w:b/>
        </w:rPr>
      </w:pPr>
      <w:r w:rsidRPr="00166252">
        <w:rPr>
          <w:b/>
        </w:rPr>
        <w:t xml:space="preserve">How does the </w:t>
      </w:r>
      <w:r w:rsidR="002036F4">
        <w:rPr>
          <w:b/>
        </w:rPr>
        <w:t>Project Sponsor</w:t>
      </w:r>
      <w:r w:rsidRPr="00166252">
        <w:rPr>
          <w:b/>
        </w:rPr>
        <w:t xml:space="preserve"> ensure smoke </w:t>
      </w:r>
      <w:r w:rsidR="002014C7">
        <w:rPr>
          <w:b/>
        </w:rPr>
        <w:t xml:space="preserve">and carbon monoxide </w:t>
      </w:r>
      <w:r w:rsidRPr="00166252">
        <w:rPr>
          <w:b/>
        </w:rPr>
        <w:t>detector</w:t>
      </w:r>
      <w:r w:rsidR="002036F4">
        <w:rPr>
          <w:b/>
        </w:rPr>
        <w:t xml:space="preserve"> compliance without an inspection?</w:t>
      </w:r>
    </w:p>
    <w:p w14:paraId="25CD9102" w14:textId="65FB15F8" w:rsidR="009E00C5" w:rsidRPr="009E00C5" w:rsidRDefault="009E00C5" w:rsidP="009E00C5">
      <w:pPr>
        <w:spacing w:after="0" w:line="240" w:lineRule="auto"/>
        <w:ind w:left="720"/>
        <w:jc w:val="both"/>
      </w:pPr>
      <w:r>
        <w:t>TBRA</w:t>
      </w:r>
      <w:r w:rsidR="00773DFB">
        <w:t xml:space="preserve"> and </w:t>
      </w:r>
      <w:r w:rsidR="002014C7">
        <w:t xml:space="preserve">FBHA </w:t>
      </w:r>
      <w:r w:rsidR="001B10C3">
        <w:t>services require an inspection, but STRMU</w:t>
      </w:r>
      <w:r w:rsidR="002014C7">
        <w:t xml:space="preserve"> and</w:t>
      </w:r>
      <w:r w:rsidR="001B10C3">
        <w:t xml:space="preserve"> PHP services </w:t>
      </w:r>
      <w:r w:rsidR="004C2865">
        <w:t xml:space="preserve">generally </w:t>
      </w:r>
      <w:r w:rsidR="001B10C3">
        <w:t>do not</w:t>
      </w:r>
      <w:r>
        <w:t xml:space="preserve">. </w:t>
      </w:r>
      <w:r w:rsidR="001B10C3">
        <w:t>For STRMU</w:t>
      </w:r>
      <w:r w:rsidR="002014C7">
        <w:t xml:space="preserve"> a</w:t>
      </w:r>
      <w:r w:rsidR="001B10C3">
        <w:t xml:space="preserve">nd PHP, clients self-certify the presence of functional smoke </w:t>
      </w:r>
      <w:r w:rsidR="002014C7">
        <w:t xml:space="preserve">and carbon monoxide </w:t>
      </w:r>
      <w:r w:rsidR="001B10C3">
        <w:t xml:space="preserve">detectors using </w:t>
      </w:r>
      <w:r w:rsidR="00117749">
        <w:t>Form G</w:t>
      </w:r>
      <w:r w:rsidR="00D05010">
        <w:t>.</w:t>
      </w:r>
    </w:p>
    <w:p w14:paraId="0FDF35BB" w14:textId="47B44AF6" w:rsidR="00B86961" w:rsidRDefault="002036F4" w:rsidP="00DA098E">
      <w:pPr>
        <w:numPr>
          <w:ilvl w:val="0"/>
          <w:numId w:val="22"/>
        </w:numPr>
        <w:spacing w:after="0" w:line="240" w:lineRule="auto"/>
        <w:rPr>
          <w:b/>
        </w:rPr>
      </w:pPr>
      <w:r>
        <w:rPr>
          <w:b/>
        </w:rPr>
        <w:t>If a client was terminated from the program, do they</w:t>
      </w:r>
      <w:r w:rsidR="00B86961" w:rsidRPr="00166252">
        <w:rPr>
          <w:b/>
        </w:rPr>
        <w:t xml:space="preserve"> hav</w:t>
      </w:r>
      <w:r>
        <w:rPr>
          <w:b/>
        </w:rPr>
        <w:t>e the right to reapply for</w:t>
      </w:r>
      <w:r w:rsidR="00B86961" w:rsidRPr="00166252">
        <w:rPr>
          <w:b/>
        </w:rPr>
        <w:t xml:space="preserve"> the</w:t>
      </w:r>
      <w:r>
        <w:rPr>
          <w:b/>
        </w:rPr>
        <w:t xml:space="preserve"> program the</w:t>
      </w:r>
      <w:r w:rsidR="00B86961" w:rsidRPr="00166252">
        <w:rPr>
          <w:b/>
        </w:rPr>
        <w:t xml:space="preserve"> following month?</w:t>
      </w:r>
    </w:p>
    <w:p w14:paraId="113655A8" w14:textId="371F51F1" w:rsidR="006401EB" w:rsidRDefault="00B75673" w:rsidP="00B75673">
      <w:pPr>
        <w:spacing w:after="0" w:line="240" w:lineRule="auto"/>
        <w:ind w:left="720"/>
      </w:pPr>
      <w:r w:rsidRPr="00B75673">
        <w:t>Yes.</w:t>
      </w:r>
      <w:r w:rsidR="009A0077">
        <w:t xml:space="preserve"> There is </w:t>
      </w:r>
      <w:r w:rsidR="00125875">
        <w:t xml:space="preserve">no </w:t>
      </w:r>
      <w:r w:rsidR="009A0077">
        <w:t xml:space="preserve">time limitation between program enrollment periods. </w:t>
      </w:r>
      <w:r w:rsidR="003D19EB">
        <w:t xml:space="preserve">However, </w:t>
      </w:r>
      <w:r w:rsidR="002036F4">
        <w:t xml:space="preserve">Project Sponsors </w:t>
      </w:r>
      <w:r w:rsidR="003D19EB">
        <w:t xml:space="preserve">must </w:t>
      </w:r>
      <w:r w:rsidR="002036F4">
        <w:t>have a termination policy</w:t>
      </w:r>
      <w:r w:rsidR="003D19EB">
        <w:t xml:space="preserve"> and this policy should</w:t>
      </w:r>
      <w:r w:rsidRPr="00B75673">
        <w:t xml:space="preserve"> </w:t>
      </w:r>
      <w:r w:rsidR="002036F4">
        <w:t>note</w:t>
      </w:r>
      <w:r w:rsidRPr="00B75673">
        <w:t xml:space="preserve"> the </w:t>
      </w:r>
      <w:r w:rsidR="00F4262B">
        <w:t>duration that</w:t>
      </w:r>
      <w:r w:rsidRPr="00B75673">
        <w:t xml:space="preserve"> a client </w:t>
      </w:r>
      <w:r w:rsidR="003D19EB">
        <w:t>must</w:t>
      </w:r>
      <w:r w:rsidRPr="00B75673">
        <w:t xml:space="preserve"> wait to reapply for </w:t>
      </w:r>
      <w:r w:rsidR="002036F4">
        <w:t>the program</w:t>
      </w:r>
      <w:r w:rsidR="009A0077">
        <w:t xml:space="preserve"> </w:t>
      </w:r>
      <w:r w:rsidR="003D19EB">
        <w:t>after</w:t>
      </w:r>
      <w:r w:rsidR="00117749">
        <w:t xml:space="preserve"> </w:t>
      </w:r>
      <w:r w:rsidR="003D19EB">
        <w:t xml:space="preserve">termination </w:t>
      </w:r>
      <w:r w:rsidR="009A0077">
        <w:t xml:space="preserve">or </w:t>
      </w:r>
      <w:r w:rsidR="003D19EB">
        <w:t xml:space="preserve">receive </w:t>
      </w:r>
      <w:r w:rsidR="009A0077">
        <w:t>specific program services</w:t>
      </w:r>
      <w:r w:rsidRPr="00B75673">
        <w:t xml:space="preserve"> </w:t>
      </w:r>
      <w:r w:rsidR="003D19EB">
        <w:t xml:space="preserve">after </w:t>
      </w:r>
      <w:r w:rsidR="00117749">
        <w:t>services end</w:t>
      </w:r>
      <w:r w:rsidRPr="00B75673">
        <w:t>.</w:t>
      </w:r>
    </w:p>
    <w:p w14:paraId="7FE3DEC9" w14:textId="422912F8" w:rsidR="006401EB" w:rsidRDefault="006401EB" w:rsidP="006401EB">
      <w:pPr>
        <w:numPr>
          <w:ilvl w:val="0"/>
          <w:numId w:val="22"/>
        </w:numPr>
        <w:spacing w:after="0" w:line="240" w:lineRule="auto"/>
        <w:rPr>
          <w:b/>
        </w:rPr>
      </w:pPr>
      <w:r w:rsidRPr="006401EB">
        <w:rPr>
          <w:b/>
        </w:rPr>
        <w:t>If an AA receives a refund for disallowed costs from a Project Sponsor, what do we do with it?</w:t>
      </w:r>
    </w:p>
    <w:p w14:paraId="5998BB49" w14:textId="124A3010" w:rsidR="00DD4525" w:rsidRDefault="00DD4525" w:rsidP="00ED208F">
      <w:pPr>
        <w:pStyle w:val="NoSpacing"/>
        <w:numPr>
          <w:ilvl w:val="0"/>
          <w:numId w:val="74"/>
        </w:numPr>
        <w:ind w:left="1080"/>
      </w:pPr>
      <w:r>
        <w:t>If an AA receives a refund from a Project Sponsor and the contract that funded the cost is still open, the AA must use all returned funds to pay other HOPWA expenses incurred during the remainder of the contract before r</w:t>
      </w:r>
      <w:r w:rsidR="001C7F63">
        <w:t>equesting further reimbursement</w:t>
      </w:r>
      <w:r>
        <w:t xml:space="preserve"> from DSHS.</w:t>
      </w:r>
      <w:r w:rsidR="001C7F63">
        <w:t xml:space="preserve"> If the contract closes before the AA has exhausted the refund, the AA must return the remaining funds to DSHS. T</w:t>
      </w:r>
      <w:r w:rsidR="001C7F63" w:rsidRPr="001C7F63">
        <w:t xml:space="preserve">he </w:t>
      </w:r>
      <w:r w:rsidR="00303243">
        <w:t xml:space="preserve">AA </w:t>
      </w:r>
      <w:r w:rsidR="001C7F63" w:rsidRPr="001C7F63">
        <w:t>refund</w:t>
      </w:r>
      <w:r w:rsidR="001C7F63">
        <w:t xml:space="preserve"> to DSHS</w:t>
      </w:r>
      <w:r w:rsidR="001C7F63" w:rsidRPr="001C7F63">
        <w:t xml:space="preserve"> should </w:t>
      </w:r>
      <w:r w:rsidR="00303243">
        <w:t>identify</w:t>
      </w:r>
      <w:r w:rsidR="001C7F63" w:rsidRPr="001C7F63">
        <w:t xml:space="preserve"> the specific contract that originally funded the cost.</w:t>
      </w:r>
    </w:p>
    <w:p w14:paraId="58FD5C5A" w14:textId="61387D48" w:rsidR="0070665B" w:rsidRDefault="00DD4525" w:rsidP="00ED208F">
      <w:pPr>
        <w:pStyle w:val="NoSpacing"/>
        <w:numPr>
          <w:ilvl w:val="0"/>
          <w:numId w:val="74"/>
        </w:numPr>
        <w:ind w:left="1080"/>
      </w:pPr>
      <w:r>
        <w:t xml:space="preserve">If the AA receives a refund from a Project Sponsor and the contract that funded the cost is closed, the AA must return the funds to DSHS and the refund should </w:t>
      </w:r>
      <w:r w:rsidR="00303243">
        <w:t xml:space="preserve">identify </w:t>
      </w:r>
      <w:r>
        <w:t>the specific contract that originally funded the cost.</w:t>
      </w:r>
    </w:p>
    <w:p w14:paraId="4F2B2DD0" w14:textId="09D0EEE4" w:rsidR="0070665B" w:rsidRDefault="00E011CF" w:rsidP="00DA098E">
      <w:pPr>
        <w:pStyle w:val="NoSpacing"/>
        <w:numPr>
          <w:ilvl w:val="0"/>
          <w:numId w:val="22"/>
        </w:numPr>
        <w:rPr>
          <w:b/>
        </w:rPr>
      </w:pPr>
      <w:r>
        <w:rPr>
          <w:b/>
        </w:rPr>
        <w:t>If a Project Sponsor receives</w:t>
      </w:r>
      <w:r w:rsidR="007720C9">
        <w:rPr>
          <w:b/>
        </w:rPr>
        <w:t xml:space="preserve"> </w:t>
      </w:r>
      <w:r>
        <w:rPr>
          <w:b/>
        </w:rPr>
        <w:t xml:space="preserve">a </w:t>
      </w:r>
      <w:r w:rsidR="007720C9">
        <w:rPr>
          <w:b/>
        </w:rPr>
        <w:t>refund for</w:t>
      </w:r>
      <w:r w:rsidR="0070665B">
        <w:rPr>
          <w:b/>
        </w:rPr>
        <w:t xml:space="preserve"> </w:t>
      </w:r>
      <w:r>
        <w:rPr>
          <w:b/>
        </w:rPr>
        <w:t xml:space="preserve">a </w:t>
      </w:r>
      <w:r w:rsidR="0070665B">
        <w:rPr>
          <w:b/>
        </w:rPr>
        <w:t xml:space="preserve">security/utility deposit </w:t>
      </w:r>
      <w:r w:rsidR="002D08A1">
        <w:rPr>
          <w:b/>
        </w:rPr>
        <w:t>from a vendor</w:t>
      </w:r>
      <w:r w:rsidR="0070665B">
        <w:rPr>
          <w:b/>
        </w:rPr>
        <w:t>, what do we do with it?</w:t>
      </w:r>
    </w:p>
    <w:p w14:paraId="623FDD3D" w14:textId="16B96FCE" w:rsidR="00C93EF0" w:rsidRDefault="002D08A1" w:rsidP="00ED208F">
      <w:pPr>
        <w:pStyle w:val="NoSpacing"/>
        <w:numPr>
          <w:ilvl w:val="0"/>
          <w:numId w:val="82"/>
        </w:numPr>
        <w:ind w:left="1080"/>
      </w:pPr>
      <w:r w:rsidRPr="00ED208F">
        <w:t>If a Project Sponsor receives a security/utility deposit refund</w:t>
      </w:r>
      <w:r>
        <w:t xml:space="preserve"> from a vendor and the Project Sponsor is still contracted to provide HOPWA services, the Project Sponsor must use all returned funds to pay other HOPWA expenses incurred during the current program year before requesting further reimbursement from </w:t>
      </w:r>
      <w:r w:rsidR="005F4ECB">
        <w:t>their AA</w:t>
      </w:r>
      <w:r w:rsidR="00CD7586">
        <w:t>.</w:t>
      </w:r>
      <w:r w:rsidRPr="002D08A1">
        <w:t xml:space="preserve"> </w:t>
      </w:r>
      <w:r w:rsidR="00CD7586">
        <w:t>Project Sponsors must report security/utility d</w:t>
      </w:r>
      <w:r w:rsidRPr="002D08A1">
        <w:t xml:space="preserve">eposit refunds (credits) </w:t>
      </w:r>
      <w:r w:rsidR="009C1524">
        <w:t xml:space="preserve">as program income on the Program Progress Report (PPR) and </w:t>
      </w:r>
      <w:r w:rsidR="00CD7586">
        <w:t>o</w:t>
      </w:r>
      <w:r w:rsidRPr="002D08A1">
        <w:t>n the Program Income line o</w:t>
      </w:r>
      <w:r w:rsidR="00CD7586">
        <w:t>f</w:t>
      </w:r>
      <w:r w:rsidRPr="002D08A1">
        <w:t xml:space="preserve"> Form </w:t>
      </w:r>
      <w:proofErr w:type="spellStart"/>
      <w:r w:rsidRPr="002D08A1">
        <w:t>269a</w:t>
      </w:r>
      <w:proofErr w:type="spellEnd"/>
      <w:r w:rsidRPr="002D08A1">
        <w:t>, Financial Status Report.</w:t>
      </w:r>
      <w:r w:rsidR="001E4A69">
        <w:t xml:space="preserve"> </w:t>
      </w:r>
    </w:p>
    <w:p w14:paraId="20F43034" w14:textId="5ABD9DBC" w:rsidR="0070665B" w:rsidRPr="00ED208F" w:rsidRDefault="001E4A69" w:rsidP="00ED208F">
      <w:pPr>
        <w:pStyle w:val="NoSpacing"/>
        <w:numPr>
          <w:ilvl w:val="0"/>
          <w:numId w:val="82"/>
        </w:numPr>
        <w:ind w:left="1080"/>
      </w:pPr>
      <w:r w:rsidRPr="001E4A69">
        <w:t xml:space="preserve">If a Project Sponsor receives a security/utility deposit refund from a vendor and the Project Sponsor is </w:t>
      </w:r>
      <w:r>
        <w:t>no longer</w:t>
      </w:r>
      <w:r w:rsidRPr="001E4A69">
        <w:t xml:space="preserve"> contracted to provide HOPWA services, the Project Sponsor must</w:t>
      </w:r>
      <w:r>
        <w:t xml:space="preserve"> return the remaining funds to </w:t>
      </w:r>
      <w:r w:rsidR="005F4ECB">
        <w:t>their AA</w:t>
      </w:r>
      <w:r>
        <w:t>.</w:t>
      </w:r>
      <w:r w:rsidR="007720C9">
        <w:t xml:space="preserve"> The AA must use all returned funds to pay other HOPWA expenses incurred during the current program year before requesting further reimbursement from DSHS. </w:t>
      </w:r>
    </w:p>
    <w:p w14:paraId="70A953A8" w14:textId="19B7F497" w:rsidR="00166252" w:rsidRDefault="00C87202" w:rsidP="00DA098E">
      <w:pPr>
        <w:pStyle w:val="NoSpacing"/>
        <w:numPr>
          <w:ilvl w:val="0"/>
          <w:numId w:val="22"/>
        </w:numPr>
        <w:rPr>
          <w:b/>
        </w:rPr>
      </w:pPr>
      <w:r>
        <w:rPr>
          <w:b/>
        </w:rPr>
        <w:t>What is a unit of service</w:t>
      </w:r>
      <w:r w:rsidR="00166252" w:rsidRPr="00166252">
        <w:rPr>
          <w:b/>
        </w:rPr>
        <w:t xml:space="preserve"> for HOPWA?</w:t>
      </w:r>
    </w:p>
    <w:p w14:paraId="48F46F84" w14:textId="2B64F591" w:rsidR="00B75673" w:rsidRDefault="00B75673" w:rsidP="00B75673">
      <w:pPr>
        <w:pStyle w:val="NoSpacing"/>
        <w:ind w:left="720"/>
      </w:pPr>
      <w:r w:rsidRPr="00B75673">
        <w:t>A unit of service would be one</w:t>
      </w:r>
      <w:r w:rsidR="00C87202">
        <w:t xml:space="preserve"> service transaction (e.g., one</w:t>
      </w:r>
      <w:r w:rsidRPr="00B75673">
        <w:t xml:space="preserve"> TBR</w:t>
      </w:r>
      <w:r>
        <w:t>A payment or one STRMU payment</w:t>
      </w:r>
      <w:r w:rsidR="00C87202">
        <w:t>)</w:t>
      </w:r>
      <w:r>
        <w:t>.</w:t>
      </w:r>
    </w:p>
    <w:p w14:paraId="63E983D9" w14:textId="1A2E1474" w:rsidR="000E5EAF" w:rsidRDefault="000E5EAF" w:rsidP="000E5EAF">
      <w:pPr>
        <w:pStyle w:val="NoSpacing"/>
        <w:numPr>
          <w:ilvl w:val="0"/>
          <w:numId w:val="22"/>
        </w:numPr>
        <w:rPr>
          <w:b/>
        </w:rPr>
      </w:pPr>
      <w:r>
        <w:rPr>
          <w:b/>
        </w:rPr>
        <w:t xml:space="preserve">If a client is unable to meet with a Project Sponsor nor complete/update program forms in person, can a Project Sponsor </w:t>
      </w:r>
      <w:r w:rsidR="00CB6983">
        <w:rPr>
          <w:b/>
        </w:rPr>
        <w:t>utilize remote means of interfacing with the client</w:t>
      </w:r>
      <w:r w:rsidRPr="00166252">
        <w:rPr>
          <w:b/>
        </w:rPr>
        <w:t>?</w:t>
      </w:r>
    </w:p>
    <w:p w14:paraId="5B2D97E9" w14:textId="4A151D5A" w:rsidR="000E5EAF" w:rsidRDefault="00CB6983" w:rsidP="00B75673">
      <w:pPr>
        <w:pStyle w:val="NoSpacing"/>
        <w:ind w:left="720"/>
      </w:pPr>
      <w:r>
        <w:t xml:space="preserve">Yes. </w:t>
      </w:r>
      <w:r w:rsidRPr="00CB6983">
        <w:t xml:space="preserve">Instead of a face-to-face </w:t>
      </w:r>
      <w:r w:rsidR="005B4424">
        <w:t>meeting</w:t>
      </w:r>
      <w:r w:rsidRPr="00CB6983">
        <w:t xml:space="preserve">, a Project Sponsor may arrange for a remote </w:t>
      </w:r>
      <w:r>
        <w:t>meeting</w:t>
      </w:r>
      <w:r w:rsidRPr="00CB6983">
        <w:t xml:space="preserve"> via phone or audio/video streaming technology</w:t>
      </w:r>
      <w:r>
        <w:t xml:space="preserve">. </w:t>
      </w:r>
      <w:r w:rsidRPr="00CB6983">
        <w:t xml:space="preserve">When possible, please attempt to complete all paperwork and documentation via mail, fax, or other secure electronic means. Third-party eligibility and supporting documents are still preferred. Project Sponsors may use electronic signature software to obtain household member </w:t>
      </w:r>
      <w:r w:rsidRPr="00CB6983">
        <w:lastRenderedPageBreak/>
        <w:t>signatures. The software must meet the Project Sponsor’s confidentiality and data security policies and/or procedures. If a Project Sponsor needs to procure such software, the cost may be allocated to specific activity categories as a direct service delivery cost or allocated to Project Sponsor administration. Note, Project Sponsors performing telehealth activities may already have such software and could expand its use to the HOPWA program.</w:t>
      </w:r>
      <w:r>
        <w:t xml:space="preserve"> </w:t>
      </w:r>
      <w:r w:rsidRPr="00CB6983">
        <w:t xml:space="preserve">On a case-by-case basis and </w:t>
      </w:r>
      <w:r>
        <w:t>as a last resort</w:t>
      </w:r>
      <w:r w:rsidRPr="00CB6983">
        <w:t xml:space="preserve">, Project Sponsors may complete DSHS HOPWA Program forms that would otherwise require a household member’s signature on behalf of the household (Forms A, B, D, G, N, and O, but not Form F). In lieu of a household member’s signature, Project Sponsors may make a note on the program form that obtaining a signature from the applicable household member was not possible. In the household’s case notes, the Project Sponsor should document </w:t>
      </w:r>
      <w:r>
        <w:t>this decision</w:t>
      </w:r>
      <w:r w:rsidRPr="00CB6983">
        <w:t xml:space="preserve"> and provide a brief rationale</w:t>
      </w:r>
      <w:r>
        <w:t>.</w:t>
      </w:r>
    </w:p>
    <w:p w14:paraId="3EEC6E08" w14:textId="6B6ACD48" w:rsidR="004010EB" w:rsidRDefault="004010EB" w:rsidP="004010EB">
      <w:pPr>
        <w:pStyle w:val="NoSpacing"/>
        <w:numPr>
          <w:ilvl w:val="0"/>
          <w:numId w:val="22"/>
        </w:numPr>
        <w:rPr>
          <w:b/>
        </w:rPr>
      </w:pPr>
      <w:r>
        <w:rPr>
          <w:b/>
        </w:rPr>
        <w:t xml:space="preserve">What </w:t>
      </w:r>
      <w:r w:rsidR="002B1C32">
        <w:rPr>
          <w:b/>
        </w:rPr>
        <w:t>kinds of costs are we allowed to bill to our HOPWA contract</w:t>
      </w:r>
      <w:r>
        <w:rPr>
          <w:b/>
        </w:rPr>
        <w:t>?</w:t>
      </w:r>
    </w:p>
    <w:p w14:paraId="261387FC" w14:textId="4262583F" w:rsidR="004010EB" w:rsidRDefault="002B1C32">
      <w:pPr>
        <w:pStyle w:val="NoSpacing"/>
        <w:ind w:left="720"/>
      </w:pPr>
      <w:r>
        <w:t xml:space="preserve">In general, </w:t>
      </w:r>
      <w:r w:rsidR="004010EB">
        <w:t>allowable costs</w:t>
      </w:r>
      <w:r>
        <w:t xml:space="preserve"> </w:t>
      </w:r>
      <w:r w:rsidR="004010EB">
        <w:t>include</w:t>
      </w:r>
      <w:r>
        <w:t xml:space="preserve"> those </w:t>
      </w:r>
      <w:r w:rsidR="00E3720C">
        <w:t>authorized in this manual,</w:t>
      </w:r>
      <w:r w:rsidR="004010EB">
        <w:t xml:space="preserve"> personnel (salaries and benefits), </w:t>
      </w:r>
      <w:r>
        <w:t xml:space="preserve">travel, subcontracts for goods and services, </w:t>
      </w:r>
      <w:r w:rsidR="004010EB">
        <w:t>equipment, supplies,</w:t>
      </w:r>
      <w:r>
        <w:t xml:space="preserve"> and</w:t>
      </w:r>
      <w:r w:rsidR="004010EB">
        <w:t xml:space="preserve"> indirect</w:t>
      </w:r>
      <w:r w:rsidR="00E3720C">
        <w:t>. Costs must be necessary and reasonable</w:t>
      </w:r>
      <w:r w:rsidR="00596BA3">
        <w:t>.</w:t>
      </w:r>
    </w:p>
    <w:p w14:paraId="24E25A6F" w14:textId="4A898C9D" w:rsidR="0050066C" w:rsidRDefault="0050066C" w:rsidP="0050066C">
      <w:pPr>
        <w:pStyle w:val="NoSpacing"/>
        <w:numPr>
          <w:ilvl w:val="0"/>
          <w:numId w:val="22"/>
        </w:numPr>
        <w:rPr>
          <w:b/>
        </w:rPr>
      </w:pPr>
      <w:r w:rsidRPr="0050066C">
        <w:rPr>
          <w:b/>
        </w:rPr>
        <w:t>If a</w:t>
      </w:r>
      <w:r>
        <w:rPr>
          <w:b/>
        </w:rPr>
        <w:t>n AA or a</w:t>
      </w:r>
      <w:r w:rsidRPr="0050066C">
        <w:rPr>
          <w:b/>
        </w:rPr>
        <w:t xml:space="preserve"> Project Sponsor uses HOPWA funds to pay for conference registration fees and the conference does not take place until the next contract term, are they going to bill that cost to the current contract or the future contract? </w:t>
      </w:r>
      <w:r>
        <w:rPr>
          <w:b/>
        </w:rPr>
        <w:t>For example, if t</w:t>
      </w:r>
      <w:r w:rsidRPr="0050066C">
        <w:rPr>
          <w:b/>
        </w:rPr>
        <w:t xml:space="preserve">he </w:t>
      </w:r>
      <w:r>
        <w:rPr>
          <w:b/>
        </w:rPr>
        <w:t xml:space="preserve">current </w:t>
      </w:r>
      <w:r w:rsidRPr="0050066C">
        <w:rPr>
          <w:b/>
        </w:rPr>
        <w:t>HOPWA contract term runs 09/01/2</w:t>
      </w:r>
      <w:r w:rsidR="008F7DF7">
        <w:rPr>
          <w:b/>
        </w:rPr>
        <w:t>3</w:t>
      </w:r>
      <w:r w:rsidRPr="0050066C">
        <w:rPr>
          <w:b/>
        </w:rPr>
        <w:t xml:space="preserve"> to 08/31/2</w:t>
      </w:r>
      <w:r w:rsidR="008F7DF7">
        <w:rPr>
          <w:b/>
        </w:rPr>
        <w:t>4</w:t>
      </w:r>
      <w:r>
        <w:rPr>
          <w:b/>
        </w:rPr>
        <w:t xml:space="preserve"> and the conference occurs in October 202</w:t>
      </w:r>
      <w:r w:rsidR="008F7DF7">
        <w:rPr>
          <w:b/>
        </w:rPr>
        <w:t>4</w:t>
      </w:r>
      <w:r>
        <w:rPr>
          <w:b/>
        </w:rPr>
        <w:t xml:space="preserve"> (after the current contract term ends), can we bill the cost of the conference registration fees to the current contract?</w:t>
      </w:r>
      <w:r w:rsidRPr="0050066C">
        <w:rPr>
          <w:b/>
        </w:rPr>
        <w:t xml:space="preserve"> The Project Sponsor must register early to ensure they have a spot.</w:t>
      </w:r>
    </w:p>
    <w:p w14:paraId="51E04C77" w14:textId="44B77729" w:rsidR="0050066C" w:rsidRDefault="0050066C">
      <w:pPr>
        <w:pStyle w:val="NoSpacing"/>
        <w:ind w:left="720"/>
      </w:pPr>
      <w:r>
        <w:t xml:space="preserve">In this scenario, the AA or Project Sponsor would bill the future contract, not the current contract. </w:t>
      </w:r>
      <w:r w:rsidRPr="0050066C">
        <w:t xml:space="preserve">The </w:t>
      </w:r>
      <w:r>
        <w:t xml:space="preserve">conference </w:t>
      </w:r>
      <w:r w:rsidRPr="0050066C">
        <w:t xml:space="preserve">registration fee would not be an expense until the conference begins (occurs). The regular fee is considered prepaid (asset) until the date the conference begins. When the conference begins, a journal entry should be made to change the prepaid asset to an expense. A request for reimbursement from DSHS should not include the registration fee until it is expensed (the </w:t>
      </w:r>
      <w:r>
        <w:t>contract</w:t>
      </w:r>
      <w:r w:rsidRPr="0050066C">
        <w:t xml:space="preserve"> year the conference occurred).</w:t>
      </w:r>
    </w:p>
    <w:p w14:paraId="2BC44811" w14:textId="11D2267D" w:rsidR="00740357" w:rsidRDefault="00740357" w:rsidP="00740357">
      <w:pPr>
        <w:pStyle w:val="NoSpacing"/>
        <w:numPr>
          <w:ilvl w:val="0"/>
          <w:numId w:val="22"/>
        </w:numPr>
        <w:rPr>
          <w:b/>
        </w:rPr>
      </w:pPr>
      <w:r>
        <w:rPr>
          <w:b/>
        </w:rPr>
        <w:t>Can a Project Sponsor use Ryan White Housing services to pay a rental assistance household’s calculated share of rent if they’ve experienced a hardship that prevents them from paying their portion</w:t>
      </w:r>
      <w:r w:rsidRPr="0050066C">
        <w:rPr>
          <w:b/>
        </w:rPr>
        <w:t>.</w:t>
      </w:r>
    </w:p>
    <w:p w14:paraId="4D63286D" w14:textId="547DF8C9" w:rsidR="00740357" w:rsidRPr="0050066C" w:rsidRDefault="00740357" w:rsidP="00740357">
      <w:pPr>
        <w:pStyle w:val="NoSpacing"/>
        <w:ind w:left="720"/>
      </w:pPr>
      <w:r>
        <w:t>No</w:t>
      </w:r>
      <w:r w:rsidR="00FD154C">
        <w:t xml:space="preserve">, as with STRMU, a household </w:t>
      </w:r>
      <w:r w:rsidR="00FD154C" w:rsidRPr="00FD154C">
        <w:t>cannot receive TBRA</w:t>
      </w:r>
      <w:r w:rsidR="00FD154C">
        <w:t xml:space="preserve"> and Ryan White Housing services at the same time. HUD considers this “double-dipping.”</w:t>
      </w:r>
    </w:p>
    <w:p w14:paraId="786C5907" w14:textId="6FA06CAF" w:rsidR="00CB60E3" w:rsidRPr="004F1682" w:rsidRDefault="00CB60E3" w:rsidP="0013270A">
      <w:pPr>
        <w:pStyle w:val="NoSpacing"/>
        <w:ind w:left="720"/>
        <w:rPr>
          <w:sz w:val="2"/>
        </w:rPr>
      </w:pPr>
      <w:r w:rsidRPr="004F1682">
        <w:rPr>
          <w:sz w:val="2"/>
        </w:rPr>
        <w:br w:type="page"/>
      </w:r>
    </w:p>
    <w:p w14:paraId="1E48ED9D" w14:textId="1D91E928" w:rsidR="00997D5C" w:rsidRPr="00DA098E" w:rsidRDefault="00997D5C" w:rsidP="00DA098E">
      <w:pPr>
        <w:pStyle w:val="Heading2"/>
        <w:jc w:val="center"/>
        <w:rPr>
          <w:rStyle w:val="Strong"/>
          <w:color w:val="auto"/>
        </w:rPr>
      </w:pPr>
      <w:bookmarkStart w:id="69" w:name="_Toc140755492"/>
      <w:r w:rsidRPr="00DA098E">
        <w:rPr>
          <w:rStyle w:val="Strong"/>
          <w:rFonts w:asciiTheme="minorHAnsi" w:hAnsiTheme="minorHAnsi"/>
          <w:color w:val="auto"/>
          <w:sz w:val="22"/>
        </w:rPr>
        <w:lastRenderedPageBreak/>
        <w:t>Appendix G: HIV Service Delivery Area (HSDA) Map and Counties</w:t>
      </w:r>
      <w:bookmarkEnd w:id="69"/>
    </w:p>
    <w:p w14:paraId="01AA6EFD" w14:textId="77777777" w:rsidR="00997D5C" w:rsidRPr="00DA098E" w:rsidRDefault="00997D5C" w:rsidP="00DA098E">
      <w:pPr>
        <w:pStyle w:val="NoSpacing"/>
        <w:rPr>
          <w:sz w:val="16"/>
        </w:rPr>
      </w:pPr>
    </w:p>
    <w:p w14:paraId="1D1749A7" w14:textId="6FADAB4B" w:rsidR="007C2AF1" w:rsidRDefault="00CB60E3" w:rsidP="000B43DF">
      <w:pPr>
        <w:pStyle w:val="NoSpacing"/>
        <w:jc w:val="center"/>
      </w:pPr>
      <w:r>
        <w:rPr>
          <w:noProof/>
        </w:rPr>
        <w:drawing>
          <wp:inline distT="0" distB="0" distL="0" distR="0" wp14:anchorId="37371235" wp14:editId="4D6A5EEC">
            <wp:extent cx="6882100" cy="43218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3" cstate="print">
                      <a:extLst>
                        <a:ext uri="{28A0092B-C50C-407E-A947-70E740481C1C}">
                          <a14:useLocalDpi xmlns:a14="http://schemas.microsoft.com/office/drawing/2010/main" val="0"/>
                        </a:ext>
                      </a:extLst>
                    </a:blip>
                    <a:srcRect t="9165"/>
                    <a:stretch/>
                  </pic:blipFill>
                  <pic:spPr bwMode="auto">
                    <a:xfrm>
                      <a:off x="0" y="0"/>
                      <a:ext cx="7058932" cy="4432856"/>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000" w:type="pct"/>
        <w:tblLook w:val="04A0" w:firstRow="1" w:lastRow="0" w:firstColumn="1" w:lastColumn="0" w:noHBand="0" w:noVBand="1"/>
      </w:tblPr>
      <w:tblGrid>
        <w:gridCol w:w="1284"/>
        <w:gridCol w:w="2005"/>
        <w:gridCol w:w="7501"/>
      </w:tblGrid>
      <w:tr w:rsidR="007C2AF1" w:rsidRPr="007C2AF1" w14:paraId="5F7C47EE" w14:textId="77777777" w:rsidTr="002A61C8">
        <w:trPr>
          <w:trHeight w:val="20"/>
        </w:trPr>
        <w:tc>
          <w:tcPr>
            <w:tcW w:w="59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14:paraId="21715FE4" w14:textId="14EBC917" w:rsidR="007C2AF1" w:rsidRPr="002A61C8" w:rsidRDefault="007C2AF1" w:rsidP="007C2AF1">
            <w:pPr>
              <w:spacing w:after="0" w:line="240" w:lineRule="auto"/>
              <w:rPr>
                <w:rFonts w:ascii="Calibri" w:eastAsia="Times New Roman" w:hAnsi="Calibri" w:cs="Times New Roman"/>
                <w:b/>
                <w:bCs/>
                <w:color w:val="000000"/>
                <w:sz w:val="16"/>
                <w:szCs w:val="14"/>
              </w:rPr>
            </w:pPr>
            <w:r w:rsidRPr="002A61C8">
              <w:rPr>
                <w:rFonts w:ascii="Calibri" w:eastAsia="Times New Roman" w:hAnsi="Calibri" w:cs="Times New Roman"/>
                <w:b/>
                <w:bCs/>
                <w:color w:val="000000"/>
                <w:sz w:val="16"/>
                <w:szCs w:val="14"/>
              </w:rPr>
              <w:t>Plan Area (</w:t>
            </w:r>
            <w:r w:rsidR="008A4679">
              <w:rPr>
                <w:rFonts w:ascii="Calibri" w:eastAsia="Times New Roman" w:hAnsi="Calibri" w:cs="Times New Roman"/>
                <w:b/>
                <w:bCs/>
                <w:color w:val="000000"/>
                <w:sz w:val="16"/>
                <w:szCs w:val="14"/>
              </w:rPr>
              <w:t>6</w:t>
            </w:r>
            <w:r w:rsidRPr="002A61C8">
              <w:rPr>
                <w:rFonts w:ascii="Calibri" w:eastAsia="Times New Roman" w:hAnsi="Calibri" w:cs="Times New Roman"/>
                <w:b/>
                <w:bCs/>
                <w:color w:val="000000"/>
                <w:sz w:val="16"/>
                <w:szCs w:val="14"/>
              </w:rPr>
              <w:t>)</w:t>
            </w:r>
          </w:p>
        </w:tc>
        <w:tc>
          <w:tcPr>
            <w:tcW w:w="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14:paraId="1578679A" w14:textId="77777777" w:rsidR="007C2AF1" w:rsidRPr="002A61C8" w:rsidRDefault="007C2AF1" w:rsidP="007C2AF1">
            <w:pPr>
              <w:spacing w:after="0" w:line="240" w:lineRule="auto"/>
              <w:jc w:val="both"/>
              <w:rPr>
                <w:rFonts w:ascii="Calibri" w:eastAsia="Times New Roman" w:hAnsi="Calibri" w:cs="Times New Roman"/>
                <w:b/>
                <w:bCs/>
                <w:color w:val="000000"/>
                <w:sz w:val="16"/>
                <w:szCs w:val="14"/>
              </w:rPr>
            </w:pPr>
            <w:r w:rsidRPr="002A61C8">
              <w:rPr>
                <w:rFonts w:ascii="Calibri" w:eastAsia="Times New Roman" w:hAnsi="Calibri" w:cs="Times New Roman"/>
                <w:b/>
                <w:bCs/>
                <w:color w:val="000000"/>
                <w:sz w:val="16"/>
                <w:szCs w:val="14"/>
              </w:rPr>
              <w:t>HSDA (26)</w:t>
            </w:r>
          </w:p>
        </w:tc>
        <w:tc>
          <w:tcPr>
            <w:tcW w:w="3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14:paraId="472B3425" w14:textId="3D7F1ECC" w:rsidR="007C2AF1" w:rsidRPr="002A61C8" w:rsidRDefault="007C2AF1" w:rsidP="007C2AF1">
            <w:pPr>
              <w:spacing w:after="0" w:line="240" w:lineRule="auto"/>
              <w:rPr>
                <w:rFonts w:ascii="Calibri" w:eastAsia="Times New Roman" w:hAnsi="Calibri" w:cs="Times New Roman"/>
                <w:b/>
                <w:bCs/>
                <w:color w:val="000000"/>
                <w:sz w:val="16"/>
                <w:szCs w:val="14"/>
              </w:rPr>
            </w:pPr>
            <w:r w:rsidRPr="002A61C8">
              <w:rPr>
                <w:rFonts w:ascii="Calibri" w:eastAsia="Times New Roman" w:hAnsi="Calibri" w:cs="Times New Roman"/>
                <w:b/>
                <w:bCs/>
                <w:color w:val="000000"/>
                <w:sz w:val="16"/>
                <w:szCs w:val="14"/>
              </w:rPr>
              <w:t>Counties (254)</w:t>
            </w:r>
          </w:p>
        </w:tc>
      </w:tr>
      <w:tr w:rsidR="007C2AF1" w:rsidRPr="007C2AF1" w14:paraId="2BF8F5D7" w14:textId="77777777" w:rsidTr="002A61C8">
        <w:trPr>
          <w:trHeight w:val="20"/>
        </w:trPr>
        <w:tc>
          <w:tcPr>
            <w:tcW w:w="59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CB9CA" w:themeFill="text2" w:themeFillTint="66"/>
            <w:noWrap/>
            <w:hideMark/>
          </w:tcPr>
          <w:p w14:paraId="3DE06328" w14:textId="77777777" w:rsidR="007C2AF1" w:rsidRPr="00ED208F" w:rsidRDefault="007C2AF1" w:rsidP="007C2AF1">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South Central</w:t>
            </w:r>
          </w:p>
        </w:tc>
        <w:tc>
          <w:tcPr>
            <w:tcW w:w="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CB9CA" w:themeFill="text2" w:themeFillTint="66"/>
            <w:noWrap/>
            <w:hideMark/>
          </w:tcPr>
          <w:p w14:paraId="6448CC5F" w14:textId="77777777" w:rsidR="007C2AF1" w:rsidRPr="00ED208F" w:rsidRDefault="007C2AF1" w:rsidP="007C2AF1">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San Antonio</w:t>
            </w:r>
          </w:p>
        </w:tc>
        <w:tc>
          <w:tcPr>
            <w:tcW w:w="3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CB9CA" w:themeFill="text2" w:themeFillTint="66"/>
            <w:hideMark/>
          </w:tcPr>
          <w:p w14:paraId="57D5465B" w14:textId="77777777" w:rsidR="007C2AF1" w:rsidRPr="00ED208F" w:rsidRDefault="007C2AF1" w:rsidP="007C2AF1">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Atascosa, Bandera, Bexar, Comal, Frio, Gillespie, Guadalupe, Karnes, Kendall, Kerr, Medina, Wilson</w:t>
            </w:r>
          </w:p>
        </w:tc>
      </w:tr>
      <w:tr w:rsidR="00DA1987" w:rsidRPr="007C2AF1" w14:paraId="314F91A3" w14:textId="77777777" w:rsidTr="002A61C8">
        <w:trPr>
          <w:trHeight w:val="20"/>
        </w:trPr>
        <w:tc>
          <w:tcPr>
            <w:tcW w:w="595" w:type="pct"/>
            <w:tcBorders>
              <w:top w:val="single" w:sz="4" w:space="0" w:color="FFFFFF" w:themeColor="background1"/>
              <w:left w:val="single" w:sz="4" w:space="0" w:color="FFFFFF" w:themeColor="background1"/>
              <w:bottom w:val="nil"/>
              <w:right w:val="single" w:sz="4" w:space="0" w:color="FFFFFF" w:themeColor="background1"/>
            </w:tcBorders>
            <w:shd w:val="clear" w:color="auto" w:fill="BDD6EE" w:themeFill="accent1" w:themeFillTint="66"/>
            <w:noWrap/>
          </w:tcPr>
          <w:p w14:paraId="76148E20" w14:textId="6B00236F" w:rsidR="00DA1987" w:rsidRPr="00ED208F" w:rsidRDefault="00DA1987" w:rsidP="00DA1987">
            <w:pPr>
              <w:spacing w:after="0" w:line="240" w:lineRule="auto"/>
              <w:rPr>
                <w:rFonts w:ascii="Calibri" w:eastAsia="Times New Roman" w:hAnsi="Calibri" w:cs="Times New Roman"/>
                <w:color w:val="000000"/>
                <w:sz w:val="16"/>
                <w:szCs w:val="16"/>
              </w:rPr>
            </w:pPr>
            <w:r w:rsidRPr="00DA1987">
              <w:rPr>
                <w:rFonts w:ascii="Calibri" w:eastAsia="Times New Roman" w:hAnsi="Calibri" w:cs="Times New Roman"/>
                <w:color w:val="000000"/>
                <w:sz w:val="16"/>
                <w:szCs w:val="16"/>
              </w:rPr>
              <w:t>Central</w:t>
            </w:r>
          </w:p>
        </w:tc>
        <w:tc>
          <w:tcPr>
            <w:tcW w:w="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noWrap/>
          </w:tcPr>
          <w:p w14:paraId="0D9D6654" w14:textId="4CFC5FAC" w:rsidR="00DA1987" w:rsidRPr="00ED208F" w:rsidRDefault="00DA1987" w:rsidP="00DA1987">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Abilene</w:t>
            </w:r>
          </w:p>
        </w:tc>
        <w:tc>
          <w:tcPr>
            <w:tcW w:w="3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6A6B4C00" w14:textId="08EF3A1B" w:rsidR="00DA1987" w:rsidRPr="00ED208F" w:rsidRDefault="00DA1987" w:rsidP="00DA1987">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Brown, Callahan, Coleman, Comanche, Eastland, Fisher, Haskell, Jones, Kent, Knox, Mitchell, Nolan, Runnels, Scurry, Shackelford, Stephens, Stonewall, Taylor, Throckmorton</w:t>
            </w:r>
          </w:p>
        </w:tc>
      </w:tr>
      <w:tr w:rsidR="00BF222E" w:rsidRPr="00ED208F" w14:paraId="1C54E54E" w14:textId="77777777" w:rsidTr="002A61C8">
        <w:trPr>
          <w:trHeight w:val="20"/>
        </w:trPr>
        <w:tc>
          <w:tcPr>
            <w:tcW w:w="595" w:type="pct"/>
            <w:tcBorders>
              <w:left w:val="single" w:sz="4" w:space="0" w:color="FFFFFF" w:themeColor="background1"/>
              <w:bottom w:val="nil"/>
              <w:right w:val="single" w:sz="4" w:space="0" w:color="FFFFFF" w:themeColor="background1"/>
            </w:tcBorders>
            <w:shd w:val="clear" w:color="auto" w:fill="BDD6EE" w:themeFill="accent1" w:themeFillTint="66"/>
            <w:noWrap/>
          </w:tcPr>
          <w:p w14:paraId="666F59F5" w14:textId="7FEDB5A0" w:rsidR="00BF222E" w:rsidRPr="00ED208F" w:rsidRDefault="00BF222E" w:rsidP="00BF222E">
            <w:pPr>
              <w:spacing w:after="0" w:line="240" w:lineRule="auto"/>
              <w:rPr>
                <w:rFonts w:ascii="Calibri" w:eastAsia="Times New Roman" w:hAnsi="Calibri" w:cs="Times New Roman"/>
                <w:color w:val="000000"/>
                <w:sz w:val="16"/>
                <w:szCs w:val="16"/>
              </w:rPr>
            </w:pPr>
          </w:p>
        </w:tc>
        <w:tc>
          <w:tcPr>
            <w:tcW w:w="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noWrap/>
            <w:hideMark/>
          </w:tcPr>
          <w:p w14:paraId="58DAF667" w14:textId="77777777" w:rsidR="00BF222E" w:rsidRPr="00ED208F" w:rsidRDefault="00BF222E" w:rsidP="00BF222E">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Amarillo</w:t>
            </w:r>
          </w:p>
        </w:tc>
        <w:tc>
          <w:tcPr>
            <w:tcW w:w="3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hideMark/>
          </w:tcPr>
          <w:p w14:paraId="632BA48F" w14:textId="77777777" w:rsidR="00BF222E" w:rsidRPr="00ED208F" w:rsidRDefault="00BF222E" w:rsidP="00BF222E">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Armstrong, Briscoe, Carson, Castro, Childress, Collingsworth, Dallam, Deaf Smith, Donley, Gray, Hall, Hansford, Hartley, Hemphill, Hutchinson, Lipscomb, Moore, Ochiltree, Oldham, Parmer, Potter, Randall, Roberts, Sherman, Swisher, Wheeler</w:t>
            </w:r>
          </w:p>
        </w:tc>
      </w:tr>
      <w:tr w:rsidR="007C2AF1" w:rsidRPr="007C2AF1" w14:paraId="54897258" w14:textId="77777777" w:rsidTr="002A61C8">
        <w:trPr>
          <w:trHeight w:val="20"/>
        </w:trPr>
        <w:tc>
          <w:tcPr>
            <w:tcW w:w="595" w:type="pct"/>
            <w:tcBorders>
              <w:left w:val="single" w:sz="4" w:space="0" w:color="FFFFFF" w:themeColor="background1"/>
              <w:bottom w:val="nil"/>
              <w:right w:val="single" w:sz="4" w:space="0" w:color="FFFFFF" w:themeColor="background1"/>
            </w:tcBorders>
            <w:shd w:val="clear" w:color="auto" w:fill="BDD6EE" w:themeFill="accent1" w:themeFillTint="66"/>
            <w:noWrap/>
            <w:hideMark/>
          </w:tcPr>
          <w:p w14:paraId="08FBF859" w14:textId="6B5E6C78" w:rsidR="007C2AF1" w:rsidRPr="00ED208F" w:rsidRDefault="007C2AF1" w:rsidP="007C2AF1">
            <w:pPr>
              <w:spacing w:after="0" w:line="240" w:lineRule="auto"/>
              <w:rPr>
                <w:rFonts w:ascii="Calibri" w:eastAsia="Times New Roman" w:hAnsi="Calibri" w:cs="Times New Roman"/>
                <w:color w:val="000000"/>
                <w:sz w:val="16"/>
                <w:szCs w:val="16"/>
              </w:rPr>
            </w:pPr>
          </w:p>
        </w:tc>
        <w:tc>
          <w:tcPr>
            <w:tcW w:w="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noWrap/>
            <w:hideMark/>
          </w:tcPr>
          <w:p w14:paraId="45732D7F" w14:textId="77777777" w:rsidR="007C2AF1" w:rsidRPr="00ED208F" w:rsidRDefault="007C2AF1" w:rsidP="007C2AF1">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Austin</w:t>
            </w:r>
          </w:p>
        </w:tc>
        <w:tc>
          <w:tcPr>
            <w:tcW w:w="3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hideMark/>
          </w:tcPr>
          <w:p w14:paraId="6EA53FB2" w14:textId="77777777" w:rsidR="007C2AF1" w:rsidRPr="00ED208F" w:rsidRDefault="007C2AF1" w:rsidP="007C2AF1">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Bastrop, Blanco, Burnet, Caldwell, Fayette, Hays, Lee, Llano, Travis, Williamson</w:t>
            </w:r>
          </w:p>
        </w:tc>
      </w:tr>
      <w:tr w:rsidR="007C2AF1" w:rsidRPr="007C2AF1" w14:paraId="0805EDC3" w14:textId="77777777" w:rsidTr="002A61C8">
        <w:trPr>
          <w:trHeight w:val="20"/>
        </w:trPr>
        <w:tc>
          <w:tcPr>
            <w:tcW w:w="595" w:type="pct"/>
            <w:tcBorders>
              <w:top w:val="nil"/>
              <w:left w:val="single" w:sz="4" w:space="0" w:color="FFFFFF" w:themeColor="background1"/>
              <w:bottom w:val="nil"/>
              <w:right w:val="single" w:sz="4" w:space="0" w:color="FFFFFF" w:themeColor="background1"/>
            </w:tcBorders>
            <w:shd w:val="clear" w:color="auto" w:fill="BDD6EE" w:themeFill="accent1" w:themeFillTint="66"/>
            <w:noWrap/>
            <w:hideMark/>
          </w:tcPr>
          <w:p w14:paraId="37F47C5A" w14:textId="348E32ED" w:rsidR="007C2AF1" w:rsidRPr="00ED208F" w:rsidRDefault="007C2AF1" w:rsidP="007C2AF1">
            <w:pPr>
              <w:spacing w:after="0" w:line="240" w:lineRule="auto"/>
              <w:rPr>
                <w:rFonts w:ascii="Calibri" w:eastAsia="Times New Roman" w:hAnsi="Calibri" w:cs="Times New Roman"/>
                <w:color w:val="000000"/>
                <w:sz w:val="16"/>
                <w:szCs w:val="16"/>
              </w:rPr>
            </w:pPr>
          </w:p>
        </w:tc>
        <w:tc>
          <w:tcPr>
            <w:tcW w:w="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noWrap/>
            <w:hideMark/>
          </w:tcPr>
          <w:p w14:paraId="39534F21" w14:textId="77777777" w:rsidR="007C2AF1" w:rsidRPr="00ED208F" w:rsidRDefault="007C2AF1" w:rsidP="007C2AF1">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Bryan-College Station</w:t>
            </w:r>
          </w:p>
        </w:tc>
        <w:tc>
          <w:tcPr>
            <w:tcW w:w="3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hideMark/>
          </w:tcPr>
          <w:p w14:paraId="4C0F74F0" w14:textId="77777777" w:rsidR="007C2AF1" w:rsidRPr="00ED208F" w:rsidRDefault="007C2AF1" w:rsidP="007C2AF1">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Brazos, Burleson, Grimes, Leon, Madison, Robertson, Washington</w:t>
            </w:r>
          </w:p>
        </w:tc>
      </w:tr>
      <w:tr w:rsidR="00DA1987" w:rsidRPr="007C2AF1" w14:paraId="082153FB" w14:textId="77777777" w:rsidTr="002A61C8">
        <w:trPr>
          <w:trHeight w:val="20"/>
        </w:trPr>
        <w:tc>
          <w:tcPr>
            <w:tcW w:w="595" w:type="pct"/>
            <w:tcBorders>
              <w:top w:val="nil"/>
              <w:left w:val="single" w:sz="4" w:space="0" w:color="FFFFFF" w:themeColor="background1"/>
              <w:bottom w:val="nil"/>
              <w:right w:val="single" w:sz="4" w:space="0" w:color="FFFFFF" w:themeColor="background1"/>
            </w:tcBorders>
            <w:shd w:val="clear" w:color="auto" w:fill="BDD6EE" w:themeFill="accent1" w:themeFillTint="66"/>
            <w:noWrap/>
          </w:tcPr>
          <w:p w14:paraId="4EAA0E7A" w14:textId="4E447115" w:rsidR="00DA1987" w:rsidRPr="00ED208F" w:rsidRDefault="00DA1987" w:rsidP="00DA1987">
            <w:pPr>
              <w:spacing w:after="0" w:line="240" w:lineRule="auto"/>
              <w:rPr>
                <w:rFonts w:ascii="Calibri" w:eastAsia="Times New Roman" w:hAnsi="Calibri" w:cs="Times New Roman"/>
                <w:color w:val="000000"/>
                <w:sz w:val="16"/>
                <w:szCs w:val="16"/>
              </w:rPr>
            </w:pPr>
          </w:p>
        </w:tc>
        <w:tc>
          <w:tcPr>
            <w:tcW w:w="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noWrap/>
          </w:tcPr>
          <w:p w14:paraId="6CFA48B7" w14:textId="36B429E4" w:rsidR="00DA1987" w:rsidRPr="00ED208F" w:rsidRDefault="00DA1987" w:rsidP="00DA1987">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Eagle Pass-Uvalde</w:t>
            </w:r>
          </w:p>
        </w:tc>
        <w:tc>
          <w:tcPr>
            <w:tcW w:w="3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58C491FC" w14:textId="38B7EDDD" w:rsidR="00DA1987" w:rsidRPr="00ED208F" w:rsidRDefault="00DA1987" w:rsidP="00DA1987">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Dimmit, Edwards, Kinney, La Salle, Maverick, Real, Uvalde, Val Verde, Zavala</w:t>
            </w:r>
          </w:p>
        </w:tc>
      </w:tr>
      <w:tr w:rsidR="00BF222E" w:rsidRPr="00ED208F" w14:paraId="00580D32" w14:textId="77777777" w:rsidTr="002A61C8">
        <w:trPr>
          <w:trHeight w:val="20"/>
        </w:trPr>
        <w:tc>
          <w:tcPr>
            <w:tcW w:w="595" w:type="pct"/>
            <w:tcBorders>
              <w:top w:val="nil"/>
              <w:left w:val="single" w:sz="4" w:space="0" w:color="FFFFFF" w:themeColor="background1"/>
              <w:bottom w:val="nil"/>
              <w:right w:val="single" w:sz="4" w:space="0" w:color="FFFFFF" w:themeColor="background1"/>
            </w:tcBorders>
            <w:shd w:val="clear" w:color="auto" w:fill="BDD6EE" w:themeFill="accent1" w:themeFillTint="66"/>
            <w:noWrap/>
            <w:hideMark/>
          </w:tcPr>
          <w:p w14:paraId="1271CD80" w14:textId="050EC628" w:rsidR="00BF222E" w:rsidRPr="00ED208F" w:rsidRDefault="00BF222E" w:rsidP="00BF222E">
            <w:pPr>
              <w:spacing w:after="0" w:line="240" w:lineRule="auto"/>
              <w:rPr>
                <w:rFonts w:ascii="Calibri" w:eastAsia="Times New Roman" w:hAnsi="Calibri" w:cs="Times New Roman"/>
                <w:color w:val="000000"/>
                <w:sz w:val="16"/>
                <w:szCs w:val="16"/>
              </w:rPr>
            </w:pPr>
          </w:p>
        </w:tc>
        <w:tc>
          <w:tcPr>
            <w:tcW w:w="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noWrap/>
            <w:hideMark/>
          </w:tcPr>
          <w:p w14:paraId="32E552BC" w14:textId="77777777" w:rsidR="00BF222E" w:rsidRPr="00ED208F" w:rsidRDefault="00BF222E" w:rsidP="00BF222E">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Lubbock</w:t>
            </w:r>
          </w:p>
        </w:tc>
        <w:tc>
          <w:tcPr>
            <w:tcW w:w="3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hideMark/>
          </w:tcPr>
          <w:p w14:paraId="22A3C8B8" w14:textId="77777777" w:rsidR="00BF222E" w:rsidRPr="00ED208F" w:rsidRDefault="00BF222E" w:rsidP="00BF222E">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Bailey, Cochran, Crosby, Dickens, Floyd, Garza, Hale, Hockley, King, Lamb, Lubbock, Lynn, Motley, Terry, Yoakum</w:t>
            </w:r>
          </w:p>
        </w:tc>
      </w:tr>
      <w:tr w:rsidR="00BF222E" w:rsidRPr="00ED208F" w14:paraId="194360D7" w14:textId="77777777" w:rsidTr="002A61C8">
        <w:trPr>
          <w:trHeight w:val="20"/>
        </w:trPr>
        <w:tc>
          <w:tcPr>
            <w:tcW w:w="595" w:type="pct"/>
            <w:tcBorders>
              <w:top w:val="nil"/>
              <w:left w:val="single" w:sz="4" w:space="0" w:color="FFFFFF" w:themeColor="background1"/>
              <w:right w:val="single" w:sz="4" w:space="0" w:color="FFFFFF" w:themeColor="background1"/>
            </w:tcBorders>
            <w:shd w:val="clear" w:color="auto" w:fill="BDD6EE" w:themeFill="accent1" w:themeFillTint="66"/>
            <w:noWrap/>
            <w:hideMark/>
          </w:tcPr>
          <w:p w14:paraId="4CFEDC2E" w14:textId="37D51837" w:rsidR="00BF222E" w:rsidRPr="00ED208F" w:rsidRDefault="00BF222E" w:rsidP="00BF222E">
            <w:pPr>
              <w:spacing w:after="0" w:line="240" w:lineRule="auto"/>
              <w:rPr>
                <w:rFonts w:ascii="Calibri" w:eastAsia="Times New Roman" w:hAnsi="Calibri" w:cs="Times New Roman"/>
                <w:color w:val="000000"/>
                <w:sz w:val="16"/>
                <w:szCs w:val="16"/>
              </w:rPr>
            </w:pPr>
          </w:p>
        </w:tc>
        <w:tc>
          <w:tcPr>
            <w:tcW w:w="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noWrap/>
            <w:hideMark/>
          </w:tcPr>
          <w:p w14:paraId="6851A036" w14:textId="77777777" w:rsidR="00BF222E" w:rsidRPr="00ED208F" w:rsidRDefault="00BF222E" w:rsidP="00BF222E">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Midland-Odessa</w:t>
            </w:r>
          </w:p>
        </w:tc>
        <w:tc>
          <w:tcPr>
            <w:tcW w:w="3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hideMark/>
          </w:tcPr>
          <w:p w14:paraId="1E7C1521" w14:textId="77777777" w:rsidR="00BF222E" w:rsidRPr="00ED208F" w:rsidRDefault="00BF222E" w:rsidP="00BF222E">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Andrews, Borden, Crane, Dawson, Ector, Gaines, Glasscock, Howard, Loving, Martin, Midland, Pecos, Reeves, Terrell, Upton, Ward, Winkler</w:t>
            </w:r>
          </w:p>
        </w:tc>
      </w:tr>
      <w:tr w:rsidR="007C2AF1" w:rsidRPr="007C2AF1" w14:paraId="77A75C6A" w14:textId="77777777" w:rsidTr="002A61C8">
        <w:trPr>
          <w:trHeight w:val="20"/>
        </w:trPr>
        <w:tc>
          <w:tcPr>
            <w:tcW w:w="595" w:type="pct"/>
            <w:tcBorders>
              <w:top w:val="nil"/>
              <w:left w:val="single" w:sz="4" w:space="0" w:color="FFFFFF" w:themeColor="background1"/>
              <w:bottom w:val="nil"/>
              <w:right w:val="single" w:sz="4" w:space="0" w:color="FFFFFF" w:themeColor="background1"/>
            </w:tcBorders>
            <w:shd w:val="clear" w:color="auto" w:fill="BDD6EE" w:themeFill="accent1" w:themeFillTint="66"/>
            <w:noWrap/>
            <w:hideMark/>
          </w:tcPr>
          <w:p w14:paraId="67C7A6FA" w14:textId="32B31B4E" w:rsidR="007C2AF1" w:rsidRPr="00ED208F" w:rsidRDefault="007C2AF1" w:rsidP="007C2AF1">
            <w:pPr>
              <w:spacing w:after="0" w:line="240" w:lineRule="auto"/>
              <w:rPr>
                <w:rFonts w:ascii="Calibri" w:eastAsia="Times New Roman" w:hAnsi="Calibri" w:cs="Times New Roman"/>
                <w:color w:val="000000"/>
                <w:sz w:val="16"/>
                <w:szCs w:val="16"/>
              </w:rPr>
            </w:pPr>
          </w:p>
        </w:tc>
        <w:tc>
          <w:tcPr>
            <w:tcW w:w="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noWrap/>
            <w:hideMark/>
          </w:tcPr>
          <w:p w14:paraId="715DB61C" w14:textId="77777777" w:rsidR="007C2AF1" w:rsidRPr="00ED208F" w:rsidRDefault="007C2AF1" w:rsidP="007C2AF1">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San Angelo-Concho Plateau</w:t>
            </w:r>
          </w:p>
        </w:tc>
        <w:tc>
          <w:tcPr>
            <w:tcW w:w="3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hideMark/>
          </w:tcPr>
          <w:p w14:paraId="33204297" w14:textId="77777777" w:rsidR="007C2AF1" w:rsidRPr="00ED208F" w:rsidRDefault="007C2AF1" w:rsidP="007C2AF1">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Coke, Concho, Crockett, Irion, Kimble, Mason, McCulloch, Menard, Reagan, Schleicher, Sterling, Sutton, Tom Green</w:t>
            </w:r>
          </w:p>
        </w:tc>
      </w:tr>
      <w:tr w:rsidR="000F071D" w:rsidRPr="00ED208F" w14:paraId="40171907" w14:textId="77777777" w:rsidTr="002A61C8">
        <w:trPr>
          <w:trHeight w:val="20"/>
        </w:trPr>
        <w:tc>
          <w:tcPr>
            <w:tcW w:w="595" w:type="pct"/>
            <w:tcBorders>
              <w:top w:val="nil"/>
              <w:left w:val="single" w:sz="4" w:space="0" w:color="FFFFFF" w:themeColor="background1"/>
              <w:bottom w:val="nil"/>
              <w:right w:val="single" w:sz="4" w:space="0" w:color="FFFFFF" w:themeColor="background1"/>
            </w:tcBorders>
            <w:shd w:val="clear" w:color="auto" w:fill="BDD6EE" w:themeFill="accent1" w:themeFillTint="66"/>
            <w:noWrap/>
            <w:hideMark/>
          </w:tcPr>
          <w:p w14:paraId="280557B5" w14:textId="1C2B4FA9" w:rsidR="000F071D" w:rsidRPr="00ED208F" w:rsidRDefault="000F071D" w:rsidP="00BE0237">
            <w:pPr>
              <w:spacing w:after="0" w:line="240" w:lineRule="auto"/>
              <w:rPr>
                <w:rFonts w:ascii="Calibri" w:eastAsia="Times New Roman" w:hAnsi="Calibri" w:cs="Times New Roman"/>
                <w:color w:val="000000"/>
                <w:sz w:val="16"/>
                <w:szCs w:val="16"/>
              </w:rPr>
            </w:pPr>
          </w:p>
        </w:tc>
        <w:tc>
          <w:tcPr>
            <w:tcW w:w="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noWrap/>
            <w:hideMark/>
          </w:tcPr>
          <w:p w14:paraId="700292B8" w14:textId="77777777" w:rsidR="000F071D" w:rsidRPr="00ED208F" w:rsidRDefault="000F071D" w:rsidP="00BE0237">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Temple-Killeen</w:t>
            </w:r>
          </w:p>
        </w:tc>
        <w:tc>
          <w:tcPr>
            <w:tcW w:w="3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hideMark/>
          </w:tcPr>
          <w:p w14:paraId="2DC38020" w14:textId="77777777" w:rsidR="000F071D" w:rsidRPr="00ED208F" w:rsidRDefault="000F071D" w:rsidP="00BE0237">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Bell, Coryell, Hamilton, Lampasas, Milam, Mills, San Saba</w:t>
            </w:r>
          </w:p>
        </w:tc>
      </w:tr>
      <w:tr w:rsidR="000F071D" w:rsidRPr="00ED208F" w14:paraId="45519D93" w14:textId="77777777" w:rsidTr="002A61C8">
        <w:trPr>
          <w:trHeight w:val="20"/>
        </w:trPr>
        <w:tc>
          <w:tcPr>
            <w:tcW w:w="595" w:type="pct"/>
            <w:tcBorders>
              <w:top w:val="nil"/>
              <w:left w:val="single" w:sz="4" w:space="0" w:color="FFFFFF" w:themeColor="background1"/>
              <w:bottom w:val="nil"/>
              <w:right w:val="single" w:sz="4" w:space="0" w:color="FFFFFF" w:themeColor="background1"/>
            </w:tcBorders>
            <w:shd w:val="clear" w:color="auto" w:fill="BDD6EE" w:themeFill="accent1" w:themeFillTint="66"/>
            <w:noWrap/>
            <w:hideMark/>
          </w:tcPr>
          <w:p w14:paraId="273CD0BE" w14:textId="449BD572" w:rsidR="000F071D" w:rsidRPr="00ED208F" w:rsidRDefault="000F071D" w:rsidP="00BE0237">
            <w:pPr>
              <w:spacing w:after="0" w:line="240" w:lineRule="auto"/>
              <w:rPr>
                <w:rFonts w:ascii="Calibri" w:eastAsia="Times New Roman" w:hAnsi="Calibri" w:cs="Times New Roman"/>
                <w:color w:val="000000"/>
                <w:sz w:val="16"/>
                <w:szCs w:val="16"/>
              </w:rPr>
            </w:pPr>
          </w:p>
        </w:tc>
        <w:tc>
          <w:tcPr>
            <w:tcW w:w="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noWrap/>
            <w:hideMark/>
          </w:tcPr>
          <w:p w14:paraId="6320D7C5" w14:textId="77777777" w:rsidR="000F071D" w:rsidRPr="00ED208F" w:rsidRDefault="000F071D" w:rsidP="00BE0237">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Victoria</w:t>
            </w:r>
          </w:p>
        </w:tc>
        <w:tc>
          <w:tcPr>
            <w:tcW w:w="3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hideMark/>
          </w:tcPr>
          <w:p w14:paraId="7E029D18" w14:textId="77777777" w:rsidR="000F071D" w:rsidRPr="00ED208F" w:rsidRDefault="000F071D" w:rsidP="00BE0237">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Calhoun, DeWitt, Goliad, Gonzales, Jackson, Lavaca, Victoria</w:t>
            </w:r>
          </w:p>
        </w:tc>
      </w:tr>
      <w:tr w:rsidR="000F071D" w:rsidRPr="00ED208F" w14:paraId="1ECD5308" w14:textId="77777777" w:rsidTr="002A61C8">
        <w:trPr>
          <w:trHeight w:val="20"/>
        </w:trPr>
        <w:tc>
          <w:tcPr>
            <w:tcW w:w="595" w:type="pct"/>
            <w:tcBorders>
              <w:top w:val="nil"/>
              <w:left w:val="single" w:sz="4" w:space="0" w:color="FFFFFF" w:themeColor="background1"/>
              <w:bottom w:val="nil"/>
              <w:right w:val="single" w:sz="4" w:space="0" w:color="FFFFFF" w:themeColor="background1"/>
            </w:tcBorders>
            <w:shd w:val="clear" w:color="auto" w:fill="BDD6EE" w:themeFill="accent1" w:themeFillTint="66"/>
            <w:noWrap/>
            <w:hideMark/>
          </w:tcPr>
          <w:p w14:paraId="11C78205" w14:textId="29584218" w:rsidR="000F071D" w:rsidRPr="00ED208F" w:rsidRDefault="000F071D" w:rsidP="00BE0237">
            <w:pPr>
              <w:spacing w:after="0" w:line="240" w:lineRule="auto"/>
              <w:rPr>
                <w:rFonts w:ascii="Calibri" w:eastAsia="Times New Roman" w:hAnsi="Calibri" w:cs="Times New Roman"/>
                <w:color w:val="000000"/>
                <w:sz w:val="16"/>
                <w:szCs w:val="16"/>
              </w:rPr>
            </w:pPr>
          </w:p>
        </w:tc>
        <w:tc>
          <w:tcPr>
            <w:tcW w:w="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noWrap/>
            <w:hideMark/>
          </w:tcPr>
          <w:p w14:paraId="2DD3AF2B" w14:textId="77777777" w:rsidR="000F071D" w:rsidRPr="00ED208F" w:rsidRDefault="000F071D" w:rsidP="00BE0237">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Waco</w:t>
            </w:r>
          </w:p>
        </w:tc>
        <w:tc>
          <w:tcPr>
            <w:tcW w:w="3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hideMark/>
          </w:tcPr>
          <w:p w14:paraId="2CF3C4B0" w14:textId="77777777" w:rsidR="000F071D" w:rsidRPr="00ED208F" w:rsidRDefault="000F071D" w:rsidP="00BE0237">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Bosque, Falls, Freestone, Hill, Limestone, McLennan</w:t>
            </w:r>
          </w:p>
        </w:tc>
      </w:tr>
      <w:tr w:rsidR="007C2AF1" w:rsidRPr="007C2AF1" w14:paraId="2C064842" w14:textId="77777777" w:rsidTr="002A61C8">
        <w:trPr>
          <w:trHeight w:val="20"/>
        </w:trPr>
        <w:tc>
          <w:tcPr>
            <w:tcW w:w="595" w:type="pct"/>
            <w:tcBorders>
              <w:top w:val="nil"/>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noWrap/>
            <w:hideMark/>
          </w:tcPr>
          <w:p w14:paraId="21DFCC19" w14:textId="39EC57BA" w:rsidR="007C2AF1" w:rsidRPr="00ED208F" w:rsidRDefault="007C2AF1" w:rsidP="007C2AF1">
            <w:pPr>
              <w:spacing w:after="0" w:line="240" w:lineRule="auto"/>
              <w:rPr>
                <w:rFonts w:ascii="Calibri" w:eastAsia="Times New Roman" w:hAnsi="Calibri" w:cs="Times New Roman"/>
                <w:color w:val="000000"/>
                <w:sz w:val="16"/>
                <w:szCs w:val="16"/>
              </w:rPr>
            </w:pPr>
          </w:p>
        </w:tc>
        <w:tc>
          <w:tcPr>
            <w:tcW w:w="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noWrap/>
            <w:hideMark/>
          </w:tcPr>
          <w:p w14:paraId="21A5A5CA" w14:textId="77777777" w:rsidR="007C2AF1" w:rsidRPr="00ED208F" w:rsidRDefault="007C2AF1" w:rsidP="007C2AF1">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Wichita Falls</w:t>
            </w:r>
          </w:p>
        </w:tc>
        <w:tc>
          <w:tcPr>
            <w:tcW w:w="3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hideMark/>
          </w:tcPr>
          <w:p w14:paraId="6AD5ED87" w14:textId="77777777" w:rsidR="007C2AF1" w:rsidRPr="00ED208F" w:rsidRDefault="007C2AF1" w:rsidP="007C2AF1">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Archer, Baylor, Clay, Cottle, Foard, Hardeman, Jack, Montague, Wichita, Wilbarger, Young</w:t>
            </w:r>
          </w:p>
        </w:tc>
      </w:tr>
      <w:tr w:rsidR="007C2AF1" w:rsidRPr="007C2AF1" w14:paraId="0B8A244C" w14:textId="77777777" w:rsidTr="002A61C8">
        <w:trPr>
          <w:trHeight w:val="20"/>
        </w:trPr>
        <w:tc>
          <w:tcPr>
            <w:tcW w:w="595" w:type="pct"/>
            <w:tcBorders>
              <w:top w:val="single" w:sz="4" w:space="0" w:color="FFFFFF" w:themeColor="background1"/>
              <w:left w:val="single" w:sz="4" w:space="0" w:color="FFFFFF" w:themeColor="background1"/>
              <w:bottom w:val="nil"/>
              <w:right w:val="single" w:sz="4" w:space="0" w:color="FFFFFF" w:themeColor="background1"/>
            </w:tcBorders>
            <w:shd w:val="clear" w:color="auto" w:fill="F7CAAC" w:themeFill="accent2" w:themeFillTint="66"/>
            <w:noWrap/>
            <w:hideMark/>
          </w:tcPr>
          <w:p w14:paraId="080EDB54" w14:textId="77777777" w:rsidR="007C2AF1" w:rsidRPr="00ED208F" w:rsidRDefault="007C2AF1" w:rsidP="007C2AF1">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Northeast</w:t>
            </w:r>
          </w:p>
        </w:tc>
        <w:tc>
          <w:tcPr>
            <w:tcW w:w="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CAAC" w:themeFill="accent2" w:themeFillTint="66"/>
            <w:noWrap/>
            <w:hideMark/>
          </w:tcPr>
          <w:p w14:paraId="3D00E6B4" w14:textId="77777777" w:rsidR="007C2AF1" w:rsidRPr="00ED208F" w:rsidRDefault="007C2AF1" w:rsidP="007C2AF1">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Dallas</w:t>
            </w:r>
          </w:p>
        </w:tc>
        <w:tc>
          <w:tcPr>
            <w:tcW w:w="3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CAAC" w:themeFill="accent2" w:themeFillTint="66"/>
            <w:hideMark/>
          </w:tcPr>
          <w:p w14:paraId="669F6247" w14:textId="77777777" w:rsidR="007C2AF1" w:rsidRPr="00ED208F" w:rsidRDefault="007C2AF1" w:rsidP="007C2AF1">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Collin, Dallas, Denton, Ellis, Hunt, Kaufman, Navarro, Rockwall</w:t>
            </w:r>
          </w:p>
        </w:tc>
      </w:tr>
      <w:tr w:rsidR="007C2AF1" w:rsidRPr="007C2AF1" w14:paraId="7101F563" w14:textId="77777777" w:rsidTr="002A61C8">
        <w:trPr>
          <w:trHeight w:val="20"/>
        </w:trPr>
        <w:tc>
          <w:tcPr>
            <w:tcW w:w="595" w:type="pct"/>
            <w:tcBorders>
              <w:top w:val="nil"/>
              <w:left w:val="single" w:sz="4" w:space="0" w:color="FFFFFF" w:themeColor="background1"/>
              <w:bottom w:val="single" w:sz="4" w:space="0" w:color="FFFFFF" w:themeColor="background1"/>
              <w:right w:val="single" w:sz="4" w:space="0" w:color="FFFFFF" w:themeColor="background1"/>
            </w:tcBorders>
            <w:shd w:val="clear" w:color="auto" w:fill="F7CAAC" w:themeFill="accent2" w:themeFillTint="66"/>
            <w:noWrap/>
            <w:hideMark/>
          </w:tcPr>
          <w:p w14:paraId="4D9F3DAB" w14:textId="3AEE5F93" w:rsidR="007C2AF1" w:rsidRPr="00ED208F" w:rsidRDefault="007C2AF1" w:rsidP="007C2AF1">
            <w:pPr>
              <w:spacing w:after="0" w:line="240" w:lineRule="auto"/>
              <w:rPr>
                <w:rFonts w:ascii="Calibri" w:eastAsia="Times New Roman" w:hAnsi="Calibri" w:cs="Times New Roman"/>
                <w:color w:val="000000"/>
                <w:sz w:val="16"/>
                <w:szCs w:val="16"/>
              </w:rPr>
            </w:pPr>
          </w:p>
        </w:tc>
        <w:tc>
          <w:tcPr>
            <w:tcW w:w="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CAAC" w:themeFill="accent2" w:themeFillTint="66"/>
            <w:noWrap/>
            <w:hideMark/>
          </w:tcPr>
          <w:p w14:paraId="710D9C97" w14:textId="77777777" w:rsidR="007C2AF1" w:rsidRPr="00ED208F" w:rsidRDefault="007C2AF1" w:rsidP="007C2AF1">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Sherman-Denison</w:t>
            </w:r>
          </w:p>
        </w:tc>
        <w:tc>
          <w:tcPr>
            <w:tcW w:w="3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CAAC" w:themeFill="accent2" w:themeFillTint="66"/>
            <w:hideMark/>
          </w:tcPr>
          <w:p w14:paraId="323D3408" w14:textId="77777777" w:rsidR="007C2AF1" w:rsidRPr="00ED208F" w:rsidRDefault="007C2AF1" w:rsidP="007C2AF1">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Cooke, Fannin, Grayson</w:t>
            </w:r>
          </w:p>
        </w:tc>
      </w:tr>
      <w:tr w:rsidR="000F071D" w:rsidRPr="007C2AF1" w14:paraId="251DBC62" w14:textId="77777777" w:rsidTr="002A61C8">
        <w:trPr>
          <w:trHeight w:val="20"/>
        </w:trPr>
        <w:tc>
          <w:tcPr>
            <w:tcW w:w="595" w:type="pct"/>
            <w:tcBorders>
              <w:top w:val="single" w:sz="4" w:space="0" w:color="FFFFFF" w:themeColor="background1"/>
              <w:left w:val="single" w:sz="4" w:space="0" w:color="FFFFFF" w:themeColor="background1"/>
              <w:bottom w:val="nil"/>
              <w:right w:val="single" w:sz="4" w:space="0" w:color="FFFFFF" w:themeColor="background1"/>
            </w:tcBorders>
            <w:shd w:val="clear" w:color="auto" w:fill="DBDBDB" w:themeFill="accent3" w:themeFillTint="66"/>
            <w:noWrap/>
            <w:hideMark/>
          </w:tcPr>
          <w:p w14:paraId="732FD90A" w14:textId="77777777" w:rsidR="000F071D" w:rsidRPr="00ED208F" w:rsidRDefault="000F071D" w:rsidP="000F071D">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East</w:t>
            </w:r>
          </w:p>
        </w:tc>
        <w:tc>
          <w:tcPr>
            <w:tcW w:w="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hideMark/>
          </w:tcPr>
          <w:p w14:paraId="0DA63B10" w14:textId="207429B6" w:rsidR="000F071D" w:rsidRPr="00ED208F" w:rsidRDefault="000F071D" w:rsidP="000F071D">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Beaumont-Port Arthur</w:t>
            </w:r>
          </w:p>
        </w:tc>
        <w:tc>
          <w:tcPr>
            <w:tcW w:w="3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hideMark/>
          </w:tcPr>
          <w:p w14:paraId="3D3493FA" w14:textId="2370F72C" w:rsidR="000F071D" w:rsidRPr="00ED208F" w:rsidRDefault="000F071D" w:rsidP="000F071D">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Hardin, Jefferson, Orange</w:t>
            </w:r>
          </w:p>
        </w:tc>
      </w:tr>
      <w:tr w:rsidR="000F071D" w:rsidRPr="007C2AF1" w14:paraId="25B14A62" w14:textId="77777777" w:rsidTr="002A61C8">
        <w:trPr>
          <w:trHeight w:val="20"/>
        </w:trPr>
        <w:tc>
          <w:tcPr>
            <w:tcW w:w="595" w:type="pct"/>
            <w:tcBorders>
              <w:top w:val="nil"/>
              <w:left w:val="single" w:sz="4" w:space="0" w:color="FFFFFF" w:themeColor="background1"/>
              <w:bottom w:val="nil"/>
              <w:right w:val="single" w:sz="4" w:space="0" w:color="FFFFFF" w:themeColor="background1"/>
            </w:tcBorders>
            <w:shd w:val="clear" w:color="auto" w:fill="DBDBDB" w:themeFill="accent3" w:themeFillTint="66"/>
            <w:noWrap/>
            <w:hideMark/>
          </w:tcPr>
          <w:p w14:paraId="00D0B7EC" w14:textId="65D55E8B" w:rsidR="000F071D" w:rsidRPr="00ED208F" w:rsidRDefault="000F071D" w:rsidP="000F071D">
            <w:pPr>
              <w:spacing w:after="0" w:line="240" w:lineRule="auto"/>
              <w:rPr>
                <w:rFonts w:ascii="Calibri" w:eastAsia="Times New Roman" w:hAnsi="Calibri" w:cs="Times New Roman"/>
                <w:color w:val="000000"/>
                <w:sz w:val="16"/>
                <w:szCs w:val="16"/>
              </w:rPr>
            </w:pPr>
          </w:p>
        </w:tc>
        <w:tc>
          <w:tcPr>
            <w:tcW w:w="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hideMark/>
          </w:tcPr>
          <w:p w14:paraId="622C94AD" w14:textId="77777777" w:rsidR="000F071D" w:rsidRPr="00ED208F" w:rsidRDefault="000F071D" w:rsidP="000F071D">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Galveston</w:t>
            </w:r>
          </w:p>
        </w:tc>
        <w:tc>
          <w:tcPr>
            <w:tcW w:w="3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hideMark/>
          </w:tcPr>
          <w:p w14:paraId="635096AD" w14:textId="77777777" w:rsidR="000F071D" w:rsidRPr="00ED208F" w:rsidRDefault="000F071D" w:rsidP="000F071D">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Brazoria, Galveston, Matagorda</w:t>
            </w:r>
          </w:p>
        </w:tc>
      </w:tr>
      <w:tr w:rsidR="000F071D" w:rsidRPr="007C2AF1" w14:paraId="1E4F4722" w14:textId="77777777" w:rsidTr="002A61C8">
        <w:trPr>
          <w:trHeight w:val="20"/>
        </w:trPr>
        <w:tc>
          <w:tcPr>
            <w:tcW w:w="595" w:type="pct"/>
            <w:tcBorders>
              <w:top w:val="nil"/>
              <w:left w:val="single" w:sz="4" w:space="0" w:color="FFFFFF" w:themeColor="background1"/>
              <w:bottom w:val="nil"/>
              <w:right w:val="single" w:sz="4" w:space="0" w:color="FFFFFF" w:themeColor="background1"/>
            </w:tcBorders>
            <w:shd w:val="clear" w:color="auto" w:fill="DBDBDB" w:themeFill="accent3" w:themeFillTint="66"/>
            <w:noWrap/>
          </w:tcPr>
          <w:p w14:paraId="489EE1EF" w14:textId="77777777" w:rsidR="000F071D" w:rsidRPr="00ED208F" w:rsidRDefault="000F071D" w:rsidP="000F071D">
            <w:pPr>
              <w:spacing w:after="0" w:line="240" w:lineRule="auto"/>
              <w:rPr>
                <w:rFonts w:ascii="Calibri" w:eastAsia="Times New Roman" w:hAnsi="Calibri" w:cs="Times New Roman"/>
                <w:color w:val="000000"/>
                <w:sz w:val="16"/>
                <w:szCs w:val="16"/>
              </w:rPr>
            </w:pPr>
          </w:p>
        </w:tc>
        <w:tc>
          <w:tcPr>
            <w:tcW w:w="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tcPr>
          <w:p w14:paraId="124E67D1" w14:textId="0FE09460" w:rsidR="000F071D" w:rsidRPr="00ED208F" w:rsidRDefault="000F071D" w:rsidP="000F071D">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Houston</w:t>
            </w:r>
          </w:p>
        </w:tc>
        <w:tc>
          <w:tcPr>
            <w:tcW w:w="3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tcPr>
          <w:p w14:paraId="64F1762B" w14:textId="35A8E537" w:rsidR="000F071D" w:rsidRPr="00ED208F" w:rsidRDefault="000F071D" w:rsidP="000F071D">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Austin, Chambers, Colorado, Fort Bend, Harris, Liberty, Montgomery, Walker, Waller, Wharton</w:t>
            </w:r>
          </w:p>
        </w:tc>
      </w:tr>
      <w:tr w:rsidR="000F071D" w:rsidRPr="007C2AF1" w14:paraId="1F5F8034" w14:textId="77777777" w:rsidTr="002A61C8">
        <w:trPr>
          <w:trHeight w:val="20"/>
        </w:trPr>
        <w:tc>
          <w:tcPr>
            <w:tcW w:w="595" w:type="pct"/>
            <w:tcBorders>
              <w:top w:val="nil"/>
              <w:left w:val="single" w:sz="4" w:space="0" w:color="FFFFFF" w:themeColor="background1"/>
              <w:bottom w:val="nil"/>
              <w:right w:val="single" w:sz="4" w:space="0" w:color="FFFFFF" w:themeColor="background1"/>
            </w:tcBorders>
            <w:shd w:val="clear" w:color="auto" w:fill="DBDBDB" w:themeFill="accent3" w:themeFillTint="66"/>
            <w:noWrap/>
          </w:tcPr>
          <w:p w14:paraId="468F28F9" w14:textId="77777777" w:rsidR="000F071D" w:rsidRPr="00ED208F" w:rsidRDefault="000F071D" w:rsidP="000F071D">
            <w:pPr>
              <w:spacing w:after="0" w:line="240" w:lineRule="auto"/>
              <w:rPr>
                <w:rFonts w:ascii="Calibri" w:eastAsia="Times New Roman" w:hAnsi="Calibri" w:cs="Times New Roman"/>
                <w:color w:val="000000"/>
                <w:sz w:val="16"/>
                <w:szCs w:val="16"/>
              </w:rPr>
            </w:pPr>
          </w:p>
        </w:tc>
        <w:tc>
          <w:tcPr>
            <w:tcW w:w="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tcPr>
          <w:p w14:paraId="7D23B810" w14:textId="42B555D0" w:rsidR="000F071D" w:rsidRPr="00ED208F" w:rsidRDefault="000F071D" w:rsidP="000F071D">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Nacogdoches-Lufkin</w:t>
            </w:r>
          </w:p>
        </w:tc>
        <w:tc>
          <w:tcPr>
            <w:tcW w:w="3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tcPr>
          <w:p w14:paraId="5E593552" w14:textId="41A9F5B0" w:rsidR="000F071D" w:rsidRPr="00ED208F" w:rsidRDefault="000F071D" w:rsidP="000F071D">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Angelina, Houston, Jasper, Nacogdoches, Newton, Polk, Sabine, San Augustine, San Jacinto, Shelby, Trinity, Tyler</w:t>
            </w:r>
          </w:p>
        </w:tc>
      </w:tr>
      <w:tr w:rsidR="000F071D" w:rsidRPr="007C2AF1" w14:paraId="2E225A94" w14:textId="77777777" w:rsidTr="002A61C8">
        <w:trPr>
          <w:trHeight w:val="20"/>
        </w:trPr>
        <w:tc>
          <w:tcPr>
            <w:tcW w:w="595" w:type="pct"/>
            <w:tcBorders>
              <w:top w:val="nil"/>
              <w:left w:val="single" w:sz="4" w:space="0" w:color="FFFFFF" w:themeColor="background1"/>
              <w:bottom w:val="nil"/>
              <w:right w:val="single" w:sz="4" w:space="0" w:color="FFFFFF" w:themeColor="background1"/>
            </w:tcBorders>
            <w:shd w:val="clear" w:color="auto" w:fill="DBDBDB" w:themeFill="accent3" w:themeFillTint="66"/>
            <w:noWrap/>
            <w:hideMark/>
          </w:tcPr>
          <w:p w14:paraId="234612D2" w14:textId="4598FA06" w:rsidR="000F071D" w:rsidRPr="00ED208F" w:rsidRDefault="000F071D" w:rsidP="000F071D">
            <w:pPr>
              <w:spacing w:after="0" w:line="240" w:lineRule="auto"/>
              <w:rPr>
                <w:rFonts w:ascii="Calibri" w:eastAsia="Times New Roman" w:hAnsi="Calibri" w:cs="Times New Roman"/>
                <w:color w:val="000000"/>
                <w:sz w:val="16"/>
                <w:szCs w:val="16"/>
              </w:rPr>
            </w:pPr>
          </w:p>
        </w:tc>
        <w:tc>
          <w:tcPr>
            <w:tcW w:w="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tcPr>
          <w:p w14:paraId="524CD35C" w14:textId="3FC71479" w:rsidR="000F071D" w:rsidRPr="00ED208F" w:rsidRDefault="000F071D" w:rsidP="000F071D">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Texarkana-Paris</w:t>
            </w:r>
          </w:p>
        </w:tc>
        <w:tc>
          <w:tcPr>
            <w:tcW w:w="3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tcPr>
          <w:p w14:paraId="68555ECA" w14:textId="5369365B" w:rsidR="000F071D" w:rsidRPr="00ED208F" w:rsidRDefault="000F071D" w:rsidP="000F071D">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Bowie, Cass, Delta, Franklin, Hopkins, Lamar, Morris, Red River, Titus</w:t>
            </w:r>
          </w:p>
        </w:tc>
      </w:tr>
      <w:tr w:rsidR="000F071D" w:rsidRPr="007C2AF1" w14:paraId="10DE4524" w14:textId="77777777" w:rsidTr="002A61C8">
        <w:trPr>
          <w:trHeight w:val="20"/>
        </w:trPr>
        <w:tc>
          <w:tcPr>
            <w:tcW w:w="595" w:type="pct"/>
            <w:tcBorders>
              <w:top w:val="nil"/>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hideMark/>
          </w:tcPr>
          <w:p w14:paraId="76F9A885" w14:textId="18BC97DE" w:rsidR="000F071D" w:rsidRPr="00ED208F" w:rsidRDefault="000F071D" w:rsidP="000F071D">
            <w:pPr>
              <w:spacing w:after="0" w:line="240" w:lineRule="auto"/>
              <w:rPr>
                <w:rFonts w:ascii="Calibri" w:eastAsia="Times New Roman" w:hAnsi="Calibri" w:cs="Times New Roman"/>
                <w:color w:val="000000"/>
                <w:sz w:val="16"/>
                <w:szCs w:val="16"/>
              </w:rPr>
            </w:pPr>
          </w:p>
        </w:tc>
        <w:tc>
          <w:tcPr>
            <w:tcW w:w="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tcPr>
          <w:p w14:paraId="62C2DE77" w14:textId="06571715" w:rsidR="000F071D" w:rsidRPr="00ED208F" w:rsidRDefault="000F071D" w:rsidP="000F071D">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Tyler-Longview</w:t>
            </w:r>
          </w:p>
        </w:tc>
        <w:tc>
          <w:tcPr>
            <w:tcW w:w="3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tcPr>
          <w:p w14:paraId="68DD67A6" w14:textId="561D21D2" w:rsidR="000F071D" w:rsidRPr="00ED208F" w:rsidRDefault="000F071D" w:rsidP="000F071D">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Anderson, Camp, Cherokee, Gregg, Harrison, Henderson, Marion, Panola, Rains, Rusk, Smith, Upshur, Van Zandt, Wood</w:t>
            </w:r>
          </w:p>
        </w:tc>
      </w:tr>
      <w:tr w:rsidR="000F071D" w:rsidRPr="007C2AF1" w14:paraId="74231B4E" w14:textId="77777777" w:rsidTr="002A61C8">
        <w:trPr>
          <w:trHeight w:val="20"/>
        </w:trPr>
        <w:tc>
          <w:tcPr>
            <w:tcW w:w="595" w:type="pct"/>
            <w:tcBorders>
              <w:top w:val="single" w:sz="4" w:space="0" w:color="FFFFFF" w:themeColor="background1"/>
              <w:left w:val="single" w:sz="4" w:space="0" w:color="FFFFFF" w:themeColor="background1"/>
              <w:bottom w:val="nil"/>
              <w:right w:val="single" w:sz="4" w:space="0" w:color="FFFFFF" w:themeColor="background1"/>
            </w:tcBorders>
            <w:shd w:val="clear" w:color="auto" w:fill="FFE599" w:themeFill="accent4" w:themeFillTint="66"/>
            <w:noWrap/>
          </w:tcPr>
          <w:p w14:paraId="7E10DD06" w14:textId="161AD167" w:rsidR="000F071D" w:rsidRPr="00ED208F" w:rsidRDefault="000F071D" w:rsidP="000F071D">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South</w:t>
            </w:r>
          </w:p>
        </w:tc>
        <w:tc>
          <w:tcPr>
            <w:tcW w:w="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noWrap/>
          </w:tcPr>
          <w:p w14:paraId="67FC23FE" w14:textId="2A6082E1" w:rsidR="000F071D" w:rsidRPr="00ED208F" w:rsidRDefault="000F071D" w:rsidP="000F071D">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Brownsville-Harlingen</w:t>
            </w:r>
          </w:p>
        </w:tc>
        <w:tc>
          <w:tcPr>
            <w:tcW w:w="3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tcPr>
          <w:p w14:paraId="4EFDA801" w14:textId="5389B985" w:rsidR="000F071D" w:rsidRPr="00ED208F" w:rsidRDefault="000F071D" w:rsidP="000F071D">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Cameron, Hidalgo, Willacy</w:t>
            </w:r>
          </w:p>
        </w:tc>
      </w:tr>
      <w:tr w:rsidR="000F071D" w:rsidRPr="007C2AF1" w14:paraId="60BF0F22" w14:textId="77777777" w:rsidTr="002A61C8">
        <w:trPr>
          <w:trHeight w:val="20"/>
        </w:trPr>
        <w:tc>
          <w:tcPr>
            <w:tcW w:w="595" w:type="pct"/>
            <w:tcBorders>
              <w:left w:val="single" w:sz="4" w:space="0" w:color="FFFFFF" w:themeColor="background1"/>
              <w:bottom w:val="nil"/>
              <w:right w:val="single" w:sz="4" w:space="0" w:color="FFFFFF" w:themeColor="background1"/>
            </w:tcBorders>
            <w:shd w:val="clear" w:color="auto" w:fill="FFE599" w:themeFill="accent4" w:themeFillTint="66"/>
            <w:noWrap/>
          </w:tcPr>
          <w:p w14:paraId="4FC9478E" w14:textId="1DE02746" w:rsidR="000F071D" w:rsidRPr="00ED208F" w:rsidRDefault="000F071D" w:rsidP="000F071D">
            <w:pPr>
              <w:spacing w:after="0" w:line="240" w:lineRule="auto"/>
              <w:rPr>
                <w:rFonts w:ascii="Calibri" w:eastAsia="Times New Roman" w:hAnsi="Calibri" w:cs="Times New Roman"/>
                <w:color w:val="000000"/>
                <w:sz w:val="16"/>
                <w:szCs w:val="16"/>
              </w:rPr>
            </w:pPr>
          </w:p>
        </w:tc>
        <w:tc>
          <w:tcPr>
            <w:tcW w:w="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noWrap/>
          </w:tcPr>
          <w:p w14:paraId="77CAE05C" w14:textId="1F73F86E" w:rsidR="000F071D" w:rsidRPr="00ED208F" w:rsidRDefault="000F071D" w:rsidP="000F071D">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Corpus Christi</w:t>
            </w:r>
          </w:p>
        </w:tc>
        <w:tc>
          <w:tcPr>
            <w:tcW w:w="3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tcPr>
          <w:p w14:paraId="3D0E1817" w14:textId="3F0E54A0" w:rsidR="000F071D" w:rsidRPr="00ED208F" w:rsidRDefault="000F071D" w:rsidP="000F071D">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Aransas, Bee, Brooks, Duval, Jim Wells, Kenedy, Kleberg, Live Oak, McMullen, Nueces, Refugio, San Patricio</w:t>
            </w:r>
          </w:p>
        </w:tc>
      </w:tr>
      <w:tr w:rsidR="00BF222E" w:rsidRPr="00ED208F" w14:paraId="384F6936" w14:textId="77777777" w:rsidTr="002A61C8">
        <w:trPr>
          <w:trHeight w:val="20"/>
        </w:trPr>
        <w:tc>
          <w:tcPr>
            <w:tcW w:w="595" w:type="pct"/>
            <w:tcBorders>
              <w:top w:val="nil"/>
              <w:left w:val="single" w:sz="4" w:space="0" w:color="FFFFFF" w:themeColor="background1"/>
              <w:bottom w:val="nil"/>
              <w:right w:val="single" w:sz="4" w:space="0" w:color="FFFFFF" w:themeColor="background1"/>
            </w:tcBorders>
            <w:shd w:val="clear" w:color="auto" w:fill="FFE599" w:themeFill="accent4" w:themeFillTint="66"/>
            <w:noWrap/>
            <w:hideMark/>
          </w:tcPr>
          <w:p w14:paraId="1D1C8737" w14:textId="1C95BF35" w:rsidR="00BF222E" w:rsidRPr="00ED208F" w:rsidRDefault="00BF222E" w:rsidP="00BF222E">
            <w:pPr>
              <w:spacing w:after="0" w:line="240" w:lineRule="auto"/>
              <w:rPr>
                <w:rFonts w:ascii="Calibri" w:eastAsia="Times New Roman" w:hAnsi="Calibri" w:cs="Times New Roman"/>
                <w:color w:val="000000"/>
                <w:sz w:val="16"/>
                <w:szCs w:val="16"/>
              </w:rPr>
            </w:pPr>
          </w:p>
        </w:tc>
        <w:tc>
          <w:tcPr>
            <w:tcW w:w="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noWrap/>
            <w:hideMark/>
          </w:tcPr>
          <w:p w14:paraId="6A7C024C" w14:textId="77777777" w:rsidR="00BF222E" w:rsidRPr="00ED208F" w:rsidRDefault="00BF222E" w:rsidP="00BF222E">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El Paso</w:t>
            </w:r>
          </w:p>
        </w:tc>
        <w:tc>
          <w:tcPr>
            <w:tcW w:w="3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hideMark/>
          </w:tcPr>
          <w:p w14:paraId="32711C17" w14:textId="77777777" w:rsidR="00BF222E" w:rsidRPr="00ED208F" w:rsidRDefault="00BF222E" w:rsidP="00BF222E">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Brewster, Culberson, El Paso, Hudspeth, Jeff Davis, Presidio</w:t>
            </w:r>
          </w:p>
        </w:tc>
      </w:tr>
      <w:tr w:rsidR="000F071D" w:rsidRPr="007C2AF1" w14:paraId="164CC7B7" w14:textId="77777777" w:rsidTr="002A61C8">
        <w:trPr>
          <w:trHeight w:val="20"/>
        </w:trPr>
        <w:tc>
          <w:tcPr>
            <w:tcW w:w="595" w:type="pct"/>
            <w:tcBorders>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noWrap/>
            <w:hideMark/>
          </w:tcPr>
          <w:p w14:paraId="3BD30579" w14:textId="36A76109" w:rsidR="000F071D" w:rsidRPr="00ED208F" w:rsidRDefault="000F071D" w:rsidP="000F071D">
            <w:pPr>
              <w:spacing w:after="0" w:line="240" w:lineRule="auto"/>
              <w:rPr>
                <w:rFonts w:ascii="Calibri" w:eastAsia="Times New Roman" w:hAnsi="Calibri" w:cs="Times New Roman"/>
                <w:color w:val="000000"/>
                <w:sz w:val="16"/>
                <w:szCs w:val="16"/>
              </w:rPr>
            </w:pPr>
          </w:p>
        </w:tc>
        <w:tc>
          <w:tcPr>
            <w:tcW w:w="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noWrap/>
            <w:hideMark/>
          </w:tcPr>
          <w:p w14:paraId="2985BEA3" w14:textId="77777777" w:rsidR="000F071D" w:rsidRPr="00ED208F" w:rsidRDefault="000F071D" w:rsidP="000F071D">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Laredo</w:t>
            </w:r>
          </w:p>
        </w:tc>
        <w:tc>
          <w:tcPr>
            <w:tcW w:w="3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hideMark/>
          </w:tcPr>
          <w:p w14:paraId="0AEF383A" w14:textId="77777777" w:rsidR="000F071D" w:rsidRPr="00ED208F" w:rsidRDefault="000F071D" w:rsidP="000F071D">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Jim Hogg, Starr, Webb, Zapata</w:t>
            </w:r>
          </w:p>
        </w:tc>
      </w:tr>
      <w:tr w:rsidR="000F071D" w:rsidRPr="007C2AF1" w14:paraId="050C03A7" w14:textId="77777777" w:rsidTr="002A61C8">
        <w:trPr>
          <w:trHeight w:val="20"/>
        </w:trPr>
        <w:tc>
          <w:tcPr>
            <w:tcW w:w="59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noWrap/>
            <w:hideMark/>
          </w:tcPr>
          <w:p w14:paraId="2F7B87DF" w14:textId="77777777" w:rsidR="000F071D" w:rsidRPr="00ED208F" w:rsidRDefault="000F071D" w:rsidP="000F071D">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Northwest</w:t>
            </w:r>
          </w:p>
        </w:tc>
        <w:tc>
          <w:tcPr>
            <w:tcW w:w="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hideMark/>
          </w:tcPr>
          <w:p w14:paraId="3118522D" w14:textId="77777777" w:rsidR="000F071D" w:rsidRPr="00ED208F" w:rsidRDefault="000F071D" w:rsidP="000F071D">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Fort Worth</w:t>
            </w:r>
          </w:p>
        </w:tc>
        <w:tc>
          <w:tcPr>
            <w:tcW w:w="3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hideMark/>
          </w:tcPr>
          <w:p w14:paraId="0D154BDD" w14:textId="77777777" w:rsidR="000F071D" w:rsidRPr="00ED208F" w:rsidRDefault="000F071D" w:rsidP="000F071D">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Erath, Hood, Johnson, Palo Pinto, Parker, Somervell, Tarrant, Wise</w:t>
            </w:r>
          </w:p>
        </w:tc>
      </w:tr>
    </w:tbl>
    <w:p w14:paraId="29C38134" w14:textId="5E67FB04" w:rsidR="00F5154B" w:rsidRPr="00F5154B" w:rsidRDefault="00F5154B" w:rsidP="00F5154B">
      <w:pPr>
        <w:pStyle w:val="NoSpacing"/>
        <w:rPr>
          <w:sz w:val="2"/>
        </w:rPr>
      </w:pPr>
      <w:r w:rsidRPr="00F5154B">
        <w:rPr>
          <w:sz w:val="2"/>
        </w:rPr>
        <w:br w:type="page"/>
      </w:r>
    </w:p>
    <w:p w14:paraId="309C1DA4" w14:textId="2EC4D8CF" w:rsidR="00997D5C" w:rsidRDefault="00997D5C" w:rsidP="00DA098E">
      <w:pPr>
        <w:pStyle w:val="Heading2"/>
        <w:jc w:val="center"/>
        <w:rPr>
          <w:rStyle w:val="Strong"/>
          <w:color w:val="auto"/>
        </w:rPr>
      </w:pPr>
      <w:bookmarkStart w:id="70" w:name="_Toc140755493"/>
      <w:r w:rsidRPr="00DA098E">
        <w:rPr>
          <w:rStyle w:val="Strong"/>
          <w:rFonts w:asciiTheme="minorHAnsi" w:hAnsiTheme="minorHAnsi"/>
          <w:color w:val="auto"/>
          <w:sz w:val="22"/>
        </w:rPr>
        <w:lastRenderedPageBreak/>
        <w:t xml:space="preserve">Appendix H: Rental Assistance Instructions for Shared Housing </w:t>
      </w:r>
      <w:r w:rsidRPr="00DA098E">
        <w:rPr>
          <w:rStyle w:val="Strong"/>
          <w:rFonts w:asciiTheme="minorHAnsi" w:hAnsiTheme="minorHAnsi"/>
          <w:color w:val="auto"/>
          <w:sz w:val="22"/>
          <w:szCs w:val="22"/>
        </w:rPr>
        <w:t>Arrangements</w:t>
      </w:r>
      <w:bookmarkEnd w:id="70"/>
    </w:p>
    <w:p w14:paraId="50BE425B" w14:textId="016248E2" w:rsidR="00BA66D9" w:rsidRPr="00D130E6" w:rsidRDefault="00224050" w:rsidP="00DA098E">
      <w:pPr>
        <w:pStyle w:val="NoSpacing"/>
        <w:jc w:val="center"/>
      </w:pPr>
      <w:r>
        <w:rPr>
          <w:i/>
          <w:sz w:val="16"/>
        </w:rPr>
        <w:t xml:space="preserve">(Source: 24 CFR </w:t>
      </w:r>
      <w:r w:rsidR="003B51B6" w:rsidRPr="003B51B6">
        <w:rPr>
          <w:i/>
          <w:sz w:val="16"/>
        </w:rPr>
        <w:t>§574.320</w:t>
      </w:r>
      <w:r>
        <w:rPr>
          <w:i/>
          <w:sz w:val="16"/>
        </w:rPr>
        <w:t>(b)</w:t>
      </w:r>
      <w:r w:rsidR="00BA66D9" w:rsidRPr="002F0A0A">
        <w:rPr>
          <w:i/>
          <w:sz w:val="16"/>
        </w:rPr>
        <w:t xml:space="preserve">, </w:t>
      </w:r>
      <w:r w:rsidRPr="002F0A0A">
        <w:rPr>
          <w:i/>
          <w:sz w:val="16"/>
        </w:rPr>
        <w:t>§982.306(d)</w:t>
      </w:r>
      <w:r>
        <w:rPr>
          <w:i/>
          <w:sz w:val="16"/>
        </w:rPr>
        <w:t xml:space="preserve">, </w:t>
      </w:r>
      <w:r w:rsidRPr="002F0A0A">
        <w:rPr>
          <w:i/>
          <w:sz w:val="16"/>
        </w:rPr>
        <w:t>§982.615</w:t>
      </w:r>
      <w:r>
        <w:rPr>
          <w:i/>
          <w:sz w:val="16"/>
        </w:rPr>
        <w:t xml:space="preserve"> – </w:t>
      </w:r>
      <w:r w:rsidRPr="002F0A0A">
        <w:rPr>
          <w:i/>
          <w:sz w:val="16"/>
        </w:rPr>
        <w:t>982</w:t>
      </w:r>
      <w:r>
        <w:rPr>
          <w:i/>
          <w:sz w:val="16"/>
        </w:rPr>
        <w:t xml:space="preserve">.618. </w:t>
      </w:r>
      <w:r w:rsidR="003B51B6" w:rsidRPr="002F0A0A">
        <w:rPr>
          <w:rFonts w:ascii="Calibri" w:hAnsi="Calibri"/>
          <w:i/>
          <w:sz w:val="16"/>
        </w:rPr>
        <w:t>HOPWA Rental Assistance Guideboo</w:t>
      </w:r>
      <w:r w:rsidR="003B51B6">
        <w:rPr>
          <w:rFonts w:ascii="Calibri" w:hAnsi="Calibri"/>
          <w:i/>
          <w:sz w:val="16"/>
        </w:rPr>
        <w:t>k, Chapter 4: Program Operations – Rental Subsidy</w:t>
      </w:r>
      <w:r w:rsidR="00BA66D9" w:rsidRPr="002F0A0A">
        <w:rPr>
          <w:i/>
          <w:sz w:val="16"/>
        </w:rPr>
        <w:t>)</w:t>
      </w:r>
    </w:p>
    <w:p w14:paraId="6574D014" w14:textId="77777777" w:rsidR="00997D5C" w:rsidRPr="00DA098E" w:rsidRDefault="00997D5C" w:rsidP="00F5154B">
      <w:pPr>
        <w:pStyle w:val="NoSpacing"/>
        <w:rPr>
          <w:sz w:val="16"/>
        </w:rPr>
      </w:pPr>
    </w:p>
    <w:p w14:paraId="6DB5029B" w14:textId="669778C6" w:rsidR="00F5154B" w:rsidRPr="00D130E6" w:rsidRDefault="00F5154B" w:rsidP="00F5154B">
      <w:pPr>
        <w:pStyle w:val="NoSpacing"/>
      </w:pPr>
      <w:r>
        <w:t xml:space="preserve">Per 24 CFR </w:t>
      </w:r>
      <w:r w:rsidR="00A85EDD" w:rsidRPr="008026D4">
        <w:rPr>
          <w:rFonts w:cs="Times New Roman"/>
        </w:rPr>
        <w:t>§</w:t>
      </w:r>
      <w:r>
        <w:t xml:space="preserve">574.320(b), </w:t>
      </w:r>
      <w:r w:rsidR="00206548">
        <w:t xml:space="preserve">TBRA and TSH services permit </w:t>
      </w:r>
      <w:r>
        <w:t>shared housing arrangements</w:t>
      </w:r>
      <w:r w:rsidR="00967D3B">
        <w:t>,</w:t>
      </w:r>
      <w:r>
        <w:t xml:space="preserve"> </w:t>
      </w:r>
      <w:r w:rsidR="00100DB8" w:rsidRPr="00100DB8">
        <w:t xml:space="preserve">where two or more unrelated households </w:t>
      </w:r>
      <w:r w:rsidR="00206548">
        <w:t xml:space="preserve">voluntarily </w:t>
      </w:r>
      <w:r w:rsidR="00100DB8" w:rsidRPr="00100DB8">
        <w:t>live together in a unit</w:t>
      </w:r>
      <w:r w:rsidR="00100DB8" w:rsidRPr="00100DB8" w:rsidDel="00100DB8">
        <w:t xml:space="preserve"> </w:t>
      </w:r>
      <w:r w:rsidR="00967D3B">
        <w:t>and divide rental costs</w:t>
      </w:r>
      <w:r>
        <w:t xml:space="preserve">. </w:t>
      </w:r>
      <w:r w:rsidR="00AD4D21" w:rsidRPr="00AD4D21">
        <w:t>Shared housing offers a cost-effective alternative to individual housing arrangements.</w:t>
      </w:r>
      <w:r w:rsidR="00AD4D21">
        <w:t xml:space="preserve"> </w:t>
      </w:r>
      <w:r w:rsidR="0039640D" w:rsidRPr="0039640D">
        <w:t xml:space="preserve">Project Sponsors prorate rental assistance for the portion of the unit occupied by the </w:t>
      </w:r>
      <w:r w:rsidR="003D19EB">
        <w:t>participant</w:t>
      </w:r>
      <w:r w:rsidR="003D19EB" w:rsidRPr="0039640D">
        <w:t xml:space="preserve"> </w:t>
      </w:r>
      <w:r w:rsidR="0039640D" w:rsidRPr="0039640D">
        <w:t xml:space="preserve">household. </w:t>
      </w:r>
      <w:r w:rsidR="0039640D">
        <w:t>T</w:t>
      </w:r>
      <w:r w:rsidR="0039640D" w:rsidRPr="0039640D">
        <w:t>he rent charged must relate to the size of the private space for that household in comparison to other private space in the shared unit, excluding common space. An assisted household may be assigned a pro rata portion based on the ratio derived by dividing the number of bedrooms in their private space by the number of bedrooms in the unit.</w:t>
      </w:r>
      <w:r w:rsidR="0039640D">
        <w:t xml:space="preserve"> </w:t>
      </w:r>
      <w:r w:rsidR="00C73842">
        <w:t xml:space="preserve">Project Sponsors must use the following instructions when completing </w:t>
      </w:r>
      <w:r w:rsidR="00C73842" w:rsidRPr="003F5DA4">
        <w:rPr>
          <w:rFonts w:cs="Times New Roman"/>
          <w:b/>
          <w:color w:val="5B9BD5" w:themeColor="accent1"/>
        </w:rPr>
        <w:t xml:space="preserve">Form H: Rent Standard and Rent Reasonableness </w:t>
      </w:r>
      <w:r w:rsidR="00A806A7">
        <w:rPr>
          <w:rFonts w:cs="Times New Roman"/>
          <w:b/>
          <w:color w:val="5B9BD5" w:themeColor="accent1"/>
        </w:rPr>
        <w:t>Examination</w:t>
      </w:r>
      <w:r w:rsidR="00C73842">
        <w:rPr>
          <w:rFonts w:cs="Times New Roman"/>
        </w:rPr>
        <w:t>.</w:t>
      </w:r>
    </w:p>
    <w:p w14:paraId="285697E1" w14:textId="77777777" w:rsidR="00F5154B" w:rsidRDefault="00F5154B" w:rsidP="00F5154B">
      <w:pPr>
        <w:pStyle w:val="NoSpacing"/>
      </w:pPr>
    </w:p>
    <w:p w14:paraId="5431E706" w14:textId="3123D6E3" w:rsidR="00F5154B" w:rsidRPr="00ED208F" w:rsidRDefault="00F5154B" w:rsidP="00F5154B">
      <w:pPr>
        <w:pStyle w:val="NoSpacing"/>
        <w:rPr>
          <w:b/>
          <w:u w:val="single"/>
        </w:rPr>
      </w:pPr>
      <w:r w:rsidRPr="00ED208F">
        <w:rPr>
          <w:b/>
          <w:u w:val="single"/>
        </w:rPr>
        <w:t>Qualifications</w:t>
      </w:r>
    </w:p>
    <w:p w14:paraId="36C224F0" w14:textId="25AD5DC2" w:rsidR="00F5154B" w:rsidRPr="009658B2" w:rsidRDefault="00F5154B" w:rsidP="007A0577">
      <w:pPr>
        <w:pStyle w:val="NoSpacing"/>
      </w:pPr>
      <w:r>
        <w:t xml:space="preserve">To qualify for shared housing, </w:t>
      </w:r>
      <w:r w:rsidR="009554B2">
        <w:t>1) the entire unit must meet all Housing Quality Standards</w:t>
      </w:r>
      <w:r w:rsidR="00720B18">
        <w:t>;</w:t>
      </w:r>
      <w:r w:rsidR="009554B2">
        <w:t xml:space="preserve"> </w:t>
      </w:r>
      <w:r w:rsidR="00720B18">
        <w:t>2) t</w:t>
      </w:r>
      <w:r w:rsidR="00720B18" w:rsidRPr="00720B18">
        <w:t xml:space="preserve">he </w:t>
      </w:r>
      <w:r w:rsidR="00291B1B">
        <w:t>unit</w:t>
      </w:r>
      <w:r w:rsidR="00720B18">
        <w:t xml:space="preserve"> </w:t>
      </w:r>
      <w:r w:rsidR="00720B18" w:rsidRPr="00720B18">
        <w:t xml:space="preserve">must include (whether in the private </w:t>
      </w:r>
      <w:r w:rsidR="00A37BCC">
        <w:t xml:space="preserve">or </w:t>
      </w:r>
      <w:r w:rsidR="00720B18" w:rsidRPr="00720B18">
        <w:t>common space) a living room, sanitary facilities, and food preparation</w:t>
      </w:r>
      <w:r w:rsidR="00720B18">
        <w:t xml:space="preserve"> and refuse disposal facilities; 3) the entire unit must provide adequate space and security for </w:t>
      </w:r>
      <w:r w:rsidR="00AE1318">
        <w:t xml:space="preserve">all of its households </w:t>
      </w:r>
      <w:r w:rsidR="00291B1B">
        <w:t>(</w:t>
      </w:r>
      <w:r w:rsidR="00AE1318">
        <w:t>whether assisted or unassisted</w:t>
      </w:r>
      <w:r w:rsidR="00291B1B">
        <w:t>)</w:t>
      </w:r>
      <w:r w:rsidR="00AE1318">
        <w:t>; 4) the</w:t>
      </w:r>
      <w:r w:rsidR="00291B1B">
        <w:t xml:space="preserve"> </w:t>
      </w:r>
      <w:r w:rsidR="00AE1318">
        <w:t xml:space="preserve">unit must contain private space for each household, plus common space for </w:t>
      </w:r>
      <w:r w:rsidR="00291B1B">
        <w:t xml:space="preserve">all households; </w:t>
      </w:r>
      <w:r w:rsidR="00A37BCC">
        <w:t xml:space="preserve">and </w:t>
      </w:r>
      <w:r w:rsidR="00291B1B">
        <w:t>5) the private space for each household must contain at least one bedroom for each two members</w:t>
      </w:r>
      <w:r w:rsidR="007A0577">
        <w:t xml:space="preserve">. </w:t>
      </w:r>
      <w:r w:rsidR="00A37BCC">
        <w:t xml:space="preserve">A zero- or one-bedroom unit </w:t>
      </w:r>
      <w:r w:rsidR="00DB1E70">
        <w:t>does not qualify</w:t>
      </w:r>
      <w:r w:rsidR="00A37BCC">
        <w:t xml:space="preserve"> for shared housing. </w:t>
      </w:r>
      <w:r>
        <w:t xml:space="preserve">Additionally, </w:t>
      </w:r>
      <w:r w:rsidR="0023435B" w:rsidRPr="0023435B">
        <w:t xml:space="preserve">an assisted person </w:t>
      </w:r>
      <w:r w:rsidR="00B70170">
        <w:t>cannot</w:t>
      </w:r>
      <w:r w:rsidR="0023435B" w:rsidRPr="0023435B">
        <w:t xml:space="preserve"> be related by blood or marriage to a resident owner</w:t>
      </w:r>
      <w:r w:rsidR="00EF66D7">
        <w:t>,</w:t>
      </w:r>
      <w:r w:rsidR="00B6356A">
        <w:t xml:space="preserve"> and </w:t>
      </w:r>
      <w:r w:rsidR="0023435B" w:rsidRPr="0023435B">
        <w:t xml:space="preserve">Project Sponsors cannot provide housing assistance if the owner is the parent, child, grandparent, grandchild, sister, or brother of any member of the </w:t>
      </w:r>
      <w:r w:rsidR="00BD2B17">
        <w:t>household</w:t>
      </w:r>
      <w:r w:rsidR="004A645E">
        <w:t>.</w:t>
      </w:r>
      <w:r w:rsidR="0023435B" w:rsidRPr="0023435B">
        <w:t xml:space="preserve"> </w:t>
      </w:r>
      <w:r w:rsidR="004A645E" w:rsidRPr="004A645E">
        <w:t>Project Sponsors may grant</w:t>
      </w:r>
      <w:r w:rsidR="00E20196">
        <w:t xml:space="preserve"> an</w:t>
      </w:r>
      <w:r w:rsidR="004A645E" w:rsidRPr="004A645E">
        <w:t xml:space="preserve"> exception to these regulations if they determine that approving the unit would provide </w:t>
      </w:r>
      <w:r w:rsidR="005660AA">
        <w:t xml:space="preserve">a </w:t>
      </w:r>
      <w:r w:rsidR="004A645E" w:rsidRPr="004A645E">
        <w:t>reasonable accommodation for a household member with disabilities</w:t>
      </w:r>
      <w:r w:rsidR="001D4010">
        <w:t xml:space="preserve"> (see </w:t>
      </w:r>
      <w:r w:rsidR="009E3DDE">
        <w:t>Appendix J</w:t>
      </w:r>
      <w:r w:rsidR="001D4010" w:rsidRPr="001D4010">
        <w:t>: “Can I Pay this Owner?”</w:t>
      </w:r>
      <w:r w:rsidR="001D4010">
        <w:t>)</w:t>
      </w:r>
      <w:r w:rsidR="004A645E" w:rsidRPr="004A645E">
        <w:t>.</w:t>
      </w:r>
    </w:p>
    <w:p w14:paraId="1D0D6E28" w14:textId="77777777" w:rsidR="00F5154B" w:rsidRDefault="00F5154B" w:rsidP="00F5154B">
      <w:pPr>
        <w:pStyle w:val="NoSpacing"/>
      </w:pPr>
    </w:p>
    <w:p w14:paraId="510FDF2E" w14:textId="19421A03" w:rsidR="00F5154B" w:rsidRPr="00ED208F" w:rsidRDefault="00A8247B" w:rsidP="00F5154B">
      <w:pPr>
        <w:pStyle w:val="NoSpacing"/>
        <w:rPr>
          <w:b/>
          <w:u w:val="single"/>
        </w:rPr>
      </w:pPr>
      <w:r w:rsidRPr="00ED208F">
        <w:rPr>
          <w:b/>
          <w:u w:val="single"/>
        </w:rPr>
        <w:t>Rent Standard</w:t>
      </w:r>
      <w:r w:rsidR="00C73842">
        <w:rPr>
          <w:b/>
          <w:u w:val="single"/>
        </w:rPr>
        <w:t xml:space="preserve"> Requirements in Shared Housing Arrangements</w:t>
      </w:r>
    </w:p>
    <w:p w14:paraId="11C37127" w14:textId="212B51DA" w:rsidR="00A8247B" w:rsidRDefault="003909E9" w:rsidP="00F5154B">
      <w:pPr>
        <w:pStyle w:val="NoSpacing"/>
      </w:pPr>
      <w:r>
        <w:t xml:space="preserve">In </w:t>
      </w:r>
      <w:r w:rsidR="00F45A7F">
        <w:t xml:space="preserve">shared housing, rent standard </w:t>
      </w:r>
      <w:r w:rsidR="00B6356A">
        <w:t xml:space="preserve">requirements </w:t>
      </w:r>
      <w:r w:rsidR="00F45A7F">
        <w:t>still appl</w:t>
      </w:r>
      <w:r w:rsidR="00B6356A">
        <w:t xml:space="preserve">y. </w:t>
      </w:r>
      <w:r w:rsidR="001D4010">
        <w:t>The rent standard</w:t>
      </w:r>
      <w:r w:rsidR="00A8247B" w:rsidRPr="00A8247B">
        <w:t xml:space="preserve"> for shared housing is the </w:t>
      </w:r>
      <w:r w:rsidR="00A8247B" w:rsidRPr="00D51169">
        <w:t>lower</w:t>
      </w:r>
      <w:r w:rsidR="00A8247B" w:rsidRPr="00A8247B">
        <w:t xml:space="preserve"> of:</w:t>
      </w:r>
    </w:p>
    <w:tbl>
      <w:tblPr>
        <w:tblStyle w:val="TableGrid"/>
        <w:tblW w:w="109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23"/>
        <w:gridCol w:w="10381"/>
      </w:tblGrid>
      <w:tr w:rsidR="00E67379" w14:paraId="3E1647DC" w14:textId="77777777" w:rsidTr="002A61C8">
        <w:tc>
          <w:tcPr>
            <w:tcW w:w="523" w:type="dxa"/>
            <w:tcBorders>
              <w:top w:val="single" w:sz="4" w:space="0" w:color="FFFFFF" w:themeColor="background1"/>
              <w:left w:val="single" w:sz="4" w:space="0" w:color="FFFFFF" w:themeColor="background1"/>
              <w:bottom w:val="nil"/>
              <w:right w:val="single" w:sz="4" w:space="0" w:color="FFFFFF" w:themeColor="background1"/>
            </w:tcBorders>
            <w:shd w:val="clear" w:color="auto" w:fill="D9D9D9" w:themeFill="background1" w:themeFillShade="D9"/>
          </w:tcPr>
          <w:p w14:paraId="095EA8A8" w14:textId="243A5276" w:rsidR="00EF66D7" w:rsidRDefault="00EF66D7" w:rsidP="002A61C8">
            <w:pPr>
              <w:pStyle w:val="NoSpacing"/>
              <w:jc w:val="center"/>
              <w:rPr>
                <w:b/>
              </w:rPr>
            </w:pPr>
            <w:r>
              <w:rPr>
                <w:b/>
              </w:rPr>
              <w:t>1</w:t>
            </w:r>
          </w:p>
        </w:tc>
        <w:tc>
          <w:tcPr>
            <w:tcW w:w="10381"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themeFill="background1" w:themeFillShade="F2"/>
          </w:tcPr>
          <w:p w14:paraId="3B516ED9" w14:textId="566204CA" w:rsidR="00EF66D7" w:rsidRDefault="00EF66D7" w:rsidP="00F5154B">
            <w:pPr>
              <w:pStyle w:val="NoSpacing"/>
            </w:pPr>
            <w:r>
              <w:rPr>
                <w:b/>
              </w:rPr>
              <w:t>Rent Standard for the</w:t>
            </w:r>
            <w:r w:rsidRPr="00B75C89">
              <w:rPr>
                <w:b/>
              </w:rPr>
              <w:t xml:space="preserve"> </w:t>
            </w:r>
            <w:r>
              <w:rPr>
                <w:b/>
              </w:rPr>
              <w:t>s</w:t>
            </w:r>
            <w:r w:rsidRPr="00B75C89">
              <w:rPr>
                <w:b/>
              </w:rPr>
              <w:t>ize of the private space</w:t>
            </w:r>
          </w:p>
        </w:tc>
      </w:tr>
      <w:tr w:rsidR="00E67379" w14:paraId="248DB070" w14:textId="77777777" w:rsidTr="002A61C8">
        <w:trPr>
          <w:trHeight w:val="547"/>
        </w:trPr>
        <w:tc>
          <w:tcPr>
            <w:tcW w:w="523" w:type="dxa"/>
            <w:tcBorders>
              <w:top w:val="nil"/>
              <w:left w:val="single" w:sz="4" w:space="0" w:color="FFFFFF" w:themeColor="background1"/>
              <w:bottom w:val="nil"/>
              <w:right w:val="single" w:sz="4" w:space="0" w:color="FFFFFF" w:themeColor="background1"/>
            </w:tcBorders>
            <w:shd w:val="clear" w:color="auto" w:fill="D9D9D9" w:themeFill="background1" w:themeFillShade="D9"/>
            <w:vAlign w:val="center"/>
          </w:tcPr>
          <w:p w14:paraId="2AF8865C" w14:textId="0A7D06A6" w:rsidR="00EF66D7" w:rsidRPr="0097759F" w:rsidRDefault="00EF66D7" w:rsidP="002A61C8">
            <w:pPr>
              <w:pStyle w:val="NoSpacing"/>
              <w:jc w:val="center"/>
            </w:pPr>
            <w:r w:rsidRPr="0097759F">
              <w:t>or</w:t>
            </w:r>
          </w:p>
        </w:tc>
        <w:tc>
          <w:tcPr>
            <w:tcW w:w="10381" w:type="dxa"/>
            <w:tcBorders>
              <w:top w:val="nil"/>
              <w:left w:val="single" w:sz="4" w:space="0" w:color="FFFFFF" w:themeColor="background1"/>
              <w:right w:val="single" w:sz="4" w:space="0" w:color="FFFFFF" w:themeColor="background1"/>
            </w:tcBorders>
            <w:shd w:val="clear" w:color="auto" w:fill="F2F2F2" w:themeFill="background1" w:themeFillShade="F2"/>
          </w:tcPr>
          <w:p w14:paraId="712B489D" w14:textId="0F78DE65" w:rsidR="00EF66D7" w:rsidRDefault="00EF66D7" w:rsidP="00F5154B">
            <w:pPr>
              <w:pStyle w:val="NoSpacing"/>
            </w:pPr>
            <w:r>
              <w:t>For example, if a household qualifies for two out of three bedrooms, select the rent standard for a two-bedroom. Enter the value on Form H under Rent Standard.</w:t>
            </w:r>
          </w:p>
        </w:tc>
      </w:tr>
      <w:tr w:rsidR="00E67379" w14:paraId="2C2BBCEE" w14:textId="77777777" w:rsidTr="002A61C8">
        <w:tc>
          <w:tcPr>
            <w:tcW w:w="523" w:type="dxa"/>
            <w:tcBorders>
              <w:top w:val="nil"/>
              <w:left w:val="single" w:sz="4" w:space="0" w:color="FFFFFF" w:themeColor="background1"/>
              <w:bottom w:val="nil"/>
              <w:right w:val="single" w:sz="4" w:space="0" w:color="FFFFFF" w:themeColor="background1"/>
            </w:tcBorders>
            <w:shd w:val="clear" w:color="auto" w:fill="D9D9D9" w:themeFill="background1" w:themeFillShade="D9"/>
          </w:tcPr>
          <w:p w14:paraId="17170AC5" w14:textId="06DCFD2B" w:rsidR="00EF66D7" w:rsidRDefault="00EF66D7" w:rsidP="002A61C8">
            <w:pPr>
              <w:pStyle w:val="NoSpacing"/>
              <w:jc w:val="center"/>
              <w:rPr>
                <w:b/>
              </w:rPr>
            </w:pPr>
            <w:r>
              <w:rPr>
                <w:b/>
              </w:rPr>
              <w:t>2</w:t>
            </w:r>
          </w:p>
        </w:tc>
        <w:tc>
          <w:tcPr>
            <w:tcW w:w="10381"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themeFill="background1" w:themeFillShade="F2"/>
          </w:tcPr>
          <w:p w14:paraId="775FAAE3" w14:textId="1B473DB5" w:rsidR="00EF66D7" w:rsidRDefault="00EF66D7" w:rsidP="00F5154B">
            <w:pPr>
              <w:pStyle w:val="NoSpacing"/>
            </w:pPr>
            <w:r>
              <w:rPr>
                <w:b/>
              </w:rPr>
              <w:t>Rent Standard for t</w:t>
            </w:r>
            <w:r w:rsidRPr="00B75C89">
              <w:rPr>
                <w:b/>
              </w:rPr>
              <w:t>he pro-rata share of the private space as compared</w:t>
            </w:r>
            <w:r>
              <w:rPr>
                <w:b/>
              </w:rPr>
              <w:t xml:space="preserve"> to the total space in the unit</w:t>
            </w:r>
          </w:p>
        </w:tc>
      </w:tr>
      <w:tr w:rsidR="00EF66D7" w14:paraId="6AB46478" w14:textId="77777777" w:rsidTr="002A61C8">
        <w:trPr>
          <w:trHeight w:val="169"/>
        </w:trPr>
        <w:tc>
          <w:tcPr>
            <w:tcW w:w="523" w:type="dxa"/>
            <w:tcBorders>
              <w:top w:val="nil"/>
              <w:left w:val="single" w:sz="4" w:space="0" w:color="FFFFFF" w:themeColor="background1"/>
              <w:bottom w:val="nil"/>
              <w:right w:val="single" w:sz="4" w:space="0" w:color="FFFFFF" w:themeColor="background1"/>
            </w:tcBorders>
            <w:shd w:val="clear" w:color="auto" w:fill="D9D9D9" w:themeFill="background1" w:themeFillShade="D9"/>
          </w:tcPr>
          <w:p w14:paraId="577964FC" w14:textId="77777777" w:rsidR="00EF66D7" w:rsidRPr="00EF66D7" w:rsidRDefault="00EF66D7" w:rsidP="00F5154B">
            <w:pPr>
              <w:pStyle w:val="NoSpacing"/>
            </w:pPr>
          </w:p>
        </w:tc>
        <w:tc>
          <w:tcPr>
            <w:tcW w:w="10381" w:type="dxa"/>
            <w:vMerge w:val="restart"/>
            <w:tcBorders>
              <w:top w:val="nil"/>
              <w:left w:val="single" w:sz="4" w:space="0" w:color="FFFFFF" w:themeColor="background1"/>
              <w:right w:val="single" w:sz="4" w:space="0" w:color="FFFFFF" w:themeColor="background1"/>
            </w:tcBorders>
            <w:shd w:val="clear" w:color="auto" w:fill="F2F2F2" w:themeFill="background1" w:themeFillShade="F2"/>
          </w:tcPr>
          <w:p w14:paraId="66B5E238" w14:textId="6A04DC04" w:rsidR="00EF66D7" w:rsidRDefault="00EF66D7" w:rsidP="00F5154B">
            <w:pPr>
              <w:pStyle w:val="NoSpacing"/>
            </w:pPr>
            <w:r w:rsidRPr="00EF66D7">
              <w:t>Divide the total space the household qualifies for by the total private space available to determine the pro-rata share. For example, if a household qualifies for two out of three bedrooms, divide the rent standard for a three-bedroom by 3 and multiply the quotient by 2. Enter the product on Form H under Rent Standard.</w:t>
            </w:r>
          </w:p>
        </w:tc>
      </w:tr>
      <w:tr w:rsidR="00EF66D7" w14:paraId="288B025A" w14:textId="77777777" w:rsidTr="002A61C8">
        <w:trPr>
          <w:trHeight w:val="168"/>
        </w:trPr>
        <w:tc>
          <w:tcPr>
            <w:tcW w:w="523" w:type="dxa"/>
            <w:tcBorders>
              <w:top w:val="nil"/>
              <w:left w:val="single" w:sz="4" w:space="0" w:color="FFFFFF" w:themeColor="background1"/>
              <w:bottom w:val="nil"/>
              <w:right w:val="single" w:sz="4" w:space="0" w:color="FFFFFF" w:themeColor="background1"/>
            </w:tcBorders>
            <w:shd w:val="clear" w:color="auto" w:fill="D9D9D9" w:themeFill="background1" w:themeFillShade="D9"/>
          </w:tcPr>
          <w:p w14:paraId="5FD1AE57" w14:textId="77777777" w:rsidR="00EF66D7" w:rsidRPr="00EF66D7" w:rsidRDefault="00EF66D7" w:rsidP="00F5154B">
            <w:pPr>
              <w:pStyle w:val="NoSpacing"/>
            </w:pPr>
          </w:p>
        </w:tc>
        <w:tc>
          <w:tcPr>
            <w:tcW w:w="10381" w:type="dxa"/>
            <w:vMerge/>
            <w:tcBorders>
              <w:left w:val="single" w:sz="4" w:space="0" w:color="FFFFFF" w:themeColor="background1"/>
              <w:right w:val="single" w:sz="4" w:space="0" w:color="FFFFFF" w:themeColor="background1"/>
            </w:tcBorders>
            <w:shd w:val="clear" w:color="auto" w:fill="F2F2F2" w:themeFill="background1" w:themeFillShade="F2"/>
          </w:tcPr>
          <w:p w14:paraId="0A1A285C" w14:textId="77777777" w:rsidR="00EF66D7" w:rsidRPr="00EF66D7" w:rsidRDefault="00EF66D7" w:rsidP="00F5154B">
            <w:pPr>
              <w:pStyle w:val="NoSpacing"/>
            </w:pPr>
          </w:p>
        </w:tc>
      </w:tr>
      <w:tr w:rsidR="00E67379" w14:paraId="4EC7BE05" w14:textId="77777777" w:rsidTr="00E67379">
        <w:trPr>
          <w:trHeight w:val="168"/>
        </w:trPr>
        <w:tc>
          <w:tcPr>
            <w:tcW w:w="523" w:type="dxa"/>
            <w:tcBorders>
              <w:top w:val="nil"/>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CBA30AD" w14:textId="77777777" w:rsidR="00EF66D7" w:rsidRPr="00EF66D7" w:rsidRDefault="00EF66D7" w:rsidP="00F5154B">
            <w:pPr>
              <w:pStyle w:val="NoSpacing"/>
            </w:pPr>
          </w:p>
        </w:tc>
        <w:tc>
          <w:tcPr>
            <w:tcW w:w="10381" w:type="dxa"/>
            <w:vMerge/>
            <w:tcBorders>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DEA40E0" w14:textId="77777777" w:rsidR="00EF66D7" w:rsidRPr="00EF66D7" w:rsidRDefault="00EF66D7" w:rsidP="00F5154B">
            <w:pPr>
              <w:pStyle w:val="NoSpacing"/>
            </w:pPr>
          </w:p>
        </w:tc>
      </w:tr>
    </w:tbl>
    <w:p w14:paraId="2F655336" w14:textId="77777777" w:rsidR="00A8247B" w:rsidRDefault="00A8247B" w:rsidP="00A8247B">
      <w:pPr>
        <w:pStyle w:val="NoSpacing"/>
        <w:rPr>
          <w:b/>
        </w:rPr>
      </w:pPr>
    </w:p>
    <w:p w14:paraId="565FA5B1" w14:textId="37BB809F" w:rsidR="00A8247B" w:rsidRPr="00ED208F" w:rsidRDefault="00A8247B" w:rsidP="00A8247B">
      <w:pPr>
        <w:pStyle w:val="NoSpacing"/>
        <w:rPr>
          <w:b/>
          <w:u w:val="single"/>
        </w:rPr>
      </w:pPr>
      <w:r w:rsidRPr="00ED208F">
        <w:rPr>
          <w:b/>
          <w:u w:val="single"/>
        </w:rPr>
        <w:t>Rent Reasonableness</w:t>
      </w:r>
      <w:r w:rsidR="00C73842">
        <w:rPr>
          <w:b/>
          <w:u w:val="single"/>
        </w:rPr>
        <w:t xml:space="preserve"> Requirements in Shared Housing Arrangements</w:t>
      </w:r>
    </w:p>
    <w:p w14:paraId="2936073A" w14:textId="1670C872" w:rsidR="00F45A7F" w:rsidRDefault="003909E9" w:rsidP="00F45A7F">
      <w:pPr>
        <w:pStyle w:val="NoSpacing"/>
      </w:pPr>
      <w:r>
        <w:t xml:space="preserve">In </w:t>
      </w:r>
      <w:r w:rsidR="00F45A7F">
        <w:t xml:space="preserve">shared housing, </w:t>
      </w:r>
      <w:r w:rsidR="00B6356A">
        <w:t xml:space="preserve">rent reasonableness </w:t>
      </w:r>
      <w:r w:rsidR="00B6356A" w:rsidRPr="00B6356A">
        <w:t>requirements still apply</w:t>
      </w:r>
      <w:r w:rsidR="00F45A7F">
        <w:t xml:space="preserve">. </w:t>
      </w:r>
      <w:r w:rsidR="00C1684C">
        <w:t xml:space="preserve">The </w:t>
      </w:r>
      <w:r w:rsidR="00F45A7F">
        <w:t xml:space="preserve">reasonable rent for shared housing </w:t>
      </w:r>
      <w:r w:rsidR="00C1684C">
        <w:t>depends on</w:t>
      </w:r>
      <w:r w:rsidR="00F45A7F">
        <w:t>:</w:t>
      </w:r>
    </w:p>
    <w:tbl>
      <w:tblPr>
        <w:tblStyle w:val="TableGrid"/>
        <w:tblW w:w="1089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23"/>
        <w:gridCol w:w="10369"/>
      </w:tblGrid>
      <w:tr w:rsidR="00E67379" w14:paraId="0D3ABF23" w14:textId="77777777" w:rsidTr="002A61C8">
        <w:tc>
          <w:tcPr>
            <w:tcW w:w="523" w:type="dxa"/>
            <w:tcBorders>
              <w:top w:val="single" w:sz="4" w:space="0" w:color="FFFFFF" w:themeColor="background1"/>
              <w:left w:val="single" w:sz="4" w:space="0" w:color="FFFFFF" w:themeColor="background1"/>
              <w:bottom w:val="nil"/>
              <w:right w:val="single" w:sz="4" w:space="0" w:color="FFFFFF" w:themeColor="background1"/>
            </w:tcBorders>
            <w:shd w:val="clear" w:color="auto" w:fill="D9D9D9" w:themeFill="background1" w:themeFillShade="D9"/>
          </w:tcPr>
          <w:p w14:paraId="7BBA62ED" w14:textId="77777777" w:rsidR="00EF66D7" w:rsidRDefault="00EF66D7" w:rsidP="009201A5">
            <w:pPr>
              <w:pStyle w:val="NoSpacing"/>
              <w:jc w:val="center"/>
              <w:rPr>
                <w:b/>
              </w:rPr>
            </w:pPr>
            <w:r>
              <w:rPr>
                <w:b/>
              </w:rPr>
              <w:t>1</w:t>
            </w:r>
          </w:p>
        </w:tc>
        <w:tc>
          <w:tcPr>
            <w:tcW w:w="10369"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themeFill="background1" w:themeFillShade="F2"/>
          </w:tcPr>
          <w:p w14:paraId="38721FCD" w14:textId="0E8211DB" w:rsidR="00EF66D7" w:rsidRDefault="00EF66D7" w:rsidP="009201A5">
            <w:pPr>
              <w:pStyle w:val="NoSpacing"/>
            </w:pPr>
            <w:r w:rsidRPr="00EF66D7">
              <w:rPr>
                <w:b/>
              </w:rPr>
              <w:t>If the rent standard for the size of the private space is used, then comparison units should have this unit size</w:t>
            </w:r>
          </w:p>
        </w:tc>
      </w:tr>
      <w:tr w:rsidR="00E67379" w14:paraId="4FAD2A25" w14:textId="77777777" w:rsidTr="002A61C8">
        <w:trPr>
          <w:trHeight w:val="547"/>
        </w:trPr>
        <w:tc>
          <w:tcPr>
            <w:tcW w:w="523" w:type="dxa"/>
            <w:tcBorders>
              <w:top w:val="nil"/>
              <w:left w:val="single" w:sz="4" w:space="0" w:color="FFFFFF" w:themeColor="background1"/>
              <w:bottom w:val="nil"/>
              <w:right w:val="single" w:sz="4" w:space="0" w:color="FFFFFF" w:themeColor="background1"/>
            </w:tcBorders>
            <w:shd w:val="clear" w:color="auto" w:fill="D9D9D9" w:themeFill="background1" w:themeFillShade="D9"/>
            <w:vAlign w:val="center"/>
          </w:tcPr>
          <w:p w14:paraId="21C35604" w14:textId="184E4789" w:rsidR="00EF66D7" w:rsidRPr="0097759F" w:rsidRDefault="00E67379" w:rsidP="009201A5">
            <w:pPr>
              <w:pStyle w:val="NoSpacing"/>
              <w:jc w:val="center"/>
            </w:pPr>
            <w:r w:rsidRPr="0097759F">
              <w:t>or</w:t>
            </w:r>
          </w:p>
        </w:tc>
        <w:tc>
          <w:tcPr>
            <w:tcW w:w="10369" w:type="dxa"/>
            <w:tcBorders>
              <w:top w:val="nil"/>
              <w:left w:val="single" w:sz="4" w:space="0" w:color="FFFFFF" w:themeColor="background1"/>
              <w:right w:val="single" w:sz="4" w:space="0" w:color="FFFFFF" w:themeColor="background1"/>
            </w:tcBorders>
            <w:shd w:val="clear" w:color="auto" w:fill="F2F2F2" w:themeFill="background1" w:themeFillShade="F2"/>
          </w:tcPr>
          <w:p w14:paraId="5DC7A90C" w14:textId="10D05932" w:rsidR="00EF66D7" w:rsidRDefault="00E67379" w:rsidP="009201A5">
            <w:pPr>
              <w:pStyle w:val="NoSpacing"/>
            </w:pPr>
            <w:r w:rsidRPr="00E67379">
              <w:t>In the above example, if the rent standard for a two-bedroom was lower than the pro-rata shared rent, then comparison units should have two bedrooms. Enter two-bedroom units with full rent on Form H under Rent Reasonableness.</w:t>
            </w:r>
          </w:p>
        </w:tc>
      </w:tr>
      <w:tr w:rsidR="00E67379" w14:paraId="0674AF58" w14:textId="77777777" w:rsidTr="002A61C8">
        <w:tc>
          <w:tcPr>
            <w:tcW w:w="523" w:type="dxa"/>
            <w:tcBorders>
              <w:top w:val="nil"/>
              <w:left w:val="single" w:sz="4" w:space="0" w:color="FFFFFF" w:themeColor="background1"/>
              <w:bottom w:val="nil"/>
              <w:right w:val="single" w:sz="4" w:space="0" w:color="FFFFFF" w:themeColor="background1"/>
            </w:tcBorders>
            <w:shd w:val="clear" w:color="auto" w:fill="D9D9D9" w:themeFill="background1" w:themeFillShade="D9"/>
          </w:tcPr>
          <w:p w14:paraId="41369FCA" w14:textId="77777777" w:rsidR="00EF66D7" w:rsidRDefault="00EF66D7" w:rsidP="009201A5">
            <w:pPr>
              <w:pStyle w:val="NoSpacing"/>
              <w:jc w:val="center"/>
              <w:rPr>
                <w:b/>
              </w:rPr>
            </w:pPr>
            <w:r>
              <w:rPr>
                <w:b/>
              </w:rPr>
              <w:t>2</w:t>
            </w:r>
          </w:p>
        </w:tc>
        <w:tc>
          <w:tcPr>
            <w:tcW w:w="10369"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themeFill="background1" w:themeFillShade="F2"/>
          </w:tcPr>
          <w:p w14:paraId="679CD3C2" w14:textId="06F2AB6E" w:rsidR="00EF66D7" w:rsidRDefault="00E67379" w:rsidP="009201A5">
            <w:pPr>
              <w:pStyle w:val="NoSpacing"/>
            </w:pPr>
            <w:r w:rsidRPr="00E67379">
              <w:rPr>
                <w:b/>
              </w:rPr>
              <w:t xml:space="preserve">If the rent standard for the pro-rata </w:t>
            </w:r>
            <w:proofErr w:type="gramStart"/>
            <w:r w:rsidRPr="00E67379">
              <w:rPr>
                <w:b/>
              </w:rPr>
              <w:t>share</w:t>
            </w:r>
            <w:proofErr w:type="gramEnd"/>
            <w:r w:rsidRPr="00E67379">
              <w:rPr>
                <w:b/>
              </w:rPr>
              <w:t xml:space="preserve"> of the private space as compared to the total space in the unit is used, then comparison units should have the same </w:t>
            </w:r>
            <w:r w:rsidR="004B5C85">
              <w:rPr>
                <w:b/>
              </w:rPr>
              <w:t>total unit size</w:t>
            </w:r>
          </w:p>
        </w:tc>
      </w:tr>
      <w:tr w:rsidR="00E67379" w14:paraId="12CB9005" w14:textId="77777777" w:rsidTr="002A61C8">
        <w:trPr>
          <w:trHeight w:val="169"/>
        </w:trPr>
        <w:tc>
          <w:tcPr>
            <w:tcW w:w="523" w:type="dxa"/>
            <w:tcBorders>
              <w:top w:val="nil"/>
              <w:left w:val="single" w:sz="4" w:space="0" w:color="FFFFFF" w:themeColor="background1"/>
              <w:bottom w:val="nil"/>
              <w:right w:val="single" w:sz="4" w:space="0" w:color="FFFFFF" w:themeColor="background1"/>
            </w:tcBorders>
            <w:shd w:val="clear" w:color="auto" w:fill="D9D9D9" w:themeFill="background1" w:themeFillShade="D9"/>
          </w:tcPr>
          <w:p w14:paraId="45776BBB" w14:textId="77777777" w:rsidR="00EF66D7" w:rsidRPr="00EF66D7" w:rsidRDefault="00EF66D7" w:rsidP="009201A5">
            <w:pPr>
              <w:pStyle w:val="NoSpacing"/>
            </w:pPr>
          </w:p>
        </w:tc>
        <w:tc>
          <w:tcPr>
            <w:tcW w:w="10369" w:type="dxa"/>
            <w:vMerge w:val="restart"/>
            <w:tcBorders>
              <w:top w:val="nil"/>
              <w:left w:val="single" w:sz="4" w:space="0" w:color="FFFFFF" w:themeColor="background1"/>
              <w:right w:val="single" w:sz="4" w:space="0" w:color="FFFFFF" w:themeColor="background1"/>
            </w:tcBorders>
            <w:shd w:val="clear" w:color="auto" w:fill="F2F2F2" w:themeFill="background1" w:themeFillShade="F2"/>
          </w:tcPr>
          <w:p w14:paraId="116CB795" w14:textId="40B80D35" w:rsidR="00EF66D7" w:rsidRDefault="00E67379" w:rsidP="009201A5">
            <w:pPr>
              <w:pStyle w:val="NoSpacing"/>
            </w:pPr>
            <w:r w:rsidRPr="00E67379">
              <w:t>In the above example, if the pro-rata shared rent for two out of three bedrooms was lower than the rent standard for a two-bedroom, then comparison units should have three bedrooms. Enter three-bedroom units with pro-rated rent on Form H under Rent Reasonableness. The rents of the comparison units must be figured using the same pro-rata share. If the comparison unit rent is $600.00 and the household will occupy 2 out of 3 bedrooms, the comparison unit rent will be figured as $400.00 (($600.00 / 3) * 2 = $400.00).</w:t>
            </w:r>
          </w:p>
        </w:tc>
      </w:tr>
      <w:tr w:rsidR="00E67379" w14:paraId="6A4CF4EC" w14:textId="77777777" w:rsidTr="002A61C8">
        <w:trPr>
          <w:trHeight w:val="168"/>
        </w:trPr>
        <w:tc>
          <w:tcPr>
            <w:tcW w:w="523" w:type="dxa"/>
            <w:tcBorders>
              <w:top w:val="nil"/>
              <w:left w:val="single" w:sz="4" w:space="0" w:color="FFFFFF" w:themeColor="background1"/>
              <w:bottom w:val="nil"/>
              <w:right w:val="single" w:sz="4" w:space="0" w:color="FFFFFF" w:themeColor="background1"/>
            </w:tcBorders>
            <w:shd w:val="clear" w:color="auto" w:fill="D9D9D9" w:themeFill="background1" w:themeFillShade="D9"/>
          </w:tcPr>
          <w:p w14:paraId="2660CED5" w14:textId="77777777" w:rsidR="00EF66D7" w:rsidRPr="00EF66D7" w:rsidRDefault="00EF66D7" w:rsidP="009201A5">
            <w:pPr>
              <w:pStyle w:val="NoSpacing"/>
            </w:pPr>
          </w:p>
        </w:tc>
        <w:tc>
          <w:tcPr>
            <w:tcW w:w="10369" w:type="dxa"/>
            <w:vMerge/>
            <w:tcBorders>
              <w:left w:val="single" w:sz="4" w:space="0" w:color="FFFFFF" w:themeColor="background1"/>
              <w:right w:val="single" w:sz="4" w:space="0" w:color="FFFFFF" w:themeColor="background1"/>
            </w:tcBorders>
            <w:shd w:val="clear" w:color="auto" w:fill="F2F2F2" w:themeFill="background1" w:themeFillShade="F2"/>
          </w:tcPr>
          <w:p w14:paraId="6AEB9200" w14:textId="77777777" w:rsidR="00EF66D7" w:rsidRPr="00EF66D7" w:rsidRDefault="00EF66D7" w:rsidP="009201A5">
            <w:pPr>
              <w:pStyle w:val="NoSpacing"/>
            </w:pPr>
          </w:p>
        </w:tc>
      </w:tr>
      <w:tr w:rsidR="00E67379" w14:paraId="38207EEC" w14:textId="77777777" w:rsidTr="002A61C8">
        <w:trPr>
          <w:trHeight w:val="168"/>
        </w:trPr>
        <w:tc>
          <w:tcPr>
            <w:tcW w:w="523" w:type="dxa"/>
            <w:tcBorders>
              <w:top w:val="nil"/>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55CE35E" w14:textId="77777777" w:rsidR="00EF66D7" w:rsidRPr="00EF66D7" w:rsidRDefault="00EF66D7" w:rsidP="009201A5">
            <w:pPr>
              <w:pStyle w:val="NoSpacing"/>
            </w:pPr>
          </w:p>
        </w:tc>
        <w:tc>
          <w:tcPr>
            <w:tcW w:w="10369" w:type="dxa"/>
            <w:vMerge/>
            <w:tcBorders>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78B5A9F" w14:textId="77777777" w:rsidR="00EF66D7" w:rsidRPr="00EF66D7" w:rsidRDefault="00EF66D7" w:rsidP="009201A5">
            <w:pPr>
              <w:pStyle w:val="NoSpacing"/>
            </w:pPr>
          </w:p>
        </w:tc>
      </w:tr>
    </w:tbl>
    <w:p w14:paraId="25F8B0CE" w14:textId="77777777" w:rsidR="00D51169" w:rsidRDefault="00D51169">
      <w:pPr>
        <w:pStyle w:val="NoSpacing"/>
      </w:pPr>
    </w:p>
    <w:p w14:paraId="56159E2C" w14:textId="7A621CE7" w:rsidR="00F5154B" w:rsidRDefault="00D21E9B" w:rsidP="00F5154B">
      <w:pPr>
        <w:pStyle w:val="NoSpacing"/>
        <w:rPr>
          <w:color w:val="C00000"/>
        </w:rPr>
      </w:pPr>
      <w:r w:rsidRPr="009658B2">
        <w:rPr>
          <w:b/>
          <w:color w:val="C00000"/>
        </w:rPr>
        <w:t>NOTE:</w:t>
      </w:r>
      <w:r w:rsidR="00F5154B" w:rsidRPr="009658B2">
        <w:rPr>
          <w:color w:val="C00000"/>
        </w:rPr>
        <w:t xml:space="preserve"> </w:t>
      </w:r>
      <w:r w:rsidR="00A708B5">
        <w:rPr>
          <w:color w:val="C00000"/>
        </w:rPr>
        <w:t>If the</w:t>
      </w:r>
      <w:r w:rsidR="00FD7DAA">
        <w:rPr>
          <w:color w:val="C00000"/>
        </w:rPr>
        <w:t xml:space="preserve"> household will receive a utility allowance</w:t>
      </w:r>
      <w:r w:rsidR="00F5154B" w:rsidRPr="009658B2">
        <w:rPr>
          <w:color w:val="C00000"/>
        </w:rPr>
        <w:t>, the allowance</w:t>
      </w:r>
      <w:r w:rsidR="00DA112A">
        <w:rPr>
          <w:color w:val="C00000"/>
        </w:rPr>
        <w:t xml:space="preserve"> for the </w:t>
      </w:r>
      <w:r w:rsidR="00A806A7">
        <w:rPr>
          <w:color w:val="C00000"/>
        </w:rPr>
        <w:t xml:space="preserve">unit </w:t>
      </w:r>
      <w:r w:rsidR="00DA112A">
        <w:rPr>
          <w:color w:val="C00000"/>
        </w:rPr>
        <w:t>and comparison units</w:t>
      </w:r>
      <w:r w:rsidR="00F5154B" w:rsidRPr="009658B2">
        <w:rPr>
          <w:color w:val="C00000"/>
        </w:rPr>
        <w:t xml:space="preserve"> must be </w:t>
      </w:r>
      <w:r w:rsidR="00FD7DAA">
        <w:rPr>
          <w:color w:val="C00000"/>
        </w:rPr>
        <w:t>figured</w:t>
      </w:r>
      <w:r w:rsidR="00F5154B" w:rsidRPr="009658B2">
        <w:rPr>
          <w:color w:val="C00000"/>
        </w:rPr>
        <w:t xml:space="preserve"> </w:t>
      </w:r>
      <w:r w:rsidR="00A708B5">
        <w:rPr>
          <w:color w:val="C00000"/>
        </w:rPr>
        <w:t>as the</w:t>
      </w:r>
      <w:r w:rsidR="00FD7DAA">
        <w:rPr>
          <w:color w:val="C00000"/>
        </w:rPr>
        <w:t xml:space="preserve"> pro-rata share of </w:t>
      </w:r>
      <w:r w:rsidR="00A708B5">
        <w:rPr>
          <w:color w:val="C00000"/>
        </w:rPr>
        <w:t xml:space="preserve">the private </w:t>
      </w:r>
      <w:r w:rsidR="00FD7DAA">
        <w:rPr>
          <w:color w:val="C00000"/>
        </w:rPr>
        <w:t>space.</w:t>
      </w:r>
      <w:r w:rsidR="00F5154B" w:rsidRPr="009658B2">
        <w:rPr>
          <w:color w:val="C00000"/>
        </w:rPr>
        <w:t xml:space="preserve"> </w:t>
      </w:r>
      <w:r w:rsidR="00FB1511" w:rsidRPr="00FB1511">
        <w:rPr>
          <w:color w:val="C00000"/>
        </w:rPr>
        <w:t>Project Sponsors must use the utility allowance for the lower of either the number of bedrooms allowed by the Occupancy Standards or the actual number of bedrooms in the unit.</w:t>
      </w:r>
      <w:r w:rsidR="00DA112A">
        <w:rPr>
          <w:color w:val="C00000"/>
        </w:rPr>
        <w:t xml:space="preserve"> </w:t>
      </w:r>
      <w:r w:rsidR="00A708B5" w:rsidRPr="00A708B5">
        <w:rPr>
          <w:color w:val="C00000"/>
        </w:rPr>
        <w:t xml:space="preserve">For example, if </w:t>
      </w:r>
      <w:r w:rsidR="005047A1">
        <w:rPr>
          <w:color w:val="C00000"/>
        </w:rPr>
        <w:t>a</w:t>
      </w:r>
      <w:r w:rsidR="00FB1511">
        <w:rPr>
          <w:color w:val="C00000"/>
        </w:rPr>
        <w:t xml:space="preserve"> </w:t>
      </w:r>
      <w:r w:rsidR="008B421F">
        <w:rPr>
          <w:color w:val="C00000"/>
        </w:rPr>
        <w:t>household qualifies for</w:t>
      </w:r>
      <w:r w:rsidR="00A708B5" w:rsidRPr="00A708B5">
        <w:rPr>
          <w:color w:val="C00000"/>
        </w:rPr>
        <w:t xml:space="preserve"> </w:t>
      </w:r>
      <w:r w:rsidR="00FB1511">
        <w:rPr>
          <w:color w:val="C00000"/>
        </w:rPr>
        <w:t>one</w:t>
      </w:r>
      <w:r w:rsidR="00A708B5" w:rsidRPr="00A708B5">
        <w:rPr>
          <w:color w:val="C00000"/>
        </w:rPr>
        <w:t xml:space="preserve"> out of three bedrooms, divide the </w:t>
      </w:r>
      <w:r w:rsidR="00DA112A">
        <w:rPr>
          <w:color w:val="C00000"/>
        </w:rPr>
        <w:t>utility allowance</w:t>
      </w:r>
      <w:r w:rsidR="00A708B5" w:rsidRPr="00A708B5">
        <w:rPr>
          <w:color w:val="C00000"/>
        </w:rPr>
        <w:t xml:space="preserve"> for a three-bedroom by 3 and multiply the quotient by </w:t>
      </w:r>
      <w:r w:rsidR="00FB1511">
        <w:rPr>
          <w:color w:val="C00000"/>
        </w:rPr>
        <w:t>1</w:t>
      </w:r>
      <w:r w:rsidR="00A708B5" w:rsidRPr="00A708B5">
        <w:rPr>
          <w:color w:val="C00000"/>
        </w:rPr>
        <w:t xml:space="preserve">. Enter the product on Form H under </w:t>
      </w:r>
      <w:r w:rsidR="00DA112A">
        <w:rPr>
          <w:color w:val="C00000"/>
        </w:rPr>
        <w:t>Utility Allowance</w:t>
      </w:r>
      <w:r w:rsidR="00A708B5" w:rsidRPr="00A708B5">
        <w:rPr>
          <w:color w:val="C00000"/>
        </w:rPr>
        <w:t>.</w:t>
      </w:r>
    </w:p>
    <w:p w14:paraId="210B7351" w14:textId="4C38268A" w:rsidR="00A340E8" w:rsidRDefault="00A340E8" w:rsidP="000B43DF">
      <w:pPr>
        <w:pStyle w:val="NoSpacing"/>
        <w:rPr>
          <w:sz w:val="2"/>
        </w:rPr>
      </w:pPr>
      <w:r w:rsidRPr="000B43DF">
        <w:rPr>
          <w:sz w:val="2"/>
        </w:rPr>
        <w:br w:type="page"/>
      </w:r>
    </w:p>
    <w:p w14:paraId="150DD2F6" w14:textId="77777777" w:rsidR="00997D5C" w:rsidRPr="00DA098E" w:rsidRDefault="00997D5C" w:rsidP="00DA098E">
      <w:pPr>
        <w:pStyle w:val="Heading2"/>
        <w:jc w:val="center"/>
        <w:rPr>
          <w:b/>
        </w:rPr>
      </w:pPr>
      <w:bookmarkStart w:id="71" w:name="_Toc140755494"/>
      <w:r w:rsidRPr="00DA098E">
        <w:rPr>
          <w:rFonts w:asciiTheme="minorHAnsi" w:hAnsiTheme="minorHAnsi"/>
          <w:b/>
          <w:color w:val="auto"/>
          <w:sz w:val="22"/>
        </w:rPr>
        <w:lastRenderedPageBreak/>
        <w:t>Appendix I: Tenant Lease Provisions</w:t>
      </w:r>
      <w:bookmarkEnd w:id="71"/>
    </w:p>
    <w:p w14:paraId="1677F53F" w14:textId="26CA9B9E" w:rsidR="00997D5C" w:rsidRPr="00DA098E" w:rsidRDefault="00997D5C" w:rsidP="00DA098E">
      <w:pPr>
        <w:spacing w:after="0" w:line="240" w:lineRule="auto"/>
        <w:jc w:val="center"/>
        <w:rPr>
          <w:rFonts w:ascii="Calibri" w:hAnsi="Calibri"/>
          <w:i/>
          <w:sz w:val="16"/>
        </w:rPr>
      </w:pPr>
      <w:r w:rsidRPr="00DA098E">
        <w:rPr>
          <w:rFonts w:ascii="Calibri" w:hAnsi="Calibri"/>
          <w:i/>
          <w:sz w:val="16"/>
        </w:rPr>
        <w:t>(Source: HOPWA Rental Assistance Guidebook, Chapter 5: Program Operations</w:t>
      </w:r>
      <w:r w:rsidR="003B51B6">
        <w:rPr>
          <w:rFonts w:ascii="Calibri" w:hAnsi="Calibri"/>
          <w:i/>
          <w:sz w:val="16"/>
        </w:rPr>
        <w:t xml:space="preserve"> – Policies and Procedures</w:t>
      </w:r>
      <w:r w:rsidRPr="00DA098E">
        <w:rPr>
          <w:rFonts w:ascii="Calibri" w:hAnsi="Calibri"/>
          <w:i/>
          <w:sz w:val="16"/>
        </w:rPr>
        <w:t>. HOPWA Grantee Oversight Resource Guide, Leases)</w:t>
      </w:r>
    </w:p>
    <w:p w14:paraId="53C70F8B" w14:textId="77777777" w:rsidR="00997D5C" w:rsidRPr="00DA098E" w:rsidRDefault="00997D5C" w:rsidP="00997D5C">
      <w:pPr>
        <w:spacing w:after="0" w:line="240" w:lineRule="auto"/>
        <w:rPr>
          <w:rFonts w:ascii="Calibri" w:hAnsi="Calibri"/>
          <w:sz w:val="16"/>
        </w:rPr>
      </w:pPr>
    </w:p>
    <w:p w14:paraId="2D7D7A88" w14:textId="20FBB36B" w:rsidR="00D82E54" w:rsidRDefault="009E3DDE" w:rsidP="00ED208F">
      <w:pPr>
        <w:spacing w:after="0" w:line="240" w:lineRule="auto"/>
      </w:pPr>
      <w:r>
        <w:rPr>
          <w:rFonts w:ascii="Calibri" w:hAnsi="Calibri"/>
        </w:rPr>
        <w:t xml:space="preserve">Project Sponsors </w:t>
      </w:r>
      <w:r w:rsidR="004257BD">
        <w:rPr>
          <w:rFonts w:ascii="Calibri" w:hAnsi="Calibri"/>
        </w:rPr>
        <w:t>should ensure that</w:t>
      </w:r>
      <w:r w:rsidR="00BE6355">
        <w:rPr>
          <w:rFonts w:ascii="Calibri" w:hAnsi="Calibri"/>
        </w:rPr>
        <w:t xml:space="preserve"> prospective</w:t>
      </w:r>
      <w:r>
        <w:rPr>
          <w:rFonts w:ascii="Calibri" w:hAnsi="Calibri"/>
        </w:rPr>
        <w:t xml:space="preserve"> leases for </w:t>
      </w:r>
      <w:r w:rsidR="00BE6355">
        <w:rPr>
          <w:rFonts w:ascii="Calibri" w:hAnsi="Calibri"/>
        </w:rPr>
        <w:t>TBRA and TSH services</w:t>
      </w:r>
      <w:r w:rsidRPr="00DC35A7">
        <w:rPr>
          <w:rFonts w:ascii="Calibri" w:hAnsi="Calibri"/>
        </w:rPr>
        <w:t xml:space="preserve"> </w:t>
      </w:r>
      <w:r>
        <w:rPr>
          <w:rFonts w:ascii="Calibri" w:hAnsi="Calibri"/>
        </w:rPr>
        <w:t xml:space="preserve">include </w:t>
      </w:r>
      <w:r w:rsidR="001F0501">
        <w:rPr>
          <w:rFonts w:ascii="Calibri" w:hAnsi="Calibri"/>
        </w:rPr>
        <w:t>and exclude certain provisions as described in this Appendix</w:t>
      </w:r>
      <w:r w:rsidRPr="00DC35A7">
        <w:rPr>
          <w:rFonts w:ascii="Calibri" w:hAnsi="Calibri"/>
        </w:rPr>
        <w:t>.</w:t>
      </w:r>
      <w:r>
        <w:rPr>
          <w:rFonts w:ascii="Calibri" w:hAnsi="Calibri"/>
        </w:rPr>
        <w:t xml:space="preserve"> </w:t>
      </w:r>
      <w:r w:rsidR="004E37CB" w:rsidRPr="004E37CB">
        <w:rPr>
          <w:rFonts w:ascii="Calibri" w:hAnsi="Calibri"/>
        </w:rPr>
        <w:t xml:space="preserve">Program staff should review prospective leases to ensure </w:t>
      </w:r>
      <w:r w:rsidR="00BE6355">
        <w:rPr>
          <w:rFonts w:ascii="Calibri" w:hAnsi="Calibri"/>
        </w:rPr>
        <w:t>they meet any</w:t>
      </w:r>
      <w:r w:rsidR="004E37CB" w:rsidRPr="004E37CB">
        <w:rPr>
          <w:rFonts w:ascii="Calibri" w:hAnsi="Calibri"/>
        </w:rPr>
        <w:t xml:space="preserve"> additional requirements developed by the </w:t>
      </w:r>
      <w:r w:rsidR="004E37CB">
        <w:rPr>
          <w:rFonts w:ascii="Calibri" w:hAnsi="Calibri"/>
        </w:rPr>
        <w:t>Project Sponsor</w:t>
      </w:r>
      <w:r w:rsidR="004E37CB" w:rsidRPr="004E37CB">
        <w:rPr>
          <w:rFonts w:ascii="Calibri" w:hAnsi="Calibri"/>
        </w:rPr>
        <w:t xml:space="preserve">. </w:t>
      </w:r>
      <w:r w:rsidR="004E37CB">
        <w:rPr>
          <w:rFonts w:ascii="Calibri" w:hAnsi="Calibri"/>
        </w:rPr>
        <w:t>Households</w:t>
      </w:r>
      <w:r w:rsidR="004E37CB" w:rsidRPr="004E37CB">
        <w:rPr>
          <w:rFonts w:ascii="Calibri" w:hAnsi="Calibri"/>
        </w:rPr>
        <w:t xml:space="preserve"> should not be directed to sign a leas</w:t>
      </w:r>
      <w:r w:rsidR="004E37CB">
        <w:rPr>
          <w:rFonts w:ascii="Calibri" w:hAnsi="Calibri"/>
        </w:rPr>
        <w:t xml:space="preserve">e until this review is complete. </w:t>
      </w:r>
      <w:r w:rsidR="004257BD">
        <w:rPr>
          <w:rFonts w:ascii="Calibri" w:hAnsi="Calibri"/>
        </w:rPr>
        <w:t>Generally</w:t>
      </w:r>
      <w:r w:rsidRPr="00DC35A7">
        <w:rPr>
          <w:rFonts w:ascii="Calibri" w:hAnsi="Calibri"/>
        </w:rPr>
        <w:t xml:space="preserve">, the lease </w:t>
      </w:r>
      <w:r w:rsidR="004257BD">
        <w:rPr>
          <w:rFonts w:ascii="Calibri" w:hAnsi="Calibri"/>
        </w:rPr>
        <w:t>should</w:t>
      </w:r>
      <w:r w:rsidRPr="00DC35A7">
        <w:rPr>
          <w:rFonts w:ascii="Calibri" w:hAnsi="Calibri"/>
        </w:rPr>
        <w:t xml:space="preserve"> be for not less than one year and</w:t>
      </w:r>
      <w:r>
        <w:rPr>
          <w:rFonts w:ascii="Calibri" w:hAnsi="Calibri"/>
        </w:rPr>
        <w:t xml:space="preserve"> </w:t>
      </w:r>
      <w:r w:rsidRPr="00DC35A7">
        <w:rPr>
          <w:rFonts w:ascii="Calibri" w:hAnsi="Calibri"/>
        </w:rPr>
        <w:t xml:space="preserve">should allow for renewal after that period. However, </w:t>
      </w:r>
      <w:r>
        <w:rPr>
          <w:rFonts w:ascii="Calibri" w:hAnsi="Calibri"/>
        </w:rPr>
        <w:t xml:space="preserve">Project Sponsors </w:t>
      </w:r>
      <w:r w:rsidRPr="00DC35A7">
        <w:rPr>
          <w:rFonts w:ascii="Calibri" w:hAnsi="Calibri"/>
        </w:rPr>
        <w:t>may approve a</w:t>
      </w:r>
      <w:r>
        <w:rPr>
          <w:rFonts w:ascii="Calibri" w:hAnsi="Calibri"/>
        </w:rPr>
        <w:t xml:space="preserve"> </w:t>
      </w:r>
      <w:r w:rsidRPr="00DC35A7">
        <w:rPr>
          <w:rFonts w:ascii="Calibri" w:hAnsi="Calibri"/>
        </w:rPr>
        <w:t xml:space="preserve">shorter initial lease if </w:t>
      </w:r>
      <w:r>
        <w:rPr>
          <w:rFonts w:ascii="Calibri" w:hAnsi="Calibri"/>
        </w:rPr>
        <w:t>it</w:t>
      </w:r>
      <w:r w:rsidRPr="00DC35A7">
        <w:rPr>
          <w:rFonts w:ascii="Calibri" w:hAnsi="Calibri"/>
        </w:rPr>
        <w:t xml:space="preserve"> would improve </w:t>
      </w:r>
      <w:r>
        <w:rPr>
          <w:rFonts w:ascii="Calibri" w:hAnsi="Calibri"/>
        </w:rPr>
        <w:t>housing opportunities for a household</w:t>
      </w:r>
      <w:r w:rsidRPr="00DC35A7">
        <w:rPr>
          <w:rFonts w:ascii="Calibri" w:hAnsi="Calibri"/>
        </w:rPr>
        <w:t xml:space="preserve"> and such</w:t>
      </w:r>
      <w:r>
        <w:rPr>
          <w:rFonts w:ascii="Calibri" w:hAnsi="Calibri"/>
        </w:rPr>
        <w:t xml:space="preserve"> </w:t>
      </w:r>
      <w:r w:rsidRPr="00DC35A7">
        <w:rPr>
          <w:rFonts w:ascii="Calibri" w:hAnsi="Calibri"/>
        </w:rPr>
        <w:t>shorter term is the pr</w:t>
      </w:r>
      <w:r>
        <w:rPr>
          <w:rFonts w:ascii="Calibri" w:hAnsi="Calibri"/>
        </w:rPr>
        <w:t>evailing local market practice.</w:t>
      </w:r>
      <w:r w:rsidR="002B08EE">
        <w:rPr>
          <w:rFonts w:ascii="Calibri" w:hAnsi="Calibri"/>
        </w:rPr>
        <w:t xml:space="preserve"> </w:t>
      </w:r>
      <w:r w:rsidR="002B08EE">
        <w:t>E</w:t>
      </w:r>
      <w:r w:rsidR="00D82E54" w:rsidRPr="00D82E54">
        <w:t xml:space="preserve">xecuted </w:t>
      </w:r>
      <w:r w:rsidR="009E39C1">
        <w:t>leases</w:t>
      </w:r>
      <w:r w:rsidR="00D82E54" w:rsidRPr="00D82E54">
        <w:t xml:space="preserve"> (i.e., signed and dated by </w:t>
      </w:r>
      <w:r w:rsidR="002B08EE">
        <w:t>all</w:t>
      </w:r>
      <w:r w:rsidR="00D82E54" w:rsidRPr="00D82E54">
        <w:t xml:space="preserve"> parties) </w:t>
      </w:r>
      <w:r w:rsidR="002B08EE">
        <w:t>must</w:t>
      </w:r>
      <w:r w:rsidR="00D82E54" w:rsidRPr="00D82E54">
        <w:t xml:space="preserve"> be maintained in each </w:t>
      </w:r>
      <w:r w:rsidR="002B08EE">
        <w:t>household’s</w:t>
      </w:r>
      <w:r w:rsidR="00D82E54" w:rsidRPr="00D82E54">
        <w:t xml:space="preserve"> </w:t>
      </w:r>
      <w:r w:rsidR="002228D2">
        <w:t>record</w:t>
      </w:r>
      <w:r w:rsidR="00D82E54" w:rsidRPr="00D82E54">
        <w:t>.</w:t>
      </w:r>
      <w:r w:rsidR="001F0501">
        <w:t xml:space="preserve"> </w:t>
      </w:r>
      <w:r w:rsidR="001F0501" w:rsidRPr="001F0501">
        <w:t>In shared housing arrangements</w:t>
      </w:r>
      <w:r w:rsidR="00100DB8">
        <w:t>,</w:t>
      </w:r>
      <w:r w:rsidR="001F0501" w:rsidRPr="001F0501">
        <w:t xml:space="preserve"> </w:t>
      </w:r>
      <w:r w:rsidR="00100DB8" w:rsidRPr="00100DB8">
        <w:t xml:space="preserve">where two or more unrelated households </w:t>
      </w:r>
      <w:r w:rsidR="00206548">
        <w:t xml:space="preserve">voluntarily </w:t>
      </w:r>
      <w:r w:rsidR="00100DB8" w:rsidRPr="00100DB8">
        <w:t>live together in a unit</w:t>
      </w:r>
      <w:r w:rsidR="00DB1E70">
        <w:t xml:space="preserve"> and divide rental costs</w:t>
      </w:r>
      <w:r w:rsidR="001F0501" w:rsidRPr="001F0501">
        <w:t>, Project Sponsors must obtain a written roommate agreement with a breakout of each household’s share of the total rent to the owner.</w:t>
      </w:r>
    </w:p>
    <w:p w14:paraId="41D281A2" w14:textId="77777777" w:rsidR="00D82E54" w:rsidRDefault="00D82E54">
      <w:pPr>
        <w:pStyle w:val="NoSpacing"/>
        <w:rPr>
          <w:rFonts w:ascii="Calibri" w:hAnsi="Calibri"/>
        </w:rPr>
      </w:pPr>
    </w:p>
    <w:p w14:paraId="375A7967" w14:textId="633C3E26" w:rsidR="009E3DDE" w:rsidRPr="00ED208F" w:rsidRDefault="009E3DDE">
      <w:pPr>
        <w:pStyle w:val="NoSpacing"/>
        <w:rPr>
          <w:rFonts w:ascii="Calibri" w:hAnsi="Calibri"/>
          <w:b/>
          <w:u w:val="single"/>
        </w:rPr>
      </w:pPr>
      <w:r w:rsidRPr="00ED208F">
        <w:rPr>
          <w:rFonts w:ascii="Calibri" w:hAnsi="Calibri"/>
          <w:b/>
          <w:u w:val="single"/>
        </w:rPr>
        <w:t xml:space="preserve">The following provisions should </w:t>
      </w:r>
      <w:r w:rsidR="004E37CB">
        <w:rPr>
          <w:rFonts w:ascii="Calibri" w:hAnsi="Calibri"/>
          <w:b/>
          <w:u w:val="single"/>
        </w:rPr>
        <w:t>be included</w:t>
      </w:r>
      <w:r w:rsidRPr="00ED208F">
        <w:rPr>
          <w:rFonts w:ascii="Calibri" w:hAnsi="Calibri"/>
          <w:b/>
          <w:u w:val="single"/>
        </w:rPr>
        <w:t xml:space="preserve"> in the lease or added as a lease addendum:</w:t>
      </w:r>
    </w:p>
    <w:p w14:paraId="24F02C20" w14:textId="0288CD59" w:rsidR="009E3DDE" w:rsidRPr="00DC35A7" w:rsidRDefault="009E3DDE">
      <w:pPr>
        <w:pStyle w:val="NoSpacing"/>
        <w:numPr>
          <w:ilvl w:val="0"/>
          <w:numId w:val="89"/>
        </w:numPr>
        <w:rPr>
          <w:rFonts w:ascii="Calibri" w:hAnsi="Calibri"/>
        </w:rPr>
      </w:pPr>
      <w:r w:rsidRPr="00DC35A7">
        <w:rPr>
          <w:rFonts w:ascii="Calibri" w:hAnsi="Calibri"/>
        </w:rPr>
        <w:t>Details about the rental amount, including tenant and rental program shares of the rent paid monthly</w:t>
      </w:r>
    </w:p>
    <w:p w14:paraId="2CD99AF2" w14:textId="3F3DA1F2" w:rsidR="009E3DDE" w:rsidRPr="00DC35A7" w:rsidRDefault="009E3DDE">
      <w:pPr>
        <w:pStyle w:val="NoSpacing"/>
        <w:numPr>
          <w:ilvl w:val="0"/>
          <w:numId w:val="88"/>
        </w:numPr>
        <w:rPr>
          <w:rFonts w:ascii="Calibri" w:hAnsi="Calibri"/>
        </w:rPr>
      </w:pPr>
      <w:r w:rsidRPr="00DC35A7">
        <w:rPr>
          <w:rFonts w:ascii="Calibri" w:hAnsi="Calibri"/>
        </w:rPr>
        <w:t xml:space="preserve">List of utilities paid or provided by </w:t>
      </w:r>
      <w:r w:rsidR="00BE6355">
        <w:rPr>
          <w:rFonts w:ascii="Calibri" w:hAnsi="Calibri"/>
        </w:rPr>
        <w:t>owner</w:t>
      </w:r>
      <w:r w:rsidRPr="00DC35A7">
        <w:rPr>
          <w:rFonts w:ascii="Calibri" w:hAnsi="Calibri"/>
        </w:rPr>
        <w:t xml:space="preserve"> and those paid by tenant</w:t>
      </w:r>
    </w:p>
    <w:p w14:paraId="331A0F28" w14:textId="0B399F2E" w:rsidR="009E3DDE" w:rsidRPr="00DC35A7" w:rsidRDefault="009E3DDE">
      <w:pPr>
        <w:pStyle w:val="NoSpacing"/>
        <w:numPr>
          <w:ilvl w:val="0"/>
          <w:numId w:val="88"/>
        </w:numPr>
        <w:rPr>
          <w:rFonts w:ascii="Calibri" w:hAnsi="Calibri"/>
        </w:rPr>
      </w:pPr>
      <w:r w:rsidRPr="00DC35A7">
        <w:rPr>
          <w:rFonts w:ascii="Calibri" w:hAnsi="Calibri"/>
        </w:rPr>
        <w:t xml:space="preserve">List of appliances provided by </w:t>
      </w:r>
      <w:r w:rsidR="00BE6355">
        <w:rPr>
          <w:rFonts w:ascii="Calibri" w:hAnsi="Calibri"/>
        </w:rPr>
        <w:t>owner</w:t>
      </w:r>
    </w:p>
    <w:p w14:paraId="09C431D3" w14:textId="298C721D" w:rsidR="009E3DDE" w:rsidRPr="00DC35A7" w:rsidRDefault="009E3DDE">
      <w:pPr>
        <w:pStyle w:val="NoSpacing"/>
        <w:numPr>
          <w:ilvl w:val="0"/>
          <w:numId w:val="88"/>
        </w:numPr>
        <w:rPr>
          <w:rFonts w:ascii="Calibri" w:hAnsi="Calibri"/>
        </w:rPr>
      </w:pPr>
      <w:r w:rsidRPr="00DC35A7">
        <w:rPr>
          <w:rFonts w:ascii="Calibri" w:hAnsi="Calibri"/>
        </w:rPr>
        <w:t xml:space="preserve">Explanation of </w:t>
      </w:r>
      <w:r w:rsidR="00BE6355">
        <w:rPr>
          <w:rFonts w:ascii="Calibri" w:hAnsi="Calibri"/>
        </w:rPr>
        <w:t>owner’s</w:t>
      </w:r>
      <w:r w:rsidRPr="00DC35A7">
        <w:rPr>
          <w:rFonts w:ascii="Calibri" w:hAnsi="Calibri"/>
        </w:rPr>
        <w:t xml:space="preserve"> responsibility for maintenance and services</w:t>
      </w:r>
    </w:p>
    <w:p w14:paraId="46B81949" w14:textId="77777777" w:rsidR="009E3DDE" w:rsidRPr="00DC35A7" w:rsidRDefault="009E3DDE">
      <w:pPr>
        <w:pStyle w:val="NoSpacing"/>
        <w:numPr>
          <w:ilvl w:val="0"/>
          <w:numId w:val="88"/>
        </w:numPr>
        <w:rPr>
          <w:rFonts w:ascii="Calibri" w:hAnsi="Calibri"/>
        </w:rPr>
      </w:pPr>
      <w:r w:rsidRPr="00DC35A7">
        <w:rPr>
          <w:rFonts w:ascii="Calibri" w:hAnsi="Calibri"/>
        </w:rPr>
        <w:t>Condition(s) necessary for eviction</w:t>
      </w:r>
    </w:p>
    <w:p w14:paraId="1FAED0C0" w14:textId="77777777" w:rsidR="009E3DDE" w:rsidRPr="00DC35A7" w:rsidRDefault="009E3DDE">
      <w:pPr>
        <w:pStyle w:val="NoSpacing"/>
        <w:numPr>
          <w:ilvl w:val="0"/>
          <w:numId w:val="88"/>
        </w:numPr>
        <w:rPr>
          <w:rFonts w:ascii="Calibri" w:hAnsi="Calibri"/>
        </w:rPr>
      </w:pPr>
      <w:r w:rsidRPr="00DC35A7">
        <w:rPr>
          <w:rFonts w:ascii="Calibri" w:hAnsi="Calibri"/>
        </w:rPr>
        <w:t>Prohibition against discrimination</w:t>
      </w:r>
    </w:p>
    <w:p w14:paraId="108B1751" w14:textId="77777777" w:rsidR="009E3DDE" w:rsidRPr="00DC35A7" w:rsidRDefault="009E3DDE" w:rsidP="009E3DDE">
      <w:pPr>
        <w:pStyle w:val="NoSpacing"/>
        <w:numPr>
          <w:ilvl w:val="0"/>
          <w:numId w:val="88"/>
        </w:numPr>
        <w:rPr>
          <w:rFonts w:ascii="Calibri" w:hAnsi="Calibri"/>
        </w:rPr>
      </w:pPr>
      <w:r w:rsidRPr="00DC35A7">
        <w:rPr>
          <w:rFonts w:ascii="Calibri" w:hAnsi="Calibri"/>
        </w:rPr>
        <w:t>Amount of security deposit and who will pay it</w:t>
      </w:r>
    </w:p>
    <w:p w14:paraId="430A2F6E" w14:textId="3C9C526C" w:rsidR="009E3DDE" w:rsidRPr="00DC35A7" w:rsidRDefault="009E3DDE" w:rsidP="009E3DDE">
      <w:pPr>
        <w:pStyle w:val="NoSpacing"/>
        <w:numPr>
          <w:ilvl w:val="0"/>
          <w:numId w:val="88"/>
        </w:numPr>
        <w:rPr>
          <w:rFonts w:ascii="Calibri" w:hAnsi="Calibri"/>
        </w:rPr>
      </w:pPr>
      <w:r w:rsidRPr="00DC35A7">
        <w:rPr>
          <w:rFonts w:ascii="Calibri" w:hAnsi="Calibri"/>
        </w:rPr>
        <w:t xml:space="preserve">Names of all occupants that will </w:t>
      </w:r>
      <w:r w:rsidR="00B159AA">
        <w:rPr>
          <w:rFonts w:ascii="Calibri" w:hAnsi="Calibri"/>
        </w:rPr>
        <w:t>live</w:t>
      </w:r>
      <w:r w:rsidRPr="00DC35A7">
        <w:rPr>
          <w:rFonts w:ascii="Calibri" w:hAnsi="Calibri"/>
        </w:rPr>
        <w:t xml:space="preserve"> in the unit</w:t>
      </w:r>
    </w:p>
    <w:p w14:paraId="78CA60DB" w14:textId="77777777" w:rsidR="009E3DDE" w:rsidRDefault="009E3DDE" w:rsidP="009E3DDE">
      <w:pPr>
        <w:pStyle w:val="NoSpacing"/>
        <w:rPr>
          <w:rFonts w:ascii="Calibri" w:hAnsi="Calibri"/>
        </w:rPr>
      </w:pPr>
    </w:p>
    <w:p w14:paraId="06F29FDB" w14:textId="6AF07A51" w:rsidR="009E3DDE" w:rsidRPr="00ED208F" w:rsidRDefault="009E3DDE" w:rsidP="009E3DDE">
      <w:pPr>
        <w:pStyle w:val="NoSpacing"/>
        <w:rPr>
          <w:rFonts w:ascii="Calibri" w:hAnsi="Calibri"/>
          <w:b/>
          <w:u w:val="single"/>
        </w:rPr>
      </w:pPr>
      <w:r w:rsidRPr="00ED208F">
        <w:rPr>
          <w:rFonts w:ascii="Calibri" w:hAnsi="Calibri"/>
          <w:b/>
          <w:u w:val="single"/>
        </w:rPr>
        <w:t xml:space="preserve">The </w:t>
      </w:r>
      <w:r w:rsidR="004E37CB">
        <w:rPr>
          <w:rFonts w:ascii="Calibri" w:hAnsi="Calibri"/>
          <w:b/>
          <w:u w:val="single"/>
        </w:rPr>
        <w:t>following provisions should be excluded from the lease</w:t>
      </w:r>
      <w:r w:rsidRPr="00ED208F">
        <w:rPr>
          <w:rFonts w:ascii="Calibri" w:hAnsi="Calibri"/>
          <w:b/>
          <w:u w:val="single"/>
        </w:rPr>
        <w:t>:</w:t>
      </w:r>
    </w:p>
    <w:p w14:paraId="24EB566C" w14:textId="77777777" w:rsidR="009E3DDE" w:rsidRPr="00DC35A7" w:rsidRDefault="009E3DDE" w:rsidP="009E3DDE">
      <w:pPr>
        <w:pStyle w:val="NoSpacing"/>
        <w:numPr>
          <w:ilvl w:val="0"/>
          <w:numId w:val="90"/>
        </w:numPr>
        <w:rPr>
          <w:rFonts w:ascii="Calibri" w:hAnsi="Calibri"/>
        </w:rPr>
      </w:pPr>
      <w:r w:rsidRPr="002755E9">
        <w:rPr>
          <w:rFonts w:ascii="Calibri" w:hAnsi="Calibri"/>
          <w:i/>
        </w:rPr>
        <w:t>Agreement to be sued.</w:t>
      </w:r>
      <w:r w:rsidRPr="00DC35A7">
        <w:rPr>
          <w:rFonts w:ascii="Calibri" w:hAnsi="Calibri"/>
        </w:rPr>
        <w:t xml:space="preserve"> Agreement by the tenant to be sued, to admit guilt or to a judgment</w:t>
      </w:r>
      <w:r>
        <w:rPr>
          <w:rFonts w:ascii="Calibri" w:hAnsi="Calibri"/>
        </w:rPr>
        <w:t xml:space="preserve"> </w:t>
      </w:r>
      <w:r w:rsidRPr="00DC35A7">
        <w:rPr>
          <w:rFonts w:ascii="Calibri" w:hAnsi="Calibri"/>
        </w:rPr>
        <w:t>in favor of the owner in a lawsuit brought in connection with the lease</w:t>
      </w:r>
    </w:p>
    <w:p w14:paraId="735F3A1C" w14:textId="77777777" w:rsidR="009E3DDE" w:rsidRPr="002755E9" w:rsidRDefault="009E3DDE" w:rsidP="009E3DDE">
      <w:pPr>
        <w:pStyle w:val="NoSpacing"/>
        <w:numPr>
          <w:ilvl w:val="0"/>
          <w:numId w:val="90"/>
        </w:numPr>
        <w:rPr>
          <w:rFonts w:ascii="Calibri" w:hAnsi="Calibri"/>
        </w:rPr>
      </w:pPr>
      <w:r w:rsidRPr="002755E9">
        <w:rPr>
          <w:rFonts w:ascii="Calibri" w:hAnsi="Calibri"/>
          <w:i/>
        </w:rPr>
        <w:t>Treatment of property.</w:t>
      </w:r>
      <w:r w:rsidRPr="002755E9">
        <w:rPr>
          <w:rFonts w:ascii="Calibri" w:hAnsi="Calibri"/>
        </w:rPr>
        <w:t xml:space="preserve"> Agreement by the tenant that the owner may take, hold, or sell personal property of household members without notice to the tenant and a court decision on the rights of the parties (Note: This prohibition does not apply to an agreement by the tenant concerning disposition of personal property remaining in the housing unit after the tenant has moved out of the unit. The owner may dispose of this personal property in accordance with state law.</w:t>
      </w:r>
      <w:r>
        <w:rPr>
          <w:rFonts w:ascii="Calibri" w:hAnsi="Calibri"/>
        </w:rPr>
        <w:t>)</w:t>
      </w:r>
    </w:p>
    <w:p w14:paraId="27452BF3" w14:textId="77777777" w:rsidR="009E3DDE" w:rsidRPr="00DC35A7" w:rsidRDefault="009E3DDE" w:rsidP="009E3DDE">
      <w:pPr>
        <w:pStyle w:val="NoSpacing"/>
        <w:numPr>
          <w:ilvl w:val="0"/>
          <w:numId w:val="90"/>
        </w:numPr>
        <w:rPr>
          <w:rFonts w:ascii="Calibri" w:hAnsi="Calibri"/>
        </w:rPr>
      </w:pPr>
      <w:r w:rsidRPr="002755E9">
        <w:rPr>
          <w:rFonts w:ascii="Calibri" w:hAnsi="Calibri"/>
          <w:i/>
        </w:rPr>
        <w:t>Excusing owner from responsibility.</w:t>
      </w:r>
      <w:r w:rsidRPr="00DC35A7">
        <w:rPr>
          <w:rFonts w:ascii="Calibri" w:hAnsi="Calibri"/>
        </w:rPr>
        <w:t xml:space="preserve"> Agreement by the tenant not to hold the owner or the owner’s agents legally responsible for any action or failure to act, whether intentional or</w:t>
      </w:r>
      <w:r>
        <w:rPr>
          <w:rFonts w:ascii="Calibri" w:hAnsi="Calibri"/>
        </w:rPr>
        <w:t xml:space="preserve"> </w:t>
      </w:r>
      <w:r w:rsidRPr="00DC35A7">
        <w:rPr>
          <w:rFonts w:ascii="Calibri" w:hAnsi="Calibri"/>
        </w:rPr>
        <w:t>negligent</w:t>
      </w:r>
    </w:p>
    <w:p w14:paraId="23B3D2C9" w14:textId="77777777" w:rsidR="009E3DDE" w:rsidRPr="00DC35A7" w:rsidRDefault="009E3DDE" w:rsidP="009E3DDE">
      <w:pPr>
        <w:pStyle w:val="NoSpacing"/>
        <w:numPr>
          <w:ilvl w:val="0"/>
          <w:numId w:val="90"/>
        </w:numPr>
        <w:rPr>
          <w:rFonts w:ascii="Calibri" w:hAnsi="Calibri"/>
        </w:rPr>
      </w:pPr>
      <w:r w:rsidRPr="002755E9">
        <w:rPr>
          <w:rFonts w:ascii="Calibri" w:hAnsi="Calibri"/>
          <w:i/>
        </w:rPr>
        <w:t>Waiver of notice.</w:t>
      </w:r>
      <w:r w:rsidRPr="00DC35A7">
        <w:rPr>
          <w:rFonts w:ascii="Calibri" w:hAnsi="Calibri"/>
        </w:rPr>
        <w:t xml:space="preserve"> Agreement by the tenant that the owner may institute a lawsuit without</w:t>
      </w:r>
      <w:r>
        <w:rPr>
          <w:rFonts w:ascii="Calibri" w:hAnsi="Calibri"/>
        </w:rPr>
        <w:t xml:space="preserve"> </w:t>
      </w:r>
      <w:r w:rsidRPr="00DC35A7">
        <w:rPr>
          <w:rFonts w:ascii="Calibri" w:hAnsi="Calibri"/>
        </w:rPr>
        <w:t>notice to the tenant</w:t>
      </w:r>
    </w:p>
    <w:p w14:paraId="44AA23C3" w14:textId="77777777" w:rsidR="009E3DDE" w:rsidRPr="00DC35A7" w:rsidRDefault="009E3DDE" w:rsidP="009E3DDE">
      <w:pPr>
        <w:pStyle w:val="NoSpacing"/>
        <w:numPr>
          <w:ilvl w:val="0"/>
          <w:numId w:val="90"/>
        </w:numPr>
        <w:rPr>
          <w:rFonts w:ascii="Calibri" w:hAnsi="Calibri"/>
        </w:rPr>
      </w:pPr>
      <w:r w:rsidRPr="002755E9">
        <w:rPr>
          <w:rFonts w:ascii="Calibri" w:hAnsi="Calibri"/>
          <w:i/>
        </w:rPr>
        <w:t>Waiver of legal proceedings.</w:t>
      </w:r>
      <w:r w:rsidRPr="00DC35A7">
        <w:rPr>
          <w:rFonts w:ascii="Calibri" w:hAnsi="Calibri"/>
        </w:rPr>
        <w:t xml:space="preserve"> Agreement by the tenant that the owner may evict the tenant or household members without instituting a civil court proceeding in which the tenant </w:t>
      </w:r>
      <w:proofErr w:type="gramStart"/>
      <w:r w:rsidRPr="00DC35A7">
        <w:rPr>
          <w:rFonts w:ascii="Calibri" w:hAnsi="Calibri"/>
        </w:rPr>
        <w:t>has the</w:t>
      </w:r>
      <w:r>
        <w:rPr>
          <w:rFonts w:ascii="Calibri" w:hAnsi="Calibri"/>
        </w:rPr>
        <w:t xml:space="preserve"> </w:t>
      </w:r>
      <w:r w:rsidRPr="00DC35A7">
        <w:rPr>
          <w:rFonts w:ascii="Calibri" w:hAnsi="Calibri"/>
        </w:rPr>
        <w:t>opportunity to</w:t>
      </w:r>
      <w:proofErr w:type="gramEnd"/>
      <w:r w:rsidRPr="00DC35A7">
        <w:rPr>
          <w:rFonts w:ascii="Calibri" w:hAnsi="Calibri"/>
        </w:rPr>
        <w:t xml:space="preserve"> present a defense, or before a court decision on the rights of the parties</w:t>
      </w:r>
    </w:p>
    <w:p w14:paraId="4E2AD943" w14:textId="77777777" w:rsidR="009E3DDE" w:rsidRDefault="009E3DDE" w:rsidP="009E3DDE">
      <w:pPr>
        <w:pStyle w:val="NoSpacing"/>
        <w:numPr>
          <w:ilvl w:val="0"/>
          <w:numId w:val="90"/>
        </w:numPr>
        <w:rPr>
          <w:rFonts w:ascii="Calibri" w:hAnsi="Calibri"/>
        </w:rPr>
      </w:pPr>
      <w:r w:rsidRPr="002755E9">
        <w:rPr>
          <w:rFonts w:ascii="Calibri" w:hAnsi="Calibri"/>
          <w:i/>
        </w:rPr>
        <w:t>Waiver of right to appeal court decision.</w:t>
      </w:r>
      <w:r w:rsidRPr="00DC35A7">
        <w:rPr>
          <w:rFonts w:ascii="Calibri" w:hAnsi="Calibri"/>
        </w:rPr>
        <w:t xml:space="preserve"> Agreement by the tenant to waive the tenant’s right to appeal, or to otherwise challenge in court, a court decision in connection with the </w:t>
      </w:r>
      <w:r>
        <w:rPr>
          <w:rFonts w:ascii="Calibri" w:hAnsi="Calibri"/>
        </w:rPr>
        <w:t>lease</w:t>
      </w:r>
    </w:p>
    <w:p w14:paraId="5CDDCEFB" w14:textId="77777777" w:rsidR="009E3DDE" w:rsidRPr="002755E9" w:rsidRDefault="009E3DDE" w:rsidP="009E3DDE">
      <w:pPr>
        <w:pStyle w:val="NoSpacing"/>
        <w:numPr>
          <w:ilvl w:val="0"/>
          <w:numId w:val="90"/>
        </w:numPr>
        <w:rPr>
          <w:rFonts w:ascii="Calibri" w:hAnsi="Calibri"/>
        </w:rPr>
      </w:pPr>
      <w:r w:rsidRPr="002755E9">
        <w:rPr>
          <w:rFonts w:ascii="Calibri" w:hAnsi="Calibri"/>
          <w:i/>
        </w:rPr>
        <w:t>Tenant chargeable with cost of legal actions regardless of outcome.</w:t>
      </w:r>
      <w:r w:rsidRPr="002755E9">
        <w:rPr>
          <w:rFonts w:ascii="Calibri" w:hAnsi="Calibri"/>
        </w:rPr>
        <w:t xml:space="preserve"> Agreement by the tenant to pay attorney’s fees or other legal costs even if the tenant wins in a court proceeding by the owner against the tenant (Note: The tenant may be obligated to pay costs if the tenant loses.</w:t>
      </w:r>
      <w:r>
        <w:rPr>
          <w:rFonts w:ascii="Calibri" w:hAnsi="Calibri"/>
        </w:rPr>
        <w:t>)</w:t>
      </w:r>
    </w:p>
    <w:p w14:paraId="445A65C0" w14:textId="37BF0C08" w:rsidR="009E3DDE" w:rsidRPr="00DC35A7" w:rsidRDefault="009E3DDE" w:rsidP="009E3DDE">
      <w:pPr>
        <w:pStyle w:val="NoSpacing"/>
        <w:numPr>
          <w:ilvl w:val="0"/>
          <w:numId w:val="90"/>
        </w:numPr>
        <w:rPr>
          <w:rFonts w:ascii="Calibri" w:hAnsi="Calibri"/>
        </w:rPr>
      </w:pPr>
      <w:r w:rsidRPr="002755E9">
        <w:rPr>
          <w:rFonts w:ascii="Calibri" w:hAnsi="Calibri"/>
          <w:i/>
        </w:rPr>
        <w:t xml:space="preserve">Payment of additional rent or fees to </w:t>
      </w:r>
      <w:r w:rsidR="00793E07">
        <w:rPr>
          <w:rFonts w:ascii="Calibri" w:hAnsi="Calibri"/>
          <w:i/>
        </w:rPr>
        <w:t>owner</w:t>
      </w:r>
      <w:r w:rsidRPr="002755E9">
        <w:rPr>
          <w:rFonts w:ascii="Calibri" w:hAnsi="Calibri"/>
          <w:i/>
        </w:rPr>
        <w:t>.</w:t>
      </w:r>
      <w:r w:rsidRPr="00DC35A7">
        <w:rPr>
          <w:rFonts w:ascii="Calibri" w:hAnsi="Calibri"/>
        </w:rPr>
        <w:t xml:space="preserve"> Agreement by the tenant to pay additional</w:t>
      </w:r>
      <w:r>
        <w:rPr>
          <w:rFonts w:ascii="Calibri" w:hAnsi="Calibri"/>
        </w:rPr>
        <w:t xml:space="preserve"> </w:t>
      </w:r>
      <w:r w:rsidRPr="00DC35A7">
        <w:rPr>
          <w:rFonts w:ascii="Calibri" w:hAnsi="Calibri"/>
        </w:rPr>
        <w:t xml:space="preserve">rent or fees to the </w:t>
      </w:r>
      <w:r w:rsidR="00BE6355">
        <w:rPr>
          <w:rFonts w:ascii="Calibri" w:hAnsi="Calibri"/>
        </w:rPr>
        <w:t>owner</w:t>
      </w:r>
      <w:r w:rsidRPr="00DC35A7">
        <w:rPr>
          <w:rFonts w:ascii="Calibri" w:hAnsi="Calibri"/>
        </w:rPr>
        <w:t xml:space="preserve"> out of pocket once occupancy takes place</w:t>
      </w:r>
    </w:p>
    <w:p w14:paraId="5AFE462C" w14:textId="77777777" w:rsidR="009E3DDE" w:rsidRDefault="009E3DDE" w:rsidP="009E3DDE">
      <w:pPr>
        <w:pStyle w:val="NoSpacing"/>
        <w:rPr>
          <w:rFonts w:ascii="Calibri" w:hAnsi="Calibri"/>
        </w:rPr>
      </w:pPr>
    </w:p>
    <w:p w14:paraId="67D6F480" w14:textId="17E29985" w:rsidR="009E3DDE" w:rsidRPr="00ED208F" w:rsidRDefault="00BE6355" w:rsidP="009E3DDE">
      <w:pPr>
        <w:pStyle w:val="NoSpacing"/>
        <w:rPr>
          <w:rFonts w:ascii="Calibri" w:hAnsi="Calibri"/>
          <w:b/>
          <w:u w:val="single"/>
        </w:rPr>
      </w:pPr>
      <w:r>
        <w:rPr>
          <w:rFonts w:ascii="Calibri" w:hAnsi="Calibri"/>
          <w:b/>
          <w:u w:val="single"/>
        </w:rPr>
        <w:t>The terms s</w:t>
      </w:r>
      <w:r w:rsidR="009E3DDE" w:rsidRPr="00ED208F">
        <w:rPr>
          <w:rFonts w:ascii="Calibri" w:hAnsi="Calibri"/>
          <w:b/>
          <w:u w:val="single"/>
        </w:rPr>
        <w:t xml:space="preserve">hould allow the </w:t>
      </w:r>
      <w:r>
        <w:rPr>
          <w:rFonts w:ascii="Calibri" w:hAnsi="Calibri"/>
          <w:b/>
          <w:u w:val="single"/>
        </w:rPr>
        <w:t>owner t</w:t>
      </w:r>
      <w:r w:rsidR="009E3DDE" w:rsidRPr="00ED208F">
        <w:rPr>
          <w:rFonts w:ascii="Calibri" w:hAnsi="Calibri"/>
          <w:b/>
          <w:u w:val="single"/>
        </w:rPr>
        <w:t xml:space="preserve">o terminate or </w:t>
      </w:r>
      <w:r>
        <w:rPr>
          <w:rFonts w:ascii="Calibri" w:hAnsi="Calibri"/>
          <w:b/>
          <w:u w:val="single"/>
        </w:rPr>
        <w:t>not</w:t>
      </w:r>
      <w:r w:rsidR="009E3DDE" w:rsidRPr="00ED208F">
        <w:rPr>
          <w:rFonts w:ascii="Calibri" w:hAnsi="Calibri"/>
          <w:b/>
          <w:u w:val="single"/>
        </w:rPr>
        <w:t xml:space="preserve"> renew the lease only for the following reasons:</w:t>
      </w:r>
    </w:p>
    <w:p w14:paraId="3C6ECFA1" w14:textId="77777777" w:rsidR="009E3DDE" w:rsidRPr="00DC35A7" w:rsidRDefault="009E3DDE" w:rsidP="009E3DDE">
      <w:pPr>
        <w:pStyle w:val="NoSpacing"/>
        <w:numPr>
          <w:ilvl w:val="0"/>
          <w:numId w:val="90"/>
        </w:numPr>
        <w:rPr>
          <w:rFonts w:ascii="Calibri" w:hAnsi="Calibri"/>
        </w:rPr>
      </w:pPr>
      <w:r w:rsidRPr="00DC35A7">
        <w:rPr>
          <w:rFonts w:ascii="Calibri" w:hAnsi="Calibri"/>
        </w:rPr>
        <w:t>Serious or repeated violation of the terms and conditions of the lease</w:t>
      </w:r>
    </w:p>
    <w:p w14:paraId="02203A5E" w14:textId="77777777" w:rsidR="009E3DDE" w:rsidRPr="00DC35A7" w:rsidRDefault="009E3DDE" w:rsidP="009E3DDE">
      <w:pPr>
        <w:pStyle w:val="NoSpacing"/>
        <w:numPr>
          <w:ilvl w:val="0"/>
          <w:numId w:val="90"/>
        </w:numPr>
        <w:rPr>
          <w:rFonts w:ascii="Calibri" w:hAnsi="Calibri"/>
        </w:rPr>
      </w:pPr>
      <w:r w:rsidRPr="00DC35A7">
        <w:rPr>
          <w:rFonts w:ascii="Calibri" w:hAnsi="Calibri"/>
        </w:rPr>
        <w:t>Violations of applicable Federal, state, or local law</w:t>
      </w:r>
    </w:p>
    <w:p w14:paraId="296BEAB0" w14:textId="77777777" w:rsidR="009E3DDE" w:rsidRPr="00DC35A7" w:rsidRDefault="009E3DDE" w:rsidP="009E3DDE">
      <w:pPr>
        <w:pStyle w:val="NoSpacing"/>
        <w:numPr>
          <w:ilvl w:val="0"/>
          <w:numId w:val="90"/>
        </w:numPr>
        <w:rPr>
          <w:rFonts w:ascii="Calibri" w:hAnsi="Calibri"/>
        </w:rPr>
      </w:pPr>
      <w:r w:rsidRPr="00DC35A7">
        <w:rPr>
          <w:rFonts w:ascii="Calibri" w:hAnsi="Calibri"/>
        </w:rPr>
        <w:t>For other good cause</w:t>
      </w:r>
    </w:p>
    <w:p w14:paraId="0F70C4BE" w14:textId="14B93DEA" w:rsidR="009E3DDE" w:rsidRDefault="009E3DDE" w:rsidP="00ED208F">
      <w:pPr>
        <w:pStyle w:val="NoSpacing"/>
      </w:pPr>
      <w:r>
        <w:br w:type="page"/>
      </w:r>
    </w:p>
    <w:p w14:paraId="789E26A3" w14:textId="77777777" w:rsidR="00997D5C" w:rsidRPr="00DA098E" w:rsidRDefault="00997D5C" w:rsidP="00DA098E">
      <w:pPr>
        <w:pStyle w:val="Heading2"/>
        <w:jc w:val="center"/>
        <w:rPr>
          <w:b/>
        </w:rPr>
      </w:pPr>
      <w:bookmarkStart w:id="72" w:name="_Toc140755495"/>
      <w:r w:rsidRPr="00DA098E">
        <w:rPr>
          <w:rFonts w:asciiTheme="minorHAnsi" w:hAnsiTheme="minorHAnsi"/>
          <w:b/>
          <w:color w:val="auto"/>
          <w:sz w:val="22"/>
          <w:szCs w:val="22"/>
        </w:rPr>
        <w:lastRenderedPageBreak/>
        <w:t>Appendix J: “Can I Pay this Owner?”</w:t>
      </w:r>
      <w:bookmarkEnd w:id="72"/>
    </w:p>
    <w:p w14:paraId="0DC3EEB0" w14:textId="555E2F47" w:rsidR="00997D5C" w:rsidRDefault="00997D5C" w:rsidP="00DA098E">
      <w:pPr>
        <w:pStyle w:val="NoSpacing"/>
        <w:jc w:val="center"/>
        <w:rPr>
          <w:i/>
          <w:sz w:val="16"/>
        </w:rPr>
      </w:pPr>
      <w:r w:rsidRPr="00DA098E">
        <w:rPr>
          <w:i/>
          <w:sz w:val="16"/>
        </w:rPr>
        <w:t>(Source: 24 CFR §982.306(d)</w:t>
      </w:r>
      <w:r w:rsidR="00224050">
        <w:rPr>
          <w:i/>
          <w:sz w:val="16"/>
        </w:rPr>
        <w:t>,</w:t>
      </w:r>
      <w:r w:rsidR="00224050" w:rsidRPr="00224050">
        <w:rPr>
          <w:i/>
          <w:sz w:val="16"/>
        </w:rPr>
        <w:t xml:space="preserve"> </w:t>
      </w:r>
      <w:r w:rsidR="00224050" w:rsidRPr="004B2616">
        <w:rPr>
          <w:i/>
          <w:sz w:val="16"/>
        </w:rPr>
        <w:t>§982.615(b)(3)</w:t>
      </w:r>
      <w:r w:rsidRPr="00DA098E">
        <w:rPr>
          <w:i/>
          <w:sz w:val="16"/>
        </w:rPr>
        <w:t>)</w:t>
      </w:r>
    </w:p>
    <w:p w14:paraId="5E508AF3" w14:textId="77777777" w:rsidR="00997D5C" w:rsidRPr="00DA098E" w:rsidRDefault="00997D5C" w:rsidP="00DA098E">
      <w:pPr>
        <w:pStyle w:val="NoSpacing"/>
        <w:jc w:val="center"/>
        <w:rPr>
          <w:i/>
          <w:sz w:val="16"/>
        </w:rPr>
      </w:pPr>
    </w:p>
    <w:p w14:paraId="5F6D4D22" w14:textId="77777777" w:rsidR="00A338C0" w:rsidRDefault="00A340E8" w:rsidP="00F5154B">
      <w:pPr>
        <w:pStyle w:val="NoSpacing"/>
        <w:sectPr w:rsidR="00A338C0" w:rsidSect="00ED208F">
          <w:pgSz w:w="12240" w:h="15840"/>
          <w:pgMar w:top="720" w:right="720" w:bottom="720" w:left="720" w:header="504" w:footer="504" w:gutter="0"/>
          <w:pgBorders w:offsetFrom="page">
            <w:top w:val="single" w:sz="4" w:space="24" w:color="BFBFBF" w:themeColor="background1" w:themeShade="BF"/>
            <w:left w:val="single" w:sz="4" w:space="24" w:color="BFBFBF" w:themeColor="background1" w:themeShade="BF"/>
            <w:bottom w:val="single" w:sz="4" w:space="24" w:color="BFBFBF" w:themeColor="background1" w:themeShade="BF"/>
            <w:right w:val="single" w:sz="4" w:space="24" w:color="BFBFBF" w:themeColor="background1" w:themeShade="BF"/>
          </w:pgBorders>
          <w:cols w:space="720"/>
          <w:docGrid w:linePitch="360"/>
        </w:sectPr>
      </w:pPr>
      <w:r>
        <w:rPr>
          <w:noProof/>
        </w:rPr>
        <w:drawing>
          <wp:inline distT="0" distB="0" distL="0" distR="0" wp14:anchorId="778AEC22" wp14:editId="685FCD66">
            <wp:extent cx="6858000" cy="8468995"/>
            <wp:effectExtent l="57150" t="0" r="1905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4" r:lo="rId245" r:qs="rId246" r:cs="rId247"/>
              </a:graphicData>
            </a:graphic>
          </wp:inline>
        </w:drawing>
      </w:r>
    </w:p>
    <w:p w14:paraId="1F0B12CB" w14:textId="77777777" w:rsidR="00997D5C" w:rsidRPr="00DA098E" w:rsidRDefault="00997D5C" w:rsidP="00DA098E">
      <w:pPr>
        <w:pStyle w:val="Heading2"/>
        <w:jc w:val="center"/>
        <w:rPr>
          <w:b/>
        </w:rPr>
      </w:pPr>
      <w:bookmarkStart w:id="73" w:name="_Toc140755496"/>
      <w:r w:rsidRPr="00DA098E">
        <w:rPr>
          <w:rFonts w:asciiTheme="minorHAnsi" w:hAnsiTheme="minorHAnsi"/>
          <w:b/>
          <w:color w:val="auto"/>
          <w:sz w:val="22"/>
          <w:szCs w:val="22"/>
        </w:rPr>
        <w:lastRenderedPageBreak/>
        <w:t>Appendix K: VAWA Requirements for Rental Assistance Services</w:t>
      </w:r>
      <w:bookmarkEnd w:id="73"/>
    </w:p>
    <w:p w14:paraId="6E4D98D0" w14:textId="21743CAF" w:rsidR="00997D5C" w:rsidRPr="00DA098E" w:rsidRDefault="00997D5C" w:rsidP="00DA098E">
      <w:pPr>
        <w:pStyle w:val="NoSpacing"/>
        <w:jc w:val="center"/>
        <w:rPr>
          <w:i/>
          <w:sz w:val="16"/>
        </w:rPr>
      </w:pPr>
      <w:r w:rsidRPr="00DA098E">
        <w:rPr>
          <w:i/>
          <w:sz w:val="16"/>
        </w:rPr>
        <w:t>(Source: 24 CFR §5, Subpart L; §574.310; §574.460; §574.530, §574.604)</w:t>
      </w:r>
    </w:p>
    <w:p w14:paraId="0348C066" w14:textId="77777777" w:rsidR="00997D5C" w:rsidRPr="00DA098E" w:rsidRDefault="00997D5C" w:rsidP="00DA098E">
      <w:pPr>
        <w:pStyle w:val="NoSpacing"/>
        <w:rPr>
          <w:sz w:val="16"/>
        </w:rPr>
      </w:pPr>
    </w:p>
    <w:p w14:paraId="77129EE0" w14:textId="61D31317" w:rsidR="00A338C0" w:rsidRDefault="00BB4B0D" w:rsidP="00F5154B">
      <w:pPr>
        <w:pStyle w:val="NoSpacing"/>
      </w:pPr>
      <w:r w:rsidRPr="00ED208F">
        <w:rPr>
          <w:noProof/>
          <w:color w:val="8162AE"/>
        </w:rPr>
        <w:drawing>
          <wp:inline distT="0" distB="0" distL="0" distR="0" wp14:anchorId="799043AD" wp14:editId="423FA3A7">
            <wp:extent cx="9144000" cy="6309360"/>
            <wp:effectExtent l="38100" t="0" r="19050" b="1524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9" r:lo="rId250" r:qs="rId251" r:cs="rId252"/>
              </a:graphicData>
            </a:graphic>
          </wp:inline>
        </w:drawing>
      </w:r>
    </w:p>
    <w:p w14:paraId="54AB38D7" w14:textId="6BE2DDF4" w:rsidR="00A338C0" w:rsidRDefault="00BB4B0D" w:rsidP="00F5154B">
      <w:pPr>
        <w:pStyle w:val="NoSpacing"/>
      </w:pPr>
      <w:r>
        <w:rPr>
          <w:noProof/>
        </w:rPr>
        <w:lastRenderedPageBreak/>
        <w:drawing>
          <wp:inline distT="0" distB="0" distL="0" distR="0" wp14:anchorId="7969BF2A" wp14:editId="452B1D9A">
            <wp:extent cx="9144000" cy="6675120"/>
            <wp:effectExtent l="0" t="38100" r="57150" b="4953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4" r:lo="rId255" r:qs="rId256" r:cs="rId257"/>
              </a:graphicData>
            </a:graphic>
          </wp:inline>
        </w:drawing>
      </w:r>
    </w:p>
    <w:p w14:paraId="07547517" w14:textId="77777777" w:rsidR="009D647D" w:rsidRDefault="00BB4B0D" w:rsidP="00F5154B">
      <w:pPr>
        <w:pStyle w:val="NoSpacing"/>
        <w:sectPr w:rsidR="009D647D" w:rsidSect="00ED208F">
          <w:pgSz w:w="15840" w:h="12240" w:orient="landscape"/>
          <w:pgMar w:top="720" w:right="720" w:bottom="720" w:left="720" w:header="720" w:footer="576" w:gutter="0"/>
          <w:pgBorders w:offsetFrom="page">
            <w:top w:val="single" w:sz="4" w:space="24" w:color="BFBFBF" w:themeColor="background1" w:themeShade="BF"/>
            <w:left w:val="single" w:sz="4" w:space="24" w:color="BFBFBF" w:themeColor="background1" w:themeShade="BF"/>
            <w:bottom w:val="single" w:sz="4" w:space="24" w:color="BFBFBF" w:themeColor="background1" w:themeShade="BF"/>
            <w:right w:val="single" w:sz="4" w:space="24" w:color="BFBFBF" w:themeColor="background1" w:themeShade="BF"/>
          </w:pgBorders>
          <w:cols w:space="720"/>
          <w:docGrid w:linePitch="360"/>
        </w:sectPr>
      </w:pPr>
      <w:r>
        <w:rPr>
          <w:noProof/>
        </w:rPr>
        <w:lastRenderedPageBreak/>
        <w:drawing>
          <wp:inline distT="0" distB="0" distL="0" distR="0" wp14:anchorId="52AA404B" wp14:editId="6E170270">
            <wp:extent cx="9144000" cy="6675120"/>
            <wp:effectExtent l="38100" t="0" r="3810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9" r:lo="rId260" r:qs="rId261" r:cs="rId262"/>
              </a:graphicData>
            </a:graphic>
          </wp:inline>
        </w:drawing>
      </w:r>
    </w:p>
    <w:p w14:paraId="7A11027C" w14:textId="54EC3E31" w:rsidR="009D647D" w:rsidRPr="000B43DF" w:rsidRDefault="00DD47D1" w:rsidP="00F5154B">
      <w:pPr>
        <w:pStyle w:val="NoSpacing"/>
      </w:pPr>
      <w:r w:rsidRPr="00277C23">
        <w:rPr>
          <w:noProof/>
          <w:color w:val="8162AE"/>
          <w:sz w:val="16"/>
          <w:szCs w:val="16"/>
        </w:rPr>
        <w:lastRenderedPageBreak/>
        <w:drawing>
          <wp:inline distT="0" distB="0" distL="0" distR="0" wp14:anchorId="061AB76B" wp14:editId="7FE43332">
            <wp:extent cx="14249400" cy="9580245"/>
            <wp:effectExtent l="0" t="0" r="7620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4" r:lo="rId265" r:qs="rId266" r:cs="rId267"/>
              </a:graphicData>
            </a:graphic>
          </wp:inline>
        </w:drawing>
      </w:r>
    </w:p>
    <w:sectPr w:rsidR="009D647D" w:rsidRPr="000B43DF" w:rsidSect="001750FB">
      <w:pgSz w:w="23814" w:h="16839" w:orient="landscape" w:code="8"/>
      <w:pgMar w:top="720" w:right="720" w:bottom="720" w:left="720" w:header="720" w:footer="576" w:gutter="0"/>
      <w:pgBorders w:offsetFrom="page">
        <w:top w:val="single" w:sz="4" w:space="24" w:color="BFBFBF" w:themeColor="background1" w:themeShade="BF"/>
        <w:left w:val="single" w:sz="4" w:space="24" w:color="BFBFBF" w:themeColor="background1" w:themeShade="BF"/>
        <w:bottom w:val="single" w:sz="4" w:space="24" w:color="BFBFBF" w:themeColor="background1" w:themeShade="BF"/>
        <w:right w:val="single" w:sz="4" w:space="24" w:color="BFBFBF" w:themeColor="background1" w:themeShade="B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50DD5" w14:textId="77777777" w:rsidR="00824A49" w:rsidRDefault="00824A49" w:rsidP="00214D0E">
      <w:pPr>
        <w:spacing w:after="0" w:line="240" w:lineRule="auto"/>
      </w:pPr>
      <w:r>
        <w:separator/>
      </w:r>
    </w:p>
  </w:endnote>
  <w:endnote w:type="continuationSeparator" w:id="0">
    <w:p w14:paraId="4FA8A724" w14:textId="77777777" w:rsidR="00824A49" w:rsidRDefault="00824A49" w:rsidP="00214D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7" w:usb1="00000000" w:usb2="00000000" w:usb3="00000000" w:csb0="00000003" w:csb1="00000000"/>
  </w:font>
  <w:font w:name="TimesNewRomanPSMT">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842C0" w14:textId="44FE688F" w:rsidR="00774789" w:rsidRPr="00066B7E" w:rsidRDefault="00774789" w:rsidP="00426DD2">
    <w:pPr>
      <w:pStyle w:val="Footer"/>
      <w:tabs>
        <w:tab w:val="clear" w:pos="4680"/>
        <w:tab w:val="clear" w:pos="9360"/>
        <w:tab w:val="center" w:pos="5400"/>
        <w:tab w:val="right" w:pos="10800"/>
      </w:tabs>
      <w:rPr>
        <w:color w:val="808080" w:themeColor="background1" w:themeShade="80"/>
        <w:sz w:val="16"/>
      </w:rPr>
    </w:pPr>
    <w:r w:rsidRPr="00066B7E">
      <w:rPr>
        <w:color w:val="808080" w:themeColor="background1" w:themeShade="80"/>
        <w:sz w:val="16"/>
      </w:rPr>
      <w:ptab w:relativeTo="margin" w:alignment="left" w:leader="none"/>
    </w:r>
    <w:r w:rsidRPr="00066B7E">
      <w:rPr>
        <w:color w:val="808080" w:themeColor="background1" w:themeShade="80"/>
        <w:sz w:val="16"/>
      </w:rPr>
      <w:ptab w:relativeTo="margin" w:alignment="left" w:leader="none"/>
    </w:r>
    <w:r w:rsidRPr="00066B7E">
      <w:rPr>
        <w:color w:val="808080" w:themeColor="background1" w:themeShade="80"/>
        <w:sz w:val="16"/>
      </w:rPr>
      <w:t>DSHS HOPWA Program</w:t>
    </w:r>
    <w:r w:rsidRPr="00066B7E">
      <w:rPr>
        <w:color w:val="808080" w:themeColor="background1" w:themeShade="80"/>
        <w:sz w:val="16"/>
      </w:rPr>
      <w:ptab w:relativeTo="margin" w:alignment="center" w:leader="none"/>
    </w:r>
    <w:r w:rsidRPr="00066B7E">
      <w:rPr>
        <w:color w:val="808080" w:themeColor="background1" w:themeShade="80"/>
        <w:sz w:val="16"/>
      </w:rPr>
      <w:fldChar w:fldCharType="begin"/>
    </w:r>
    <w:r w:rsidRPr="00066B7E">
      <w:rPr>
        <w:color w:val="808080" w:themeColor="background1" w:themeShade="80"/>
        <w:sz w:val="16"/>
      </w:rPr>
      <w:instrText xml:space="preserve"> PAGE   \* MERGEFORMAT </w:instrText>
    </w:r>
    <w:r w:rsidRPr="00066B7E">
      <w:rPr>
        <w:color w:val="808080" w:themeColor="background1" w:themeShade="80"/>
        <w:sz w:val="16"/>
      </w:rPr>
      <w:fldChar w:fldCharType="separate"/>
    </w:r>
    <w:r>
      <w:rPr>
        <w:noProof/>
        <w:color w:val="808080" w:themeColor="background1" w:themeShade="80"/>
        <w:sz w:val="16"/>
      </w:rPr>
      <w:t>51</w:t>
    </w:r>
    <w:r w:rsidRPr="00066B7E">
      <w:rPr>
        <w:noProof/>
        <w:color w:val="808080" w:themeColor="background1" w:themeShade="80"/>
        <w:sz w:val="16"/>
      </w:rPr>
      <w:fldChar w:fldCharType="end"/>
    </w:r>
    <w:r w:rsidRPr="00066B7E">
      <w:rPr>
        <w:noProof/>
        <w:color w:val="808080" w:themeColor="background1" w:themeShade="80"/>
        <w:sz w:val="16"/>
      </w:rPr>
      <w:ptab w:relativeTo="margin" w:alignment="right" w:leader="none"/>
    </w:r>
    <w:r w:rsidRPr="00066B7E">
      <w:rPr>
        <w:noProof/>
        <w:color w:val="808080" w:themeColor="background1" w:themeShade="80"/>
        <w:sz w:val="16"/>
      </w:rPr>
      <w:t>Program Manual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15932" w14:textId="1AF1AC6F" w:rsidR="00774789" w:rsidRDefault="00774789" w:rsidP="00426DD2">
    <w:pPr>
      <w:pStyle w:val="Footer"/>
      <w:tabs>
        <w:tab w:val="clear" w:pos="4680"/>
        <w:tab w:val="clear" w:pos="9360"/>
        <w:tab w:val="center" w:pos="5400"/>
        <w:tab w:val="right" w:pos="1080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41709" w14:textId="77777777" w:rsidR="00824A49" w:rsidRDefault="00824A49" w:rsidP="00214D0E">
      <w:pPr>
        <w:spacing w:after="0" w:line="240" w:lineRule="auto"/>
      </w:pPr>
      <w:r>
        <w:separator/>
      </w:r>
    </w:p>
  </w:footnote>
  <w:footnote w:type="continuationSeparator" w:id="0">
    <w:p w14:paraId="34A6FB36" w14:textId="77777777" w:rsidR="00824A49" w:rsidRDefault="00824A49" w:rsidP="00214D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38DA"/>
    <w:multiLevelType w:val="hybridMultilevel"/>
    <w:tmpl w:val="470600BC"/>
    <w:lvl w:ilvl="0" w:tplc="4978FFB8">
      <w:start w:val="1"/>
      <w:numFmt w:val="decimal"/>
      <w:lvlText w:val="%1."/>
      <w:lvlJc w:val="left"/>
      <w:pPr>
        <w:ind w:left="720" w:hanging="360"/>
      </w:pPr>
      <w:rPr>
        <w:b/>
        <w:u w:val="none"/>
      </w:rPr>
    </w:lvl>
    <w:lvl w:ilvl="1" w:tplc="04090015">
      <w:start w:val="1"/>
      <w:numFmt w:val="upperLetter"/>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36A3B"/>
    <w:multiLevelType w:val="hybridMultilevel"/>
    <w:tmpl w:val="2E8AB7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255B8A"/>
    <w:multiLevelType w:val="hybridMultilevel"/>
    <w:tmpl w:val="050CDB4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44D1FF5"/>
    <w:multiLevelType w:val="hybridMultilevel"/>
    <w:tmpl w:val="636470F8"/>
    <w:lvl w:ilvl="0" w:tplc="93440B9E">
      <w:start w:val="7"/>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5946EA"/>
    <w:multiLevelType w:val="multilevel"/>
    <w:tmpl w:val="8CA290E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righ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56D5071"/>
    <w:multiLevelType w:val="hybridMultilevel"/>
    <w:tmpl w:val="918E5D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5EF475A"/>
    <w:multiLevelType w:val="hybridMultilevel"/>
    <w:tmpl w:val="1C80A6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7F746D8"/>
    <w:multiLevelType w:val="hybridMultilevel"/>
    <w:tmpl w:val="229E9028"/>
    <w:lvl w:ilvl="0" w:tplc="0409000F">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180"/>
      </w:pPr>
      <w:rPr>
        <w:rFonts w:ascii="Wingdings" w:hAnsi="Wingding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7F875BA"/>
    <w:multiLevelType w:val="hybridMultilevel"/>
    <w:tmpl w:val="5874CA58"/>
    <w:lvl w:ilvl="0" w:tplc="1DEAE0E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FB55DD"/>
    <w:multiLevelType w:val="hybridMultilevel"/>
    <w:tmpl w:val="9DA42770"/>
    <w:lvl w:ilvl="0" w:tplc="8A72CE38">
      <w:start w:val="1"/>
      <w:numFmt w:val="decimal"/>
      <w:lvlText w:val="%1."/>
      <w:lvlJc w:val="left"/>
      <w:pPr>
        <w:ind w:left="1080" w:hanging="360"/>
      </w:pPr>
      <w:rPr>
        <w:rFonts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86374BB"/>
    <w:multiLevelType w:val="hybridMultilevel"/>
    <w:tmpl w:val="0DF85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8D06A9"/>
    <w:multiLevelType w:val="hybridMultilevel"/>
    <w:tmpl w:val="C854F066"/>
    <w:lvl w:ilvl="0" w:tplc="04090001">
      <w:start w:val="1"/>
      <w:numFmt w:val="bullet"/>
      <w:lvlText w:val=""/>
      <w:lvlJc w:val="left"/>
      <w:pPr>
        <w:ind w:left="720" w:hanging="360"/>
      </w:pPr>
      <w:rPr>
        <w:rFonts w:ascii="Symbol" w:hAnsi="Symbol" w:hint="default"/>
      </w:rPr>
    </w:lvl>
    <w:lvl w:ilvl="1" w:tplc="20F0EAB4">
      <w:numFmt w:val="bullet"/>
      <w:lvlText w:val="•"/>
      <w:lvlJc w:val="left"/>
      <w:pPr>
        <w:ind w:left="1440" w:hanging="360"/>
      </w:pPr>
      <w:rPr>
        <w:rFonts w:ascii="Calibri" w:eastAsiaTheme="minorHAnsi" w:hAnsi="Calibri" w:cs="Times New Roman"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505753"/>
    <w:multiLevelType w:val="hybridMultilevel"/>
    <w:tmpl w:val="60DC5C82"/>
    <w:lvl w:ilvl="0" w:tplc="04090015">
      <w:start w:val="1"/>
      <w:numFmt w:val="upp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A8541D9"/>
    <w:multiLevelType w:val="multilevel"/>
    <w:tmpl w:val="E404F97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bullet"/>
      <w:lvlText w:val=""/>
      <w:lvlJc w:val="left"/>
      <w:pPr>
        <w:ind w:left="1440" w:hanging="360"/>
      </w:pPr>
      <w:rPr>
        <w:rFonts w:ascii="Symbol" w:hAnsi="Symbol" w:hint="default"/>
        <w:b/>
        <w:i w:val="0"/>
      </w:rPr>
    </w:lvl>
    <w:lvl w:ilvl="3">
      <w:start w:val="1"/>
      <w:numFmt w:val="bullet"/>
      <w:lvlText w:val=""/>
      <w:lvlJc w:val="left"/>
      <w:pPr>
        <w:ind w:left="1800" w:hanging="360"/>
      </w:pPr>
      <w:rPr>
        <w:rFonts w:ascii="Symbol" w:hAnsi="Symbol"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0CD4418F"/>
    <w:multiLevelType w:val="multilevel"/>
    <w:tmpl w:val="AFB6785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bullet"/>
      <w:lvlText w:val=""/>
      <w:lvlJc w:val="left"/>
      <w:pPr>
        <w:ind w:left="1440" w:hanging="360"/>
      </w:pPr>
      <w:rPr>
        <w:rFonts w:ascii="Symbol" w:hAnsi="Symbol" w:hint="default"/>
        <w:b/>
        <w:i w:val="0"/>
      </w:rPr>
    </w:lvl>
    <w:lvl w:ilvl="3">
      <w:start w:val="1"/>
      <w:numFmt w:val="bullet"/>
      <w:lvlText w:val=""/>
      <w:lvlJc w:val="left"/>
      <w:pPr>
        <w:ind w:left="1800" w:hanging="360"/>
      </w:pPr>
      <w:rPr>
        <w:rFonts w:ascii="Symbol" w:hAnsi="Symbol"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0DA47367"/>
    <w:multiLevelType w:val="multilevel"/>
    <w:tmpl w:val="0E7E3412"/>
    <w:lvl w:ilvl="0">
      <w:start w:val="1"/>
      <w:numFmt w:val="decimal"/>
      <w:lvlText w:val="%1."/>
      <w:lvlJc w:val="left"/>
      <w:pPr>
        <w:ind w:left="360" w:hanging="360"/>
      </w:pPr>
      <w:rPr>
        <w:rFonts w:hint="default"/>
      </w:rPr>
    </w:lvl>
    <w:lvl w:ilvl="1">
      <w:start w:val="10"/>
      <w:numFmt w:val="decimal"/>
      <w:lvlText w:val="%2."/>
      <w:lvlJc w:val="left"/>
      <w:pPr>
        <w:ind w:left="720" w:hanging="360"/>
      </w:pPr>
      <w:rPr>
        <w:rFonts w:hint="default"/>
      </w:rPr>
    </w:lvl>
    <w:lvl w:ilvl="2">
      <w:start w:val="12"/>
      <w:numFmt w:val="upperLetter"/>
      <w:lvlText w:val="%3."/>
      <w:lvlJc w:val="right"/>
      <w:pPr>
        <w:ind w:left="1440" w:hanging="360"/>
      </w:pPr>
      <w:rPr>
        <w:rFonts w:hint="default"/>
        <w:b/>
      </w:rPr>
    </w:lvl>
    <w:lvl w:ilvl="3">
      <w:start w:val="1"/>
      <w:numFmt w:val="lowerRoman"/>
      <w:lvlText w:val="%4."/>
      <w:lvlJc w:val="left"/>
      <w:pPr>
        <w:ind w:left="1800" w:hanging="360"/>
      </w:pPr>
      <w:rPr>
        <w:rFonts w:hint="default"/>
        <w:b/>
        <w:i w:val="0"/>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0DC4551E"/>
    <w:multiLevelType w:val="multilevel"/>
    <w:tmpl w:val="8CA290E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righ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0E5C1B42"/>
    <w:multiLevelType w:val="hybridMultilevel"/>
    <w:tmpl w:val="8B56F4C4"/>
    <w:lvl w:ilvl="0" w:tplc="04090015">
      <w:start w:val="1"/>
      <w:numFmt w:val="upperLetter"/>
      <w:lvlText w:val="%1."/>
      <w:lvlJc w:val="left"/>
      <w:pPr>
        <w:ind w:left="720" w:hanging="360"/>
      </w:pPr>
    </w:lvl>
    <w:lvl w:ilvl="1" w:tplc="163E94F2">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E9477D7"/>
    <w:multiLevelType w:val="hybridMultilevel"/>
    <w:tmpl w:val="94D4062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0BD67B8"/>
    <w:multiLevelType w:val="hybridMultilevel"/>
    <w:tmpl w:val="7B2E3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16289D"/>
    <w:multiLevelType w:val="hybridMultilevel"/>
    <w:tmpl w:val="A7B662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119109E3"/>
    <w:multiLevelType w:val="hybridMultilevel"/>
    <w:tmpl w:val="F2A2E288"/>
    <w:lvl w:ilvl="0" w:tplc="29E214EC">
      <w:start w:val="4"/>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19C3B3C"/>
    <w:multiLevelType w:val="hybridMultilevel"/>
    <w:tmpl w:val="34BEECA0"/>
    <w:lvl w:ilvl="0" w:tplc="79D69642">
      <w:start w:val="1"/>
      <w:numFmt w:val="upperLetter"/>
      <w:lvlText w:val="%1."/>
      <w:lvlJc w:val="left"/>
      <w:pPr>
        <w:ind w:left="720" w:hanging="360"/>
      </w:pPr>
      <w:rPr>
        <w:b/>
        <w:bCs/>
      </w:rPr>
    </w:lvl>
    <w:lvl w:ilvl="1" w:tplc="615C6A98">
      <w:start w:val="1"/>
      <w:numFmt w:val="decimal"/>
      <w:lvlText w:val="%2."/>
      <w:lvlJc w:val="left"/>
      <w:pPr>
        <w:ind w:left="1440" w:hanging="360"/>
      </w:pPr>
      <w:rPr>
        <w:rFonts w:hint="default"/>
        <w:b/>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1A93AFF"/>
    <w:multiLevelType w:val="multilevel"/>
    <w:tmpl w:val="A074173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lef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125867C1"/>
    <w:multiLevelType w:val="hybridMultilevel"/>
    <w:tmpl w:val="64F6C51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12F750FB"/>
    <w:multiLevelType w:val="multilevel"/>
    <w:tmpl w:val="68CE3C9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rPr>
    </w:lvl>
    <w:lvl w:ilvl="2">
      <w:start w:val="1"/>
      <w:numFmt w:val="upperLetter"/>
      <w:lvlText w:val="%3."/>
      <w:lvlJc w:val="left"/>
      <w:pPr>
        <w:ind w:left="1440" w:hanging="360"/>
      </w:pPr>
      <w:rPr>
        <w:rFonts w:hint="default"/>
        <w:b/>
      </w:rPr>
    </w:lvl>
    <w:lvl w:ilvl="3">
      <w:start w:val="1"/>
      <w:numFmt w:val="lowerRoman"/>
      <w:lvlText w:val="%4."/>
      <w:lvlJc w:val="left"/>
      <w:pPr>
        <w:ind w:left="1800" w:hanging="360"/>
      </w:pPr>
      <w:rPr>
        <w:rFonts w:hint="default"/>
        <w:b/>
        <w:i w:val="0"/>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14024177"/>
    <w:multiLevelType w:val="hybridMultilevel"/>
    <w:tmpl w:val="8A6CF078"/>
    <w:lvl w:ilvl="0" w:tplc="B426A3CC">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231913"/>
    <w:multiLevelType w:val="multilevel"/>
    <w:tmpl w:val="4350BB0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lef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155E5FBB"/>
    <w:multiLevelType w:val="multilevel"/>
    <w:tmpl w:val="74CC4B0A"/>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lef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15AD4BCC"/>
    <w:multiLevelType w:val="hybridMultilevel"/>
    <w:tmpl w:val="2DD0E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6405C47"/>
    <w:multiLevelType w:val="hybridMultilevel"/>
    <w:tmpl w:val="D1A40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E218AD"/>
    <w:multiLevelType w:val="hybridMultilevel"/>
    <w:tmpl w:val="C7D61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BA601D"/>
    <w:multiLevelType w:val="multilevel"/>
    <w:tmpl w:val="C908E56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lef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17DE5A90"/>
    <w:multiLevelType w:val="hybridMultilevel"/>
    <w:tmpl w:val="6A06D744"/>
    <w:lvl w:ilvl="0" w:tplc="87FAF376">
      <w:start w:val="1"/>
      <w:numFmt w:val="upperLetter"/>
      <w:lvlText w:val="%1."/>
      <w:lvlJc w:val="left"/>
      <w:pPr>
        <w:ind w:left="1080" w:hanging="720"/>
      </w:pPr>
      <w:rPr>
        <w:rFonts w:hint="default"/>
        <w:b/>
      </w:rPr>
    </w:lvl>
    <w:lvl w:ilvl="1" w:tplc="E66A31D2">
      <w:start w:val="1"/>
      <w:numFmt w:val="lowerRoman"/>
      <w:lvlText w:val="%2."/>
      <w:lvlJc w:val="left"/>
      <w:pPr>
        <w:ind w:left="1440" w:hanging="360"/>
      </w:pPr>
      <w:rPr>
        <w:rFonts w:hint="default"/>
        <w:b/>
        <w:bCs/>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8720341"/>
    <w:multiLevelType w:val="multilevel"/>
    <w:tmpl w:val="8CA290E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righ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18953CAE"/>
    <w:multiLevelType w:val="hybridMultilevel"/>
    <w:tmpl w:val="C4102A1E"/>
    <w:lvl w:ilvl="0" w:tplc="87FAF376">
      <w:start w:val="1"/>
      <w:numFmt w:val="upperLetter"/>
      <w:lvlText w:val="%1."/>
      <w:lvlJc w:val="left"/>
      <w:pPr>
        <w:ind w:left="1080" w:hanging="720"/>
      </w:pPr>
      <w:rPr>
        <w:rFonts w:hint="default"/>
        <w:b/>
      </w:rPr>
    </w:lvl>
    <w:lvl w:ilvl="1" w:tplc="0F965AA8">
      <w:start w:val="1"/>
      <w:numFmt w:val="lowerRoman"/>
      <w:lvlText w:val="%2."/>
      <w:lvlJc w:val="left"/>
      <w:pPr>
        <w:ind w:left="1440" w:hanging="360"/>
      </w:pPr>
      <w:rPr>
        <w:rFonts w:hint="default"/>
        <w:b/>
        <w:bCs/>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8B6275F"/>
    <w:multiLevelType w:val="hybridMultilevel"/>
    <w:tmpl w:val="5510AA9A"/>
    <w:lvl w:ilvl="0" w:tplc="B426A3CC">
      <w:start w:val="1"/>
      <w:numFmt w:val="bullet"/>
      <w:lvlText w:val=""/>
      <w:lvlJc w:val="left"/>
      <w:pPr>
        <w:ind w:left="216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BD900CA"/>
    <w:multiLevelType w:val="multilevel"/>
    <w:tmpl w:val="DFA4162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bullet"/>
      <w:lvlText w:val=""/>
      <w:lvlJc w:val="left"/>
      <w:pPr>
        <w:ind w:left="1440" w:hanging="360"/>
      </w:pPr>
      <w:rPr>
        <w:rFonts w:ascii="Symbol" w:hAnsi="Symbol" w:hint="default"/>
        <w:b/>
        <w:i w:val="0"/>
      </w:rPr>
    </w:lvl>
    <w:lvl w:ilvl="3">
      <w:start w:val="1"/>
      <w:numFmt w:val="bullet"/>
      <w:lvlText w:val=""/>
      <w:lvlJc w:val="left"/>
      <w:pPr>
        <w:ind w:left="1800" w:hanging="360"/>
      </w:pPr>
      <w:rPr>
        <w:rFonts w:ascii="Symbol" w:hAnsi="Symbol"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1C826F8E"/>
    <w:multiLevelType w:val="hybridMultilevel"/>
    <w:tmpl w:val="F3A4A3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1C906DAF"/>
    <w:multiLevelType w:val="hybridMultilevel"/>
    <w:tmpl w:val="2696CB4E"/>
    <w:lvl w:ilvl="0" w:tplc="DC8C8C0A">
      <w:start w:val="1"/>
      <w:numFmt w:val="lowerRoman"/>
      <w:lvlText w:val="%1."/>
      <w:lvlJc w:val="left"/>
      <w:pPr>
        <w:ind w:left="720" w:hanging="360"/>
      </w:pPr>
      <w:rPr>
        <w:rFonts w:hint="default"/>
        <w:b/>
        <w:bCs/>
      </w:rPr>
    </w:lvl>
    <w:lvl w:ilvl="1" w:tplc="04090019" w:tentative="1">
      <w:start w:val="1"/>
      <w:numFmt w:val="lowerLetter"/>
      <w:lvlText w:val="%2."/>
      <w:lvlJc w:val="left"/>
      <w:pPr>
        <w:ind w:left="1440" w:hanging="360"/>
      </w:pPr>
    </w:lvl>
    <w:lvl w:ilvl="2" w:tplc="DC8C8C0A">
      <w:start w:val="1"/>
      <w:numFmt w:val="lowerRoman"/>
      <w:lvlText w:val="%3."/>
      <w:lvlJc w:val="left"/>
      <w:pPr>
        <w:ind w:left="2160" w:hanging="180"/>
      </w:pPr>
      <w:rPr>
        <w:rFonts w:hint="default"/>
        <w:b/>
        <w:bC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CA51D94"/>
    <w:multiLevelType w:val="hybridMultilevel"/>
    <w:tmpl w:val="261AF946"/>
    <w:lvl w:ilvl="0" w:tplc="87FAF376">
      <w:start w:val="1"/>
      <w:numFmt w:val="upperLetter"/>
      <w:lvlText w:val="%1."/>
      <w:lvlJc w:val="left"/>
      <w:pPr>
        <w:ind w:left="1080" w:hanging="720"/>
      </w:pPr>
      <w:rPr>
        <w:rFonts w:hint="default"/>
        <w:b/>
      </w:rPr>
    </w:lvl>
    <w:lvl w:ilvl="1" w:tplc="9890654C">
      <w:start w:val="1"/>
      <w:numFmt w:val="lowerRoman"/>
      <w:lvlText w:val="%2."/>
      <w:lvlJc w:val="left"/>
      <w:pPr>
        <w:ind w:left="1440" w:hanging="360"/>
      </w:pPr>
      <w:rPr>
        <w:rFonts w:hint="default"/>
        <w:b/>
        <w:bCs/>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DD65F3A"/>
    <w:multiLevelType w:val="multilevel"/>
    <w:tmpl w:val="C3E8461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righ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1EEA3F10"/>
    <w:multiLevelType w:val="hybridMultilevel"/>
    <w:tmpl w:val="E06AF302"/>
    <w:lvl w:ilvl="0" w:tplc="8A72CE38">
      <w:start w:val="1"/>
      <w:numFmt w:val="decimal"/>
      <w:lvlText w:val="%1."/>
      <w:lvlJc w:val="left"/>
      <w:pPr>
        <w:ind w:left="720" w:hanging="360"/>
      </w:pPr>
      <w:rPr>
        <w:sz w:val="22"/>
      </w:rPr>
    </w:lvl>
    <w:lvl w:ilvl="1" w:tplc="29E6E90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F703A28"/>
    <w:multiLevelType w:val="hybridMultilevel"/>
    <w:tmpl w:val="81BEBF6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0966530"/>
    <w:multiLevelType w:val="hybridMultilevel"/>
    <w:tmpl w:val="636CA32C"/>
    <w:lvl w:ilvl="0" w:tplc="DC8C8C0A">
      <w:start w:val="1"/>
      <w:numFmt w:val="lowerRoman"/>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1A74C92"/>
    <w:multiLevelType w:val="multilevel"/>
    <w:tmpl w:val="6AB07CD0"/>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upperLetter"/>
      <w:lvlText w:val="%3."/>
      <w:lvlJc w:val="righ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22802F36"/>
    <w:multiLevelType w:val="hybridMultilevel"/>
    <w:tmpl w:val="C79E74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23436EFD"/>
    <w:multiLevelType w:val="multilevel"/>
    <w:tmpl w:val="F59E5C1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lef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24254E2B"/>
    <w:multiLevelType w:val="multilevel"/>
    <w:tmpl w:val="DC9C0EA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rPr>
    </w:lvl>
    <w:lvl w:ilvl="2">
      <w:start w:val="1"/>
      <w:numFmt w:val="upperLetter"/>
      <w:lvlText w:val="%3."/>
      <w:lvlJc w:val="left"/>
      <w:pPr>
        <w:ind w:left="1440" w:hanging="360"/>
      </w:pPr>
      <w:rPr>
        <w:rFonts w:hint="default"/>
        <w:b/>
      </w:rPr>
    </w:lvl>
    <w:lvl w:ilvl="3">
      <w:start w:val="1"/>
      <w:numFmt w:val="lowerRoman"/>
      <w:lvlText w:val="%4."/>
      <w:lvlJc w:val="left"/>
      <w:pPr>
        <w:ind w:left="1800" w:hanging="360"/>
      </w:pPr>
      <w:rPr>
        <w:rFonts w:hint="default"/>
        <w:b/>
        <w:i w:val="0"/>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24656F19"/>
    <w:multiLevelType w:val="multilevel"/>
    <w:tmpl w:val="A8EC0E08"/>
    <w:lvl w:ilvl="0">
      <w:start w:val="1"/>
      <w:numFmt w:val="bullet"/>
      <w:lvlText w:val=""/>
      <w:lvlJc w:val="left"/>
      <w:pPr>
        <w:ind w:left="4680" w:hanging="360"/>
      </w:pPr>
      <w:rPr>
        <w:rFonts w:ascii="Symbol" w:hAnsi="Symbol" w:hint="default"/>
      </w:rPr>
    </w:lvl>
    <w:lvl w:ilvl="1">
      <w:start w:val="1"/>
      <w:numFmt w:val="decimal"/>
      <w:lvlText w:val="%2."/>
      <w:lvlJc w:val="left"/>
      <w:pPr>
        <w:ind w:left="5040" w:hanging="360"/>
      </w:pPr>
      <w:rPr>
        <w:rFonts w:hint="default"/>
      </w:rPr>
    </w:lvl>
    <w:lvl w:ilvl="2">
      <w:start w:val="1"/>
      <w:numFmt w:val="bullet"/>
      <w:lvlText w:val=""/>
      <w:lvlJc w:val="left"/>
      <w:pPr>
        <w:ind w:left="5760" w:hanging="360"/>
      </w:pPr>
      <w:rPr>
        <w:rFonts w:ascii="Symbol" w:hAnsi="Symbol" w:hint="default"/>
        <w:b/>
        <w:i w:val="0"/>
      </w:rPr>
    </w:lvl>
    <w:lvl w:ilvl="3">
      <w:start w:val="1"/>
      <w:numFmt w:val="bullet"/>
      <w:lvlText w:val=""/>
      <w:lvlJc w:val="left"/>
      <w:pPr>
        <w:ind w:left="6120" w:hanging="360"/>
      </w:pPr>
      <w:rPr>
        <w:rFonts w:ascii="Symbol" w:hAnsi="Symbol" w:hint="default"/>
        <w:b/>
      </w:rPr>
    </w:lvl>
    <w:lvl w:ilvl="4">
      <w:start w:val="1"/>
      <w:numFmt w:val="lowerLetter"/>
      <w:lvlText w:val="%5."/>
      <w:lvlJc w:val="left"/>
      <w:pPr>
        <w:ind w:left="6480" w:hanging="360"/>
      </w:pPr>
      <w:rPr>
        <w:rFonts w:hint="default"/>
        <w:b/>
      </w:rPr>
    </w:lvl>
    <w:lvl w:ilvl="5">
      <w:start w:val="1"/>
      <w:numFmt w:val="bullet"/>
      <w:lvlText w:val=""/>
      <w:lvlJc w:val="left"/>
      <w:pPr>
        <w:ind w:left="6840" w:hanging="360"/>
      </w:pPr>
      <w:rPr>
        <w:rFonts w:ascii="Symbol" w:hAnsi="Symbol" w:hint="default"/>
        <w:color w:val="auto"/>
      </w:rPr>
    </w:lvl>
    <w:lvl w:ilvl="6">
      <w:start w:val="1"/>
      <w:numFmt w:val="bullet"/>
      <w:lvlText w:val=""/>
      <w:lvlJc w:val="left"/>
      <w:pPr>
        <w:ind w:left="9360" w:hanging="360"/>
      </w:pPr>
      <w:rPr>
        <w:rFonts w:ascii="Symbol" w:hAnsi="Symbol" w:hint="default"/>
        <w:color w:val="auto"/>
      </w:rPr>
    </w:lvl>
    <w:lvl w:ilvl="7">
      <w:start w:val="1"/>
      <w:numFmt w:val="lowerLetter"/>
      <w:lvlText w:val="%8."/>
      <w:lvlJc w:val="left"/>
      <w:pPr>
        <w:ind w:left="10080" w:hanging="360"/>
      </w:pPr>
      <w:rPr>
        <w:rFonts w:hint="default"/>
      </w:rPr>
    </w:lvl>
    <w:lvl w:ilvl="8">
      <w:start w:val="1"/>
      <w:numFmt w:val="lowerRoman"/>
      <w:lvlText w:val="%9."/>
      <w:lvlJc w:val="right"/>
      <w:pPr>
        <w:ind w:left="10800" w:hanging="180"/>
      </w:pPr>
      <w:rPr>
        <w:rFonts w:hint="default"/>
      </w:rPr>
    </w:lvl>
  </w:abstractNum>
  <w:abstractNum w:abstractNumId="50" w15:restartNumberingAfterBreak="0">
    <w:nsid w:val="27AA5067"/>
    <w:multiLevelType w:val="multilevel"/>
    <w:tmpl w:val="67F6CD9A"/>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righ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15:restartNumberingAfterBreak="0">
    <w:nsid w:val="28143224"/>
    <w:multiLevelType w:val="hybridMultilevel"/>
    <w:tmpl w:val="A4FA7D86"/>
    <w:lvl w:ilvl="0" w:tplc="DC8C8C0A">
      <w:start w:val="1"/>
      <w:numFmt w:val="lowerRoman"/>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86C7E00"/>
    <w:multiLevelType w:val="hybridMultilevel"/>
    <w:tmpl w:val="2676E244"/>
    <w:lvl w:ilvl="0" w:tplc="F2068172">
      <w:start w:val="6"/>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896394E"/>
    <w:multiLevelType w:val="hybridMultilevel"/>
    <w:tmpl w:val="4F3C09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977035A"/>
    <w:multiLevelType w:val="hybridMultilevel"/>
    <w:tmpl w:val="9178452A"/>
    <w:lvl w:ilvl="0" w:tplc="379E2106">
      <w:start w:val="1"/>
      <w:numFmt w:val="upperLetter"/>
      <w:lvlText w:val="%1."/>
      <w:lvlJc w:val="left"/>
      <w:pPr>
        <w:ind w:left="2160" w:hanging="360"/>
      </w:pPr>
      <w:rPr>
        <w:b/>
        <w:bCs/>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5" w15:restartNumberingAfterBreak="0">
    <w:nsid w:val="29B70FEF"/>
    <w:multiLevelType w:val="multilevel"/>
    <w:tmpl w:val="8CA290E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righ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2A5F44D3"/>
    <w:multiLevelType w:val="hybridMultilevel"/>
    <w:tmpl w:val="0AD4BB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B1635D2"/>
    <w:multiLevelType w:val="hybridMultilevel"/>
    <w:tmpl w:val="8C2E3748"/>
    <w:lvl w:ilvl="0" w:tplc="87FAF376">
      <w:start w:val="1"/>
      <w:numFmt w:val="upperLetter"/>
      <w:lvlText w:val="%1."/>
      <w:lvlJc w:val="left"/>
      <w:pPr>
        <w:ind w:left="1080" w:hanging="720"/>
      </w:pPr>
      <w:rPr>
        <w:rFonts w:hint="default"/>
        <w:b/>
      </w:rPr>
    </w:lvl>
    <w:lvl w:ilvl="1" w:tplc="42623DA4">
      <w:start w:val="1"/>
      <w:numFmt w:val="lowerRoman"/>
      <w:lvlText w:val="%2."/>
      <w:lvlJc w:val="left"/>
      <w:pPr>
        <w:ind w:left="1440" w:hanging="360"/>
      </w:pPr>
      <w:rPr>
        <w:rFonts w:hint="default"/>
        <w:b/>
        <w:bCs/>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C683C18"/>
    <w:multiLevelType w:val="hybridMultilevel"/>
    <w:tmpl w:val="3124B7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2CC52F50"/>
    <w:multiLevelType w:val="hybridMultilevel"/>
    <w:tmpl w:val="85465FE4"/>
    <w:lvl w:ilvl="0" w:tplc="87FAF376">
      <w:start w:val="1"/>
      <w:numFmt w:val="upperLetter"/>
      <w:lvlText w:val="%1."/>
      <w:lvlJc w:val="left"/>
      <w:pPr>
        <w:ind w:left="1080" w:hanging="720"/>
      </w:pPr>
      <w:rPr>
        <w:rFonts w:hint="default"/>
        <w:b/>
      </w:rPr>
    </w:lvl>
    <w:lvl w:ilvl="1" w:tplc="04090013">
      <w:start w:val="1"/>
      <w:numFmt w:val="upp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DF53B38"/>
    <w:multiLevelType w:val="multilevel"/>
    <w:tmpl w:val="6AB07CD0"/>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upperLetter"/>
      <w:lvlText w:val="%3."/>
      <w:lvlJc w:val="righ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15:restartNumberingAfterBreak="0">
    <w:nsid w:val="2E42452B"/>
    <w:multiLevelType w:val="hybridMultilevel"/>
    <w:tmpl w:val="022EF050"/>
    <w:lvl w:ilvl="0" w:tplc="04090015">
      <w:start w:val="1"/>
      <w:numFmt w:val="upperLetter"/>
      <w:lvlText w:val="%1."/>
      <w:lvlJc w:val="left"/>
      <w:pPr>
        <w:ind w:left="1080" w:hanging="720"/>
      </w:pPr>
      <w:rPr>
        <w:rFonts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F2F53EA"/>
    <w:multiLevelType w:val="multilevel"/>
    <w:tmpl w:val="3E8CF11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lef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3" w15:restartNumberingAfterBreak="0">
    <w:nsid w:val="31530D08"/>
    <w:multiLevelType w:val="hybridMultilevel"/>
    <w:tmpl w:val="3EF23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1D85B14"/>
    <w:multiLevelType w:val="multilevel"/>
    <w:tmpl w:val="3E8CF11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lef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5" w15:restartNumberingAfterBreak="0">
    <w:nsid w:val="32C90FDB"/>
    <w:multiLevelType w:val="multilevel"/>
    <w:tmpl w:val="E62E0CEA"/>
    <w:lvl w:ilvl="0">
      <w:start w:val="1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bullet"/>
      <w:lvlText w:val=""/>
      <w:lvlJc w:val="left"/>
      <w:pPr>
        <w:ind w:left="1440" w:hanging="360"/>
      </w:pPr>
      <w:rPr>
        <w:rFonts w:ascii="Symbol" w:hAnsi="Symbol" w:hint="default"/>
        <w:b/>
      </w:rPr>
    </w:lvl>
    <w:lvl w:ilvl="3">
      <w:start w:val="1"/>
      <w:numFmt w:val="lowerRoman"/>
      <w:lvlText w:val="%4."/>
      <w:lvlJc w:val="left"/>
      <w:pPr>
        <w:ind w:left="1800" w:hanging="360"/>
      </w:pPr>
      <w:rPr>
        <w:rFonts w:hint="default"/>
        <w:b/>
        <w:i w:val="0"/>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6" w15:restartNumberingAfterBreak="0">
    <w:nsid w:val="32CB5193"/>
    <w:multiLevelType w:val="multilevel"/>
    <w:tmpl w:val="7FEC2546"/>
    <w:lvl w:ilvl="0">
      <w:start w:val="1"/>
      <w:numFmt w:val="decimal"/>
      <w:lvlText w:val="%1."/>
      <w:lvlJc w:val="left"/>
      <w:pPr>
        <w:ind w:left="360" w:hanging="360"/>
      </w:pPr>
      <w:rPr>
        <w:rFonts w:hint="default"/>
      </w:rPr>
    </w:lvl>
    <w:lvl w:ilvl="1">
      <w:start w:val="2"/>
      <w:numFmt w:val="decimal"/>
      <w:lvlText w:val="%2."/>
      <w:lvlJc w:val="left"/>
      <w:pPr>
        <w:ind w:left="720" w:hanging="360"/>
      </w:pPr>
      <w:rPr>
        <w:rFonts w:hint="default"/>
        <w:b/>
      </w:rPr>
    </w:lvl>
    <w:lvl w:ilvl="2">
      <w:start w:val="1"/>
      <w:numFmt w:val="lowerRoman"/>
      <w:lvlText w:val="%3."/>
      <w:lvlJc w:val="left"/>
      <w:pPr>
        <w:ind w:left="1440" w:hanging="360"/>
      </w:pPr>
      <w:rPr>
        <w:rFonts w:hint="default"/>
        <w:b/>
        <w:bCs/>
      </w:rPr>
    </w:lvl>
    <w:lvl w:ilvl="3">
      <w:start w:val="1"/>
      <w:numFmt w:val="lowerRoman"/>
      <w:lvlText w:val="%4."/>
      <w:lvlJc w:val="left"/>
      <w:pPr>
        <w:ind w:left="1800" w:hanging="360"/>
      </w:pPr>
      <w:rPr>
        <w:rFonts w:hint="default"/>
        <w:b/>
        <w:i w:val="0"/>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7" w15:restartNumberingAfterBreak="0">
    <w:nsid w:val="32CE4DE2"/>
    <w:multiLevelType w:val="multilevel"/>
    <w:tmpl w:val="D870DC3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bullet"/>
      <w:lvlText w:val=""/>
      <w:lvlJc w:val="left"/>
      <w:pPr>
        <w:ind w:left="1440" w:hanging="360"/>
      </w:pPr>
      <w:rPr>
        <w:rFonts w:ascii="Symbol" w:hAnsi="Symbol"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8" w15:restartNumberingAfterBreak="0">
    <w:nsid w:val="33E401C2"/>
    <w:multiLevelType w:val="multilevel"/>
    <w:tmpl w:val="881E7BA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left"/>
      <w:pPr>
        <w:ind w:left="1440" w:hanging="360"/>
      </w:pPr>
      <w:rPr>
        <w:rFonts w:hint="default"/>
        <w:b/>
        <w:i w:val="0"/>
      </w:rPr>
    </w:lvl>
    <w:lvl w:ilvl="3">
      <w:start w:val="1"/>
      <w:numFmt w:val="lowerRoman"/>
      <w:lvlText w:val="%4."/>
      <w:lvlJc w:val="left"/>
      <w:pPr>
        <w:ind w:left="1800" w:hanging="360"/>
      </w:pPr>
      <w:rPr>
        <w:rFonts w:hint="default"/>
        <w:b/>
        <w:i w:val="0"/>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9" w15:restartNumberingAfterBreak="0">
    <w:nsid w:val="34351D26"/>
    <w:multiLevelType w:val="multilevel"/>
    <w:tmpl w:val="8CA290E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righ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0" w15:restartNumberingAfterBreak="0">
    <w:nsid w:val="34990B3C"/>
    <w:multiLevelType w:val="hybridMultilevel"/>
    <w:tmpl w:val="4CEA43A2"/>
    <w:lvl w:ilvl="0" w:tplc="379E2106">
      <w:start w:val="1"/>
      <w:numFmt w:val="upperLetter"/>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4DC16DF"/>
    <w:multiLevelType w:val="hybridMultilevel"/>
    <w:tmpl w:val="560C9750"/>
    <w:lvl w:ilvl="0" w:tplc="DC8C8C0A">
      <w:start w:val="1"/>
      <w:numFmt w:val="lowerRoman"/>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5732EB8"/>
    <w:multiLevelType w:val="hybridMultilevel"/>
    <w:tmpl w:val="5D829BFE"/>
    <w:lvl w:ilvl="0" w:tplc="9AB6CCA8">
      <w:start w:val="1"/>
      <w:numFmt w:val="decimal"/>
      <w:lvlText w:val="%1."/>
      <w:lvlJc w:val="left"/>
      <w:pPr>
        <w:ind w:left="720" w:hanging="360"/>
      </w:pPr>
      <w:rPr>
        <w:b/>
        <w:u w:val="none"/>
      </w:rPr>
    </w:lvl>
    <w:lvl w:ilvl="1" w:tplc="04090015">
      <w:start w:val="1"/>
      <w:numFmt w:val="upperLetter"/>
      <w:lvlText w:val="%2."/>
      <w:lvlJc w:val="left"/>
      <w:pPr>
        <w:ind w:left="1440" w:hanging="360"/>
      </w:pPr>
      <w:rPr>
        <w:b/>
      </w:rPr>
    </w:lvl>
    <w:lvl w:ilvl="2" w:tplc="DC8C8C0A">
      <w:start w:val="1"/>
      <w:numFmt w:val="lowerRoman"/>
      <w:lvlText w:val="%3."/>
      <w:lvlJc w:val="left"/>
      <w:pPr>
        <w:ind w:left="2160" w:hanging="180"/>
      </w:pPr>
      <w:rPr>
        <w:rFonts w:hint="default"/>
        <w:b/>
        <w:bC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5774D56"/>
    <w:multiLevelType w:val="hybridMultilevel"/>
    <w:tmpl w:val="605E75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3608058F"/>
    <w:multiLevelType w:val="multilevel"/>
    <w:tmpl w:val="1024A47A"/>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bullet"/>
      <w:lvlText w:val=""/>
      <w:lvlJc w:val="left"/>
      <w:pPr>
        <w:ind w:left="1440" w:hanging="360"/>
      </w:pPr>
      <w:rPr>
        <w:rFonts w:ascii="Symbol" w:hAnsi="Symbol"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5" w15:restartNumberingAfterBreak="0">
    <w:nsid w:val="36A76220"/>
    <w:multiLevelType w:val="hybridMultilevel"/>
    <w:tmpl w:val="4094F07A"/>
    <w:lvl w:ilvl="0" w:tplc="57A23502">
      <w:start w:val="57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70901F4"/>
    <w:multiLevelType w:val="hybridMultilevel"/>
    <w:tmpl w:val="2EAA7F4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376023F2"/>
    <w:multiLevelType w:val="multilevel"/>
    <w:tmpl w:val="398409C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left"/>
      <w:pPr>
        <w:ind w:left="1440" w:hanging="360"/>
      </w:pPr>
      <w:rPr>
        <w:rFonts w:hint="default"/>
        <w:b/>
      </w:rPr>
    </w:lvl>
    <w:lvl w:ilvl="3">
      <w:start w:val="1"/>
      <w:numFmt w:val="lowerRoman"/>
      <w:lvlText w:val="%4."/>
      <w:lvlJc w:val="left"/>
      <w:pPr>
        <w:ind w:left="1800" w:hanging="360"/>
      </w:pPr>
      <w:rPr>
        <w:rFonts w:hint="default"/>
        <w:b/>
        <w:i w:val="0"/>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8" w15:restartNumberingAfterBreak="0">
    <w:nsid w:val="37836853"/>
    <w:multiLevelType w:val="multilevel"/>
    <w:tmpl w:val="79AE656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rPr>
    </w:lvl>
    <w:lvl w:ilvl="2">
      <w:start w:val="1"/>
      <w:numFmt w:val="upperLetter"/>
      <w:lvlText w:val="%3."/>
      <w:lvlJc w:val="left"/>
      <w:pPr>
        <w:ind w:left="1440" w:hanging="360"/>
      </w:pPr>
      <w:rPr>
        <w:rFonts w:hint="default"/>
        <w:b/>
      </w:rPr>
    </w:lvl>
    <w:lvl w:ilvl="3">
      <w:start w:val="1"/>
      <w:numFmt w:val="lowerRoman"/>
      <w:lvlText w:val="%4."/>
      <w:lvlJc w:val="left"/>
      <w:pPr>
        <w:ind w:left="1800" w:hanging="360"/>
      </w:pPr>
      <w:rPr>
        <w:rFonts w:hint="default"/>
        <w:b/>
        <w:i w:val="0"/>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9" w15:restartNumberingAfterBreak="0">
    <w:nsid w:val="385D0A2D"/>
    <w:multiLevelType w:val="multilevel"/>
    <w:tmpl w:val="BDAE4B2E"/>
    <w:lvl w:ilvl="0">
      <w:start w:val="10"/>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righ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0" w15:restartNumberingAfterBreak="0">
    <w:nsid w:val="3BD06642"/>
    <w:multiLevelType w:val="hybridMultilevel"/>
    <w:tmpl w:val="7AFC8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BFD069E"/>
    <w:multiLevelType w:val="hybridMultilevel"/>
    <w:tmpl w:val="0BD4122A"/>
    <w:lvl w:ilvl="0" w:tplc="DC8C8C0A">
      <w:start w:val="1"/>
      <w:numFmt w:val="lowerRoman"/>
      <w:lvlText w:val="%1."/>
      <w:lvlJc w:val="left"/>
      <w:pPr>
        <w:ind w:left="720" w:hanging="360"/>
      </w:pPr>
      <w:rPr>
        <w:rFonts w:hint="default"/>
        <w:b/>
        <w:bCs/>
        <w:u w:val="none"/>
      </w:rPr>
    </w:lvl>
    <w:lvl w:ilvl="1" w:tplc="04090015">
      <w:start w:val="1"/>
      <w:numFmt w:val="upperLetter"/>
      <w:lvlText w:val="%2."/>
      <w:lvlJc w:val="left"/>
      <w:pPr>
        <w:ind w:left="1440" w:hanging="360"/>
      </w:pPr>
      <w:rPr>
        <w:b/>
      </w:rPr>
    </w:lvl>
    <w:lvl w:ilvl="2" w:tplc="DC8C8C0A">
      <w:start w:val="1"/>
      <w:numFmt w:val="lowerRoman"/>
      <w:lvlText w:val="%3."/>
      <w:lvlJc w:val="left"/>
      <w:pPr>
        <w:ind w:left="2160" w:hanging="180"/>
      </w:pPr>
      <w:rPr>
        <w:rFonts w:hint="default"/>
        <w:b/>
        <w:bC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C567B04"/>
    <w:multiLevelType w:val="multilevel"/>
    <w:tmpl w:val="8CA290E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righ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3" w15:restartNumberingAfterBreak="0">
    <w:nsid w:val="3D0073D3"/>
    <w:multiLevelType w:val="multilevel"/>
    <w:tmpl w:val="CF12A366"/>
    <w:lvl w:ilvl="0">
      <w:start w:val="1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right"/>
      <w:pPr>
        <w:ind w:left="1440" w:hanging="360"/>
      </w:pPr>
      <w:rPr>
        <w:rFonts w:hint="default"/>
        <w:b/>
      </w:rPr>
    </w:lvl>
    <w:lvl w:ilvl="3">
      <w:start w:val="1"/>
      <w:numFmt w:val="lowerRoman"/>
      <w:lvlText w:val="%4."/>
      <w:lvlJc w:val="left"/>
      <w:pPr>
        <w:ind w:left="1800" w:hanging="360"/>
      </w:pPr>
      <w:rPr>
        <w:rFonts w:hint="default"/>
        <w:b/>
        <w:i w:val="0"/>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4" w15:restartNumberingAfterBreak="0">
    <w:nsid w:val="3F93224A"/>
    <w:multiLevelType w:val="hybridMultilevel"/>
    <w:tmpl w:val="8C1693FC"/>
    <w:lvl w:ilvl="0" w:tplc="A47E05B4">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FF443EA"/>
    <w:multiLevelType w:val="multilevel"/>
    <w:tmpl w:val="9B9E6CE0"/>
    <w:lvl w:ilvl="0">
      <w:start w:val="14"/>
      <w:numFmt w:val="decimal"/>
      <w:lvlText w:val="%1."/>
      <w:lvlJc w:val="left"/>
      <w:pPr>
        <w:ind w:left="360" w:hanging="360"/>
      </w:pPr>
      <w:rPr>
        <w:rFonts w:hint="default"/>
      </w:rPr>
    </w:lvl>
    <w:lvl w:ilvl="1">
      <w:start w:val="1"/>
      <w:numFmt w:val="decimal"/>
      <w:lvlText w:val="%2."/>
      <w:lvlJc w:val="left"/>
      <w:pPr>
        <w:ind w:left="720" w:hanging="360"/>
      </w:pPr>
      <w:rPr>
        <w:rFonts w:hint="default"/>
        <w:b/>
      </w:rPr>
    </w:lvl>
    <w:lvl w:ilvl="2">
      <w:start w:val="1"/>
      <w:numFmt w:val="upperLetter"/>
      <w:lvlText w:val="%3."/>
      <w:lvlJc w:val="right"/>
      <w:pPr>
        <w:ind w:left="1440" w:hanging="360"/>
      </w:pPr>
      <w:rPr>
        <w:rFonts w:hint="default"/>
        <w:b/>
      </w:rPr>
    </w:lvl>
    <w:lvl w:ilvl="3">
      <w:start w:val="1"/>
      <w:numFmt w:val="lowerRoman"/>
      <w:lvlText w:val="%4."/>
      <w:lvlJc w:val="left"/>
      <w:pPr>
        <w:ind w:left="1800" w:hanging="360"/>
      </w:pPr>
      <w:rPr>
        <w:rFonts w:hint="default"/>
        <w:b/>
        <w:i w:val="0"/>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6" w15:restartNumberingAfterBreak="0">
    <w:nsid w:val="41966725"/>
    <w:multiLevelType w:val="hybridMultilevel"/>
    <w:tmpl w:val="B1FEE666"/>
    <w:lvl w:ilvl="0" w:tplc="1F28BA9C">
      <w:start w:val="4"/>
      <w:numFmt w:val="lowerLetter"/>
      <w:lvlText w:val="%1)"/>
      <w:lvlJc w:val="left"/>
      <w:pPr>
        <w:ind w:left="720" w:hanging="360"/>
      </w:pPr>
      <w:rPr>
        <w:rFonts w:hint="default"/>
      </w:rPr>
    </w:lvl>
    <w:lvl w:ilvl="1" w:tplc="04090011">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1BB557E"/>
    <w:multiLevelType w:val="multilevel"/>
    <w:tmpl w:val="9D44D060"/>
    <w:lvl w:ilvl="0">
      <w:start w:val="1"/>
      <w:numFmt w:val="lowerRoman"/>
      <w:lvlText w:val="%1."/>
      <w:lvlJc w:val="left"/>
      <w:pPr>
        <w:ind w:left="360" w:hanging="360"/>
      </w:pPr>
      <w:rPr>
        <w:rFonts w:hint="default"/>
        <w:b/>
        <w:bCs/>
      </w:rPr>
    </w:lvl>
    <w:lvl w:ilvl="1">
      <w:start w:val="1"/>
      <w:numFmt w:val="decimal"/>
      <w:lvlText w:val="%2."/>
      <w:lvlJc w:val="left"/>
      <w:pPr>
        <w:ind w:left="720" w:hanging="360"/>
      </w:pPr>
      <w:rPr>
        <w:rFonts w:hint="default"/>
      </w:rPr>
    </w:lvl>
    <w:lvl w:ilvl="2">
      <w:start w:val="1"/>
      <w:numFmt w:val="upperLetter"/>
      <w:lvlText w:val="%3."/>
      <w:lvlJc w:val="lef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8" w15:restartNumberingAfterBreak="0">
    <w:nsid w:val="42BC63BF"/>
    <w:multiLevelType w:val="hybridMultilevel"/>
    <w:tmpl w:val="DCDA2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4721850"/>
    <w:multiLevelType w:val="hybridMultilevel"/>
    <w:tmpl w:val="65AC07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0" w15:restartNumberingAfterBreak="0">
    <w:nsid w:val="44900B02"/>
    <w:multiLevelType w:val="hybridMultilevel"/>
    <w:tmpl w:val="F82EC4C2"/>
    <w:lvl w:ilvl="0" w:tplc="1DF81610">
      <w:start w:val="1"/>
      <w:numFmt w:val="lowerRoman"/>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80707A3"/>
    <w:multiLevelType w:val="hybridMultilevel"/>
    <w:tmpl w:val="6628820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2" w15:restartNumberingAfterBreak="0">
    <w:nsid w:val="48761CFB"/>
    <w:multiLevelType w:val="multilevel"/>
    <w:tmpl w:val="735033D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righ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3" w15:restartNumberingAfterBreak="0">
    <w:nsid w:val="49D35DFF"/>
    <w:multiLevelType w:val="multilevel"/>
    <w:tmpl w:val="69C8944E"/>
    <w:lvl w:ilvl="0">
      <w:start w:val="10"/>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lef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4" w15:restartNumberingAfterBreak="0">
    <w:nsid w:val="4D6978A4"/>
    <w:multiLevelType w:val="hybridMultilevel"/>
    <w:tmpl w:val="FF1ED26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5" w15:restartNumberingAfterBreak="0">
    <w:nsid w:val="4DA7510C"/>
    <w:multiLevelType w:val="multilevel"/>
    <w:tmpl w:val="4DD2D7B0"/>
    <w:lvl w:ilvl="0">
      <w:start w:val="1"/>
      <w:numFmt w:val="decimal"/>
      <w:lvlText w:val="%1."/>
      <w:lvlJc w:val="left"/>
      <w:pPr>
        <w:ind w:left="360" w:hanging="360"/>
      </w:pPr>
      <w:rPr>
        <w:rFonts w:hint="default"/>
      </w:rPr>
    </w:lvl>
    <w:lvl w:ilvl="1">
      <w:start w:val="4"/>
      <w:numFmt w:val="decimal"/>
      <w:lvlText w:val="%2."/>
      <w:lvlJc w:val="left"/>
      <w:pPr>
        <w:ind w:left="720" w:hanging="360"/>
      </w:pPr>
      <w:rPr>
        <w:rFonts w:hint="default"/>
      </w:rPr>
    </w:lvl>
    <w:lvl w:ilvl="2">
      <w:start w:val="1"/>
      <w:numFmt w:val="upperLetter"/>
      <w:lvlText w:val="%3."/>
      <w:lvlJc w:val="right"/>
      <w:pPr>
        <w:ind w:left="1440" w:hanging="360"/>
      </w:pPr>
      <w:rPr>
        <w:rFonts w:hint="default"/>
        <w:b/>
      </w:rPr>
    </w:lvl>
    <w:lvl w:ilvl="3">
      <w:start w:val="1"/>
      <w:numFmt w:val="lowerRoman"/>
      <w:lvlText w:val="%4."/>
      <w:lvlJc w:val="left"/>
      <w:pPr>
        <w:ind w:left="1800" w:hanging="360"/>
      </w:pPr>
      <w:rPr>
        <w:rFonts w:hint="default"/>
        <w:b/>
        <w:i w:val="0"/>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6" w15:restartNumberingAfterBreak="0">
    <w:nsid w:val="4ED50FDC"/>
    <w:multiLevelType w:val="hybridMultilevel"/>
    <w:tmpl w:val="19B22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F3B4ACE"/>
    <w:multiLevelType w:val="hybridMultilevel"/>
    <w:tmpl w:val="7DB4F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F5D63DC"/>
    <w:multiLevelType w:val="hybridMultilevel"/>
    <w:tmpl w:val="6FB275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4F716264"/>
    <w:multiLevelType w:val="hybridMultilevel"/>
    <w:tmpl w:val="3E825D70"/>
    <w:lvl w:ilvl="0" w:tplc="8A72CE38">
      <w:start w:val="1"/>
      <w:numFmt w:val="decimal"/>
      <w:lvlText w:val="%1."/>
      <w:lvlJc w:val="left"/>
      <w:pPr>
        <w:ind w:left="720" w:hanging="360"/>
      </w:pPr>
      <w:rPr>
        <w:sz w:val="22"/>
      </w:rPr>
    </w:lvl>
    <w:lvl w:ilvl="1" w:tplc="29E6E90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00F2058"/>
    <w:multiLevelType w:val="hybridMultilevel"/>
    <w:tmpl w:val="1CBEF0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15:restartNumberingAfterBreak="0">
    <w:nsid w:val="50DC3E4D"/>
    <w:multiLevelType w:val="multilevel"/>
    <w:tmpl w:val="EEAAA6D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left"/>
      <w:pPr>
        <w:ind w:left="1440" w:hanging="360"/>
      </w:pPr>
      <w:rPr>
        <w:rFonts w:hint="default"/>
        <w:b/>
      </w:rPr>
    </w:lvl>
    <w:lvl w:ilvl="3">
      <w:start w:val="1"/>
      <w:numFmt w:val="lowerRoman"/>
      <w:lvlText w:val="%4."/>
      <w:lvlJc w:val="left"/>
      <w:pPr>
        <w:ind w:left="1800" w:hanging="360"/>
      </w:pPr>
      <w:rPr>
        <w:rFonts w:hint="default"/>
        <w:b/>
        <w:i w:val="0"/>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2" w15:restartNumberingAfterBreak="0">
    <w:nsid w:val="50F811A8"/>
    <w:multiLevelType w:val="multilevel"/>
    <w:tmpl w:val="FD18206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rPr>
    </w:lvl>
    <w:lvl w:ilvl="2">
      <w:start w:val="1"/>
      <w:numFmt w:val="lowerRoman"/>
      <w:lvlText w:val="%3."/>
      <w:lvlJc w:val="left"/>
      <w:pPr>
        <w:ind w:left="1440" w:hanging="360"/>
      </w:pPr>
      <w:rPr>
        <w:rFonts w:hint="default"/>
        <w:b/>
        <w:bCs/>
      </w:rPr>
    </w:lvl>
    <w:lvl w:ilvl="3">
      <w:start w:val="1"/>
      <w:numFmt w:val="lowerRoman"/>
      <w:lvlText w:val="%4."/>
      <w:lvlJc w:val="left"/>
      <w:pPr>
        <w:ind w:left="1800" w:hanging="360"/>
      </w:pPr>
      <w:rPr>
        <w:rFonts w:hint="default"/>
        <w:b/>
        <w:i w:val="0"/>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3" w15:restartNumberingAfterBreak="0">
    <w:nsid w:val="51CD7587"/>
    <w:multiLevelType w:val="hybridMultilevel"/>
    <w:tmpl w:val="F7A62254"/>
    <w:lvl w:ilvl="0" w:tplc="B426A3CC">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1F73AA0"/>
    <w:multiLevelType w:val="multilevel"/>
    <w:tmpl w:val="CF12A366"/>
    <w:lvl w:ilvl="0">
      <w:start w:val="1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right"/>
      <w:pPr>
        <w:ind w:left="1440" w:hanging="360"/>
      </w:pPr>
      <w:rPr>
        <w:rFonts w:hint="default"/>
        <w:b/>
      </w:rPr>
    </w:lvl>
    <w:lvl w:ilvl="3">
      <w:start w:val="1"/>
      <w:numFmt w:val="lowerRoman"/>
      <w:lvlText w:val="%4."/>
      <w:lvlJc w:val="left"/>
      <w:pPr>
        <w:ind w:left="1800" w:hanging="360"/>
      </w:pPr>
      <w:rPr>
        <w:rFonts w:hint="default"/>
        <w:b/>
        <w:i w:val="0"/>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5" w15:restartNumberingAfterBreak="0">
    <w:nsid w:val="52845D5D"/>
    <w:multiLevelType w:val="multilevel"/>
    <w:tmpl w:val="1024A47A"/>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bullet"/>
      <w:lvlText w:val=""/>
      <w:lvlJc w:val="left"/>
      <w:pPr>
        <w:ind w:left="1440" w:hanging="360"/>
      </w:pPr>
      <w:rPr>
        <w:rFonts w:ascii="Symbol" w:hAnsi="Symbol"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6" w15:restartNumberingAfterBreak="0">
    <w:nsid w:val="53273931"/>
    <w:multiLevelType w:val="hybridMultilevel"/>
    <w:tmpl w:val="786089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33F5EDD"/>
    <w:multiLevelType w:val="hybridMultilevel"/>
    <w:tmpl w:val="4112A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3785B72"/>
    <w:multiLevelType w:val="multilevel"/>
    <w:tmpl w:val="711A6CA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left"/>
      <w:pPr>
        <w:ind w:left="1440" w:hanging="360"/>
      </w:pPr>
      <w:rPr>
        <w:rFonts w:hint="default"/>
        <w:b/>
        <w:i w:val="0"/>
      </w:rPr>
    </w:lvl>
    <w:lvl w:ilvl="3">
      <w:start w:val="1"/>
      <w:numFmt w:val="lowerRoman"/>
      <w:lvlText w:val="%4."/>
      <w:lvlJc w:val="left"/>
      <w:pPr>
        <w:ind w:left="1800" w:hanging="360"/>
      </w:pPr>
      <w:rPr>
        <w:rFonts w:hint="default"/>
        <w:b/>
        <w:i w:val="0"/>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9" w15:restartNumberingAfterBreak="0">
    <w:nsid w:val="53896FCB"/>
    <w:multiLevelType w:val="hybridMultilevel"/>
    <w:tmpl w:val="0DF4C1BA"/>
    <w:lvl w:ilvl="0" w:tplc="0AD4A6A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3BD4FAA"/>
    <w:multiLevelType w:val="hybridMultilevel"/>
    <w:tmpl w:val="951E4348"/>
    <w:lvl w:ilvl="0" w:tplc="AB38F318">
      <w:start w:val="38"/>
      <w:numFmt w:val="decimal"/>
      <w:lvlText w:val="%1."/>
      <w:lvlJc w:val="left"/>
      <w:pPr>
        <w:ind w:left="720" w:hanging="360"/>
      </w:pPr>
      <w:rPr>
        <w:rFonts w:hint="default"/>
        <w:b/>
      </w:rPr>
    </w:lvl>
    <w:lvl w:ilvl="1" w:tplc="FB20C85C">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40225B7"/>
    <w:multiLevelType w:val="hybridMultilevel"/>
    <w:tmpl w:val="192AE8C2"/>
    <w:lvl w:ilvl="0" w:tplc="14205588">
      <w:start w:val="1"/>
      <w:numFmt w:val="bullet"/>
      <w:lvlText w:val=""/>
      <w:lvlJc w:val="left"/>
      <w:pPr>
        <w:ind w:left="1800" w:hanging="360"/>
      </w:pPr>
      <w:rPr>
        <w:rFonts w:ascii="Symbol" w:hAnsi="Symbol" w:hint="default"/>
        <w:b/>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2" w15:restartNumberingAfterBreak="0">
    <w:nsid w:val="54144549"/>
    <w:multiLevelType w:val="hybridMultilevel"/>
    <w:tmpl w:val="29064346"/>
    <w:lvl w:ilvl="0" w:tplc="9208E994">
      <w:start w:val="1"/>
      <w:numFmt w:val="upperLetter"/>
      <w:lvlText w:val="%1."/>
      <w:lvlJc w:val="left"/>
      <w:pPr>
        <w:ind w:left="720" w:hanging="360"/>
      </w:pPr>
      <w:rPr>
        <w:b/>
        <w:bCs/>
      </w:rPr>
    </w:lvl>
    <w:lvl w:ilvl="1" w:tplc="2628599E">
      <w:start w:val="1"/>
      <w:numFmt w:val="decimal"/>
      <w:lvlText w:val="%2."/>
      <w:lvlJc w:val="left"/>
      <w:pPr>
        <w:ind w:left="1440" w:hanging="360"/>
      </w:pPr>
      <w:rPr>
        <w:rFonts w:hint="default"/>
        <w:b/>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4C37CF7"/>
    <w:multiLevelType w:val="multilevel"/>
    <w:tmpl w:val="8CA290E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righ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4" w15:restartNumberingAfterBreak="0">
    <w:nsid w:val="55210CE1"/>
    <w:multiLevelType w:val="multilevel"/>
    <w:tmpl w:val="3E8CF11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lef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5" w15:restartNumberingAfterBreak="0">
    <w:nsid w:val="55C10D26"/>
    <w:multiLevelType w:val="multilevel"/>
    <w:tmpl w:val="7BFE50D6"/>
    <w:lvl w:ilvl="0">
      <w:start w:val="10"/>
      <w:numFmt w:val="decimal"/>
      <w:lvlText w:val="%1."/>
      <w:lvlJc w:val="left"/>
      <w:pPr>
        <w:ind w:left="360" w:hanging="360"/>
      </w:pPr>
      <w:rPr>
        <w:rFonts w:hint="default"/>
      </w:rPr>
    </w:lvl>
    <w:lvl w:ilvl="1">
      <w:start w:val="1"/>
      <w:numFmt w:val="decimal"/>
      <w:lvlText w:val="%2."/>
      <w:lvlJc w:val="left"/>
      <w:pPr>
        <w:ind w:left="720" w:hanging="360"/>
      </w:pPr>
      <w:rPr>
        <w:rFonts w:hint="default"/>
        <w:b/>
      </w:rPr>
    </w:lvl>
    <w:lvl w:ilvl="2">
      <w:start w:val="1"/>
      <w:numFmt w:val="upperLetter"/>
      <w:lvlText w:val="%3."/>
      <w:lvlJc w:val="lef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6" w15:restartNumberingAfterBreak="0">
    <w:nsid w:val="575A6094"/>
    <w:multiLevelType w:val="hybridMultilevel"/>
    <w:tmpl w:val="83642A0E"/>
    <w:lvl w:ilvl="0" w:tplc="8A72CE38">
      <w:start w:val="1"/>
      <w:numFmt w:val="decimal"/>
      <w:lvlText w:val="%1."/>
      <w:lvlJc w:val="left"/>
      <w:pPr>
        <w:ind w:left="720" w:hanging="360"/>
      </w:pPr>
      <w:rPr>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7D605EA"/>
    <w:multiLevelType w:val="multilevel"/>
    <w:tmpl w:val="17F6B374"/>
    <w:lvl w:ilvl="0">
      <w:start w:val="12"/>
      <w:numFmt w:val="decimal"/>
      <w:lvlText w:val="%1."/>
      <w:lvlJc w:val="left"/>
      <w:pPr>
        <w:ind w:left="360" w:hanging="360"/>
      </w:pPr>
      <w:rPr>
        <w:rFonts w:hint="default"/>
      </w:rPr>
    </w:lvl>
    <w:lvl w:ilvl="1">
      <w:start w:val="11"/>
      <w:numFmt w:val="decimal"/>
      <w:lvlText w:val="%2."/>
      <w:lvlJc w:val="left"/>
      <w:pPr>
        <w:ind w:left="720" w:hanging="360"/>
      </w:pPr>
      <w:rPr>
        <w:rFonts w:hint="default"/>
      </w:rPr>
    </w:lvl>
    <w:lvl w:ilvl="2">
      <w:start w:val="10"/>
      <w:numFmt w:val="upperLetter"/>
      <w:lvlText w:val="%3."/>
      <w:lvlJc w:val="righ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8" w15:restartNumberingAfterBreak="0">
    <w:nsid w:val="588E7E44"/>
    <w:multiLevelType w:val="multilevel"/>
    <w:tmpl w:val="C4BC1DF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left"/>
      <w:pPr>
        <w:ind w:left="1440" w:hanging="360"/>
      </w:pPr>
      <w:rPr>
        <w:rFonts w:hint="default"/>
        <w:b/>
      </w:rPr>
    </w:lvl>
    <w:lvl w:ilvl="3">
      <w:start w:val="1"/>
      <w:numFmt w:val="lowerRoman"/>
      <w:lvlText w:val="%4."/>
      <w:lvlJc w:val="left"/>
      <w:pPr>
        <w:ind w:left="1800" w:hanging="360"/>
      </w:pPr>
      <w:rPr>
        <w:rFonts w:hint="default"/>
        <w:b/>
        <w:i w:val="0"/>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9" w15:restartNumberingAfterBreak="0">
    <w:nsid w:val="58CA7884"/>
    <w:multiLevelType w:val="hybridMultilevel"/>
    <w:tmpl w:val="3C2A85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9A01803"/>
    <w:multiLevelType w:val="hybridMultilevel"/>
    <w:tmpl w:val="1A5ECDD8"/>
    <w:lvl w:ilvl="0" w:tplc="0409000F">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15:restartNumberingAfterBreak="0">
    <w:nsid w:val="5A344627"/>
    <w:multiLevelType w:val="hybridMultilevel"/>
    <w:tmpl w:val="00A281DE"/>
    <w:lvl w:ilvl="0" w:tplc="B426A3CC">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AD86CEC"/>
    <w:multiLevelType w:val="hybridMultilevel"/>
    <w:tmpl w:val="E1F4E8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3" w15:restartNumberingAfterBreak="0">
    <w:nsid w:val="5C322B57"/>
    <w:multiLevelType w:val="hybridMultilevel"/>
    <w:tmpl w:val="CC463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CFA273E"/>
    <w:multiLevelType w:val="hybridMultilevel"/>
    <w:tmpl w:val="80024C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5" w15:restartNumberingAfterBreak="0">
    <w:nsid w:val="5DB2379E"/>
    <w:multiLevelType w:val="hybridMultilevel"/>
    <w:tmpl w:val="B622D5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DB81C01"/>
    <w:multiLevelType w:val="hybridMultilevel"/>
    <w:tmpl w:val="2BCA4772"/>
    <w:lvl w:ilvl="0" w:tplc="BBBA5394">
      <w:start w:val="37"/>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E5B0579"/>
    <w:multiLevelType w:val="hybridMultilevel"/>
    <w:tmpl w:val="4C9689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8" w15:restartNumberingAfterBreak="0">
    <w:nsid w:val="5F18746A"/>
    <w:multiLevelType w:val="hybridMultilevel"/>
    <w:tmpl w:val="4F06101C"/>
    <w:lvl w:ilvl="0" w:tplc="04090017">
      <w:start w:val="1"/>
      <w:numFmt w:val="lowerLetter"/>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5F9D595F"/>
    <w:multiLevelType w:val="hybridMultilevel"/>
    <w:tmpl w:val="AE34A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FF03DA3"/>
    <w:multiLevelType w:val="hybridMultilevel"/>
    <w:tmpl w:val="A8A2C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01436C1"/>
    <w:multiLevelType w:val="hybridMultilevel"/>
    <w:tmpl w:val="B33A6D64"/>
    <w:lvl w:ilvl="0" w:tplc="9AB6CCA8">
      <w:start w:val="1"/>
      <w:numFmt w:val="decimal"/>
      <w:lvlText w:val="%1."/>
      <w:lvlJc w:val="left"/>
      <w:pPr>
        <w:ind w:left="720" w:hanging="360"/>
      </w:pPr>
      <w:rPr>
        <w:b/>
        <w:u w:val="none"/>
      </w:rPr>
    </w:lvl>
    <w:lvl w:ilvl="1" w:tplc="04090015">
      <w:start w:val="1"/>
      <w:numFmt w:val="upperLetter"/>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06D721A"/>
    <w:multiLevelType w:val="hybridMultilevel"/>
    <w:tmpl w:val="AE16026E"/>
    <w:lvl w:ilvl="0" w:tplc="B426A3CC">
      <w:start w:val="1"/>
      <w:numFmt w:val="bullet"/>
      <w:lvlText w:val=""/>
      <w:lvlJc w:val="left"/>
      <w:pPr>
        <w:ind w:left="2160" w:hanging="360"/>
      </w:pPr>
      <w:rPr>
        <w:rFonts w:ascii="Symbol" w:hAnsi="Symbol" w:hint="default"/>
        <w:b/>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3" w15:restartNumberingAfterBreak="0">
    <w:nsid w:val="61541458"/>
    <w:multiLevelType w:val="hybridMultilevel"/>
    <w:tmpl w:val="578AB65C"/>
    <w:lvl w:ilvl="0" w:tplc="DC8C8C0A">
      <w:start w:val="1"/>
      <w:numFmt w:val="lowerRoman"/>
      <w:lvlText w:val="%1."/>
      <w:lvlJc w:val="left"/>
      <w:pPr>
        <w:ind w:left="2160" w:hanging="360"/>
      </w:pPr>
      <w:rPr>
        <w:rFonts w:hint="default"/>
        <w:b/>
        <w:bCs/>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4" w15:restartNumberingAfterBreak="0">
    <w:nsid w:val="643E745B"/>
    <w:multiLevelType w:val="hybridMultilevel"/>
    <w:tmpl w:val="81A8A42E"/>
    <w:lvl w:ilvl="0" w:tplc="1DF81610">
      <w:start w:val="1"/>
      <w:numFmt w:val="lowerRoman"/>
      <w:lvlText w:val="%1."/>
      <w:lvlJc w:val="left"/>
      <w:pPr>
        <w:ind w:left="2160" w:hanging="360"/>
      </w:pPr>
      <w:rPr>
        <w:rFonts w:hint="default"/>
        <w:b/>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5" w15:restartNumberingAfterBreak="0">
    <w:nsid w:val="646F3184"/>
    <w:multiLevelType w:val="multilevel"/>
    <w:tmpl w:val="DFA4162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bullet"/>
      <w:lvlText w:val=""/>
      <w:lvlJc w:val="left"/>
      <w:pPr>
        <w:ind w:left="1440" w:hanging="360"/>
      </w:pPr>
      <w:rPr>
        <w:rFonts w:ascii="Symbol" w:hAnsi="Symbol" w:hint="default"/>
        <w:b/>
        <w:i w:val="0"/>
      </w:rPr>
    </w:lvl>
    <w:lvl w:ilvl="3">
      <w:start w:val="1"/>
      <w:numFmt w:val="bullet"/>
      <w:lvlText w:val=""/>
      <w:lvlJc w:val="left"/>
      <w:pPr>
        <w:ind w:left="1800" w:hanging="360"/>
      </w:pPr>
      <w:rPr>
        <w:rFonts w:ascii="Symbol" w:hAnsi="Symbol"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6" w15:restartNumberingAfterBreak="0">
    <w:nsid w:val="64874F83"/>
    <w:multiLevelType w:val="hybridMultilevel"/>
    <w:tmpl w:val="A466624E"/>
    <w:lvl w:ilvl="0" w:tplc="E0A0DE20">
      <w:start w:val="1"/>
      <w:numFmt w:val="lowerRoman"/>
      <w:lvlText w:val="%1."/>
      <w:lvlJc w:val="left"/>
      <w:pPr>
        <w:ind w:left="144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4B25651"/>
    <w:multiLevelType w:val="hybridMultilevel"/>
    <w:tmpl w:val="3DB81340"/>
    <w:lvl w:ilvl="0" w:tplc="DC8C8C0A">
      <w:start w:val="1"/>
      <w:numFmt w:val="lowerRoman"/>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5DB54B7"/>
    <w:multiLevelType w:val="hybridMultilevel"/>
    <w:tmpl w:val="95E856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9" w15:restartNumberingAfterBreak="0">
    <w:nsid w:val="69076E71"/>
    <w:multiLevelType w:val="hybridMultilevel"/>
    <w:tmpl w:val="80F4AD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93D1B8D"/>
    <w:multiLevelType w:val="hybridMultilevel"/>
    <w:tmpl w:val="756AE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9495AFA"/>
    <w:multiLevelType w:val="hybridMultilevel"/>
    <w:tmpl w:val="1BCC9FD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A6743B2"/>
    <w:multiLevelType w:val="hybridMultilevel"/>
    <w:tmpl w:val="A76A354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CF075A2"/>
    <w:multiLevelType w:val="multilevel"/>
    <w:tmpl w:val="3E50EC96"/>
    <w:lvl w:ilvl="0">
      <w:start w:val="12"/>
      <w:numFmt w:val="decimal"/>
      <w:lvlText w:val="%1."/>
      <w:lvlJc w:val="left"/>
      <w:pPr>
        <w:ind w:left="360" w:hanging="360"/>
      </w:pPr>
      <w:rPr>
        <w:rFonts w:hint="default"/>
      </w:rPr>
    </w:lvl>
    <w:lvl w:ilvl="1">
      <w:start w:val="10"/>
      <w:numFmt w:val="decimal"/>
      <w:lvlText w:val="%2."/>
      <w:lvlJc w:val="left"/>
      <w:pPr>
        <w:ind w:left="720" w:hanging="360"/>
      </w:pPr>
      <w:rPr>
        <w:rFonts w:hint="default"/>
      </w:rPr>
    </w:lvl>
    <w:lvl w:ilvl="2">
      <w:start w:val="1"/>
      <w:numFmt w:val="upperLetter"/>
      <w:lvlText w:val="%3."/>
      <w:lvlJc w:val="right"/>
      <w:pPr>
        <w:ind w:left="1440" w:hanging="360"/>
      </w:pPr>
      <w:rPr>
        <w:rFonts w:hint="default"/>
        <w:b/>
        <w:i w:val="0"/>
      </w:rPr>
    </w:lvl>
    <w:lvl w:ilvl="3">
      <w:start w:val="1"/>
      <w:numFmt w:val="upperLetter"/>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4" w15:restartNumberingAfterBreak="0">
    <w:nsid w:val="6F393229"/>
    <w:multiLevelType w:val="hybridMultilevel"/>
    <w:tmpl w:val="F66AC584"/>
    <w:lvl w:ilvl="0" w:tplc="04090015">
      <w:start w:val="1"/>
      <w:numFmt w:val="upperLetter"/>
      <w:lvlText w:val="%1."/>
      <w:lvlJc w:val="left"/>
      <w:pPr>
        <w:ind w:left="1080" w:hanging="720"/>
      </w:pPr>
      <w:rPr>
        <w:rFonts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F6A0F53"/>
    <w:multiLevelType w:val="multilevel"/>
    <w:tmpl w:val="6D5CE57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lef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6" w15:restartNumberingAfterBreak="0">
    <w:nsid w:val="707E63AF"/>
    <w:multiLevelType w:val="hybridMultilevel"/>
    <w:tmpl w:val="E3D4C960"/>
    <w:lvl w:ilvl="0" w:tplc="04090001">
      <w:start w:val="1"/>
      <w:numFmt w:val="bullet"/>
      <w:lvlText w:val=""/>
      <w:lvlJc w:val="left"/>
      <w:pPr>
        <w:ind w:left="1094" w:hanging="360"/>
      </w:pPr>
      <w:rPr>
        <w:rFonts w:ascii="Symbol" w:hAnsi="Symbol"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147" w15:restartNumberingAfterBreak="0">
    <w:nsid w:val="709D172A"/>
    <w:multiLevelType w:val="multilevel"/>
    <w:tmpl w:val="2238064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left"/>
      <w:pPr>
        <w:ind w:left="1440" w:hanging="360"/>
      </w:pPr>
      <w:rPr>
        <w:rFonts w:hint="default"/>
        <w:b/>
        <w:i w:val="0"/>
      </w:rPr>
    </w:lvl>
    <w:lvl w:ilvl="3">
      <w:start w:val="1"/>
      <w:numFmt w:val="lowerRoman"/>
      <w:lvlText w:val="%4."/>
      <w:lvlJc w:val="left"/>
      <w:pPr>
        <w:ind w:left="1800" w:hanging="360"/>
      </w:pPr>
      <w:rPr>
        <w:rFonts w:hint="default"/>
        <w:b/>
        <w:i w:val="0"/>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8" w15:restartNumberingAfterBreak="0">
    <w:nsid w:val="70BE0754"/>
    <w:multiLevelType w:val="multilevel"/>
    <w:tmpl w:val="8654EA5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rPr>
    </w:lvl>
    <w:lvl w:ilvl="2">
      <w:start w:val="1"/>
      <w:numFmt w:val="upperLetter"/>
      <w:lvlText w:val="%3."/>
      <w:lvlJc w:val="righ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9" w15:restartNumberingAfterBreak="0">
    <w:nsid w:val="70E13DC7"/>
    <w:multiLevelType w:val="hybridMultilevel"/>
    <w:tmpl w:val="91CCDB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0" w15:restartNumberingAfterBreak="0">
    <w:nsid w:val="70E26398"/>
    <w:multiLevelType w:val="hybridMultilevel"/>
    <w:tmpl w:val="61DC93F0"/>
    <w:lvl w:ilvl="0" w:tplc="0CE4FF14">
      <w:start w:val="1"/>
      <w:numFmt w:val="bullet"/>
      <w:lvlText w:val=""/>
      <w:lvlJc w:val="left"/>
      <w:pPr>
        <w:ind w:left="1440" w:hanging="360"/>
      </w:pPr>
      <w:rPr>
        <w:rFonts w:ascii="Symbol" w:hAnsi="Symbol"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1" w15:restartNumberingAfterBreak="0">
    <w:nsid w:val="713D05EF"/>
    <w:multiLevelType w:val="hybridMultilevel"/>
    <w:tmpl w:val="B92EAF4E"/>
    <w:lvl w:ilvl="0" w:tplc="DEA85F10">
      <w:start w:val="1"/>
      <w:numFmt w:val="decimal"/>
      <w:lvlText w:val="%1."/>
      <w:lvlJc w:val="left"/>
      <w:pPr>
        <w:ind w:left="144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172641F"/>
    <w:multiLevelType w:val="hybridMultilevel"/>
    <w:tmpl w:val="902EBDF6"/>
    <w:lvl w:ilvl="0" w:tplc="57A23502">
      <w:start w:val="57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2480608"/>
    <w:multiLevelType w:val="hybridMultilevel"/>
    <w:tmpl w:val="6CDE0D62"/>
    <w:lvl w:ilvl="0" w:tplc="F490F94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38C0722"/>
    <w:multiLevelType w:val="multilevel"/>
    <w:tmpl w:val="0CD827DC"/>
    <w:lvl w:ilvl="0">
      <w:start w:val="10"/>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lef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5" w15:restartNumberingAfterBreak="0">
    <w:nsid w:val="74C3232F"/>
    <w:multiLevelType w:val="hybridMultilevel"/>
    <w:tmpl w:val="1AFED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74EB2C27"/>
    <w:multiLevelType w:val="multilevel"/>
    <w:tmpl w:val="A530CB3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rPr>
    </w:lvl>
    <w:lvl w:ilvl="2">
      <w:start w:val="11"/>
      <w:numFmt w:val="upperLetter"/>
      <w:lvlText w:val="%3."/>
      <w:lvlJc w:val="righ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7" w15:restartNumberingAfterBreak="0">
    <w:nsid w:val="753E1529"/>
    <w:multiLevelType w:val="hybridMultilevel"/>
    <w:tmpl w:val="E56030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5AD4E84"/>
    <w:multiLevelType w:val="hybridMultilevel"/>
    <w:tmpl w:val="B95A39DC"/>
    <w:lvl w:ilvl="0" w:tplc="DC8C8C0A">
      <w:start w:val="1"/>
      <w:numFmt w:val="lowerRoman"/>
      <w:lvlText w:val="%1."/>
      <w:lvlJc w:val="left"/>
      <w:pPr>
        <w:ind w:left="720" w:hanging="360"/>
      </w:pPr>
      <w:rPr>
        <w:rFonts w:hint="default"/>
        <w:b/>
        <w:bC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8AC40BF"/>
    <w:multiLevelType w:val="hybridMultilevel"/>
    <w:tmpl w:val="A2ECB908"/>
    <w:lvl w:ilvl="0" w:tplc="B426A3CC">
      <w:start w:val="1"/>
      <w:numFmt w:val="bullet"/>
      <w:lvlText w:val=""/>
      <w:lvlJc w:val="left"/>
      <w:pPr>
        <w:ind w:left="720" w:hanging="360"/>
      </w:pPr>
      <w:rPr>
        <w:rFonts w:ascii="Symbol" w:hAnsi="Symbol" w:hint="default"/>
        <w:b/>
      </w:rPr>
    </w:lvl>
    <w:lvl w:ilvl="1" w:tplc="14205588">
      <w:start w:val="1"/>
      <w:numFmt w:val="bullet"/>
      <w:lvlText w:val=""/>
      <w:lvlJc w:val="left"/>
      <w:pPr>
        <w:ind w:left="1440" w:hanging="360"/>
      </w:pPr>
      <w:rPr>
        <w:rFonts w:ascii="Symbol" w:hAnsi="Symbol"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A670C24"/>
    <w:multiLevelType w:val="hybridMultilevel"/>
    <w:tmpl w:val="FF4CD3B2"/>
    <w:lvl w:ilvl="0" w:tplc="45B0BECA">
      <w:start w:val="3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7D9D4961"/>
    <w:multiLevelType w:val="hybridMultilevel"/>
    <w:tmpl w:val="B9CE8A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7DE74E1B"/>
    <w:multiLevelType w:val="hybridMultilevel"/>
    <w:tmpl w:val="556A2238"/>
    <w:lvl w:ilvl="0" w:tplc="42623DA4">
      <w:start w:val="1"/>
      <w:numFmt w:val="lowerRoman"/>
      <w:lvlText w:val="%1."/>
      <w:lvlJc w:val="left"/>
      <w:pPr>
        <w:ind w:left="144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7F0F357B"/>
    <w:multiLevelType w:val="hybridMultilevel"/>
    <w:tmpl w:val="2808FFDE"/>
    <w:lvl w:ilvl="0" w:tplc="379E2106">
      <w:start w:val="1"/>
      <w:numFmt w:val="upperLetter"/>
      <w:lvlText w:val="%1."/>
      <w:lvlJc w:val="left"/>
      <w:pPr>
        <w:ind w:left="720" w:hanging="360"/>
      </w:pPr>
      <w:rPr>
        <w:b/>
        <w:bCs/>
      </w:rPr>
    </w:lvl>
    <w:lvl w:ilvl="1" w:tplc="70A038DC">
      <w:start w:val="1"/>
      <w:numFmt w:val="decimal"/>
      <w:lvlText w:val="%2."/>
      <w:lvlJc w:val="left"/>
      <w:pPr>
        <w:ind w:left="1440" w:hanging="360"/>
      </w:pPr>
      <w:rPr>
        <w:rFonts w:hint="default"/>
        <w:b/>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98174614">
    <w:abstractNumId w:val="34"/>
  </w:num>
  <w:num w:numId="2" w16cid:durableId="1692223432">
    <w:abstractNumId w:val="20"/>
  </w:num>
  <w:num w:numId="3" w16cid:durableId="1170293579">
    <w:abstractNumId w:val="111"/>
  </w:num>
  <w:num w:numId="4" w16cid:durableId="1724137367">
    <w:abstractNumId w:val="132"/>
  </w:num>
  <w:num w:numId="5" w16cid:durableId="1113016087">
    <w:abstractNumId w:val="101"/>
  </w:num>
  <w:num w:numId="6" w16cid:durableId="1571772959">
    <w:abstractNumId w:val="11"/>
  </w:num>
  <w:num w:numId="7" w16cid:durableId="661155636">
    <w:abstractNumId w:val="130"/>
  </w:num>
  <w:num w:numId="8" w16cid:durableId="902108075">
    <w:abstractNumId w:val="145"/>
  </w:num>
  <w:num w:numId="9" w16cid:durableId="1300452817">
    <w:abstractNumId w:val="92"/>
  </w:num>
  <w:num w:numId="10" w16cid:durableId="144199182">
    <w:abstractNumId w:val="147"/>
  </w:num>
  <w:num w:numId="11" w16cid:durableId="2067214965">
    <w:abstractNumId w:val="84"/>
  </w:num>
  <w:num w:numId="12" w16cid:durableId="2102600839">
    <w:abstractNumId w:val="117"/>
  </w:num>
  <w:num w:numId="13" w16cid:durableId="2037196987">
    <w:abstractNumId w:val="15"/>
  </w:num>
  <w:num w:numId="14" w16cid:durableId="1211383421">
    <w:abstractNumId w:val="118"/>
  </w:num>
  <w:num w:numId="15" w16cid:durableId="223108415">
    <w:abstractNumId w:val="150"/>
  </w:num>
  <w:num w:numId="16" w16cid:durableId="927664601">
    <w:abstractNumId w:val="79"/>
  </w:num>
  <w:num w:numId="17" w16cid:durableId="1215895166">
    <w:abstractNumId w:val="157"/>
  </w:num>
  <w:num w:numId="18" w16cid:durableId="228536438">
    <w:abstractNumId w:val="139"/>
  </w:num>
  <w:num w:numId="19" w16cid:durableId="1667512118">
    <w:abstractNumId w:val="142"/>
  </w:num>
  <w:num w:numId="20" w16cid:durableId="1193765167">
    <w:abstractNumId w:val="53"/>
  </w:num>
  <w:num w:numId="21" w16cid:durableId="1238130992">
    <w:abstractNumId w:val="141"/>
  </w:num>
  <w:num w:numId="22" w16cid:durableId="272444651">
    <w:abstractNumId w:val="109"/>
  </w:num>
  <w:num w:numId="23" w16cid:durableId="1677535689">
    <w:abstractNumId w:val="153"/>
  </w:num>
  <w:num w:numId="24" w16cid:durableId="1466778946">
    <w:abstractNumId w:val="161"/>
  </w:num>
  <w:num w:numId="25" w16cid:durableId="1123886098">
    <w:abstractNumId w:val="116"/>
  </w:num>
  <w:num w:numId="26" w16cid:durableId="1613856184">
    <w:abstractNumId w:val="42"/>
  </w:num>
  <w:num w:numId="27" w16cid:durableId="974945395">
    <w:abstractNumId w:val="4"/>
  </w:num>
  <w:num w:numId="28" w16cid:durableId="1618946652">
    <w:abstractNumId w:val="67"/>
  </w:num>
  <w:num w:numId="29" w16cid:durableId="987978253">
    <w:abstractNumId w:val="28"/>
  </w:num>
  <w:num w:numId="30" w16cid:durableId="846362018">
    <w:abstractNumId w:val="114"/>
  </w:num>
  <w:num w:numId="31" w16cid:durableId="378021311">
    <w:abstractNumId w:val="82"/>
  </w:num>
  <w:num w:numId="32" w16cid:durableId="739211885">
    <w:abstractNumId w:val="27"/>
  </w:num>
  <w:num w:numId="33" w16cid:durableId="118573132">
    <w:abstractNumId w:val="69"/>
  </w:num>
  <w:num w:numId="34" w16cid:durableId="2099792157">
    <w:abstractNumId w:val="154"/>
  </w:num>
  <w:num w:numId="35" w16cid:durableId="330109708">
    <w:abstractNumId w:val="93"/>
  </w:num>
  <w:num w:numId="36" w16cid:durableId="308483837">
    <w:abstractNumId w:val="83"/>
  </w:num>
  <w:num w:numId="37" w16cid:durableId="1556357551">
    <w:abstractNumId w:val="85"/>
  </w:num>
  <w:num w:numId="38" w16cid:durableId="825895551">
    <w:abstractNumId w:val="65"/>
  </w:num>
  <w:num w:numId="39" w16cid:durableId="1860240219">
    <w:abstractNumId w:val="104"/>
  </w:num>
  <w:num w:numId="40" w16cid:durableId="1714650401">
    <w:abstractNumId w:val="115"/>
  </w:num>
  <w:num w:numId="41" w16cid:durableId="574122159">
    <w:abstractNumId w:val="143"/>
  </w:num>
  <w:num w:numId="42" w16cid:durableId="1207991235">
    <w:abstractNumId w:val="48"/>
  </w:num>
  <w:num w:numId="43" w16cid:durableId="301470087">
    <w:abstractNumId w:val="77"/>
  </w:num>
  <w:num w:numId="44" w16cid:durableId="673000404">
    <w:abstractNumId w:val="95"/>
  </w:num>
  <w:num w:numId="45" w16cid:durableId="967468807">
    <w:abstractNumId w:val="122"/>
  </w:num>
  <w:num w:numId="46" w16cid:durableId="1274358851">
    <w:abstractNumId w:val="46"/>
  </w:num>
  <w:num w:numId="47" w16cid:durableId="2087067502">
    <w:abstractNumId w:val="21"/>
  </w:num>
  <w:num w:numId="48" w16cid:durableId="810247764">
    <w:abstractNumId w:val="160"/>
  </w:num>
  <w:num w:numId="49" w16cid:durableId="1495409873">
    <w:abstractNumId w:val="126"/>
  </w:num>
  <w:num w:numId="50" w16cid:durableId="9989633">
    <w:abstractNumId w:val="110"/>
  </w:num>
  <w:num w:numId="51" w16cid:durableId="649558544">
    <w:abstractNumId w:val="19"/>
  </w:num>
  <w:num w:numId="52" w16cid:durableId="452672877">
    <w:abstractNumId w:val="91"/>
  </w:num>
  <w:num w:numId="53" w16cid:durableId="1649822162">
    <w:abstractNumId w:val="140"/>
  </w:num>
  <w:num w:numId="54" w16cid:durableId="824009712">
    <w:abstractNumId w:val="9"/>
  </w:num>
  <w:num w:numId="55" w16cid:durableId="1682582684">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18864479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264143563">
    <w:abstractNumId w:val="43"/>
  </w:num>
  <w:num w:numId="58" w16cid:durableId="306596244">
    <w:abstractNumId w:val="128"/>
  </w:num>
  <w:num w:numId="59" w16cid:durableId="1481801669">
    <w:abstractNumId w:val="24"/>
  </w:num>
  <w:num w:numId="60" w16cid:durableId="30963304">
    <w:abstractNumId w:val="32"/>
  </w:num>
  <w:num w:numId="61" w16cid:durableId="1082945107">
    <w:abstractNumId w:val="58"/>
  </w:num>
  <w:num w:numId="62" w16cid:durableId="739986560">
    <w:abstractNumId w:val="88"/>
  </w:num>
  <w:num w:numId="63" w16cid:durableId="54591610">
    <w:abstractNumId w:val="38"/>
  </w:num>
  <w:num w:numId="64" w16cid:durableId="1536430420">
    <w:abstractNumId w:val="47"/>
  </w:num>
  <w:num w:numId="65" w16cid:durableId="1409688884">
    <w:abstractNumId w:val="50"/>
  </w:num>
  <w:num w:numId="66" w16cid:durableId="1581715032">
    <w:abstractNumId w:val="55"/>
  </w:num>
  <w:num w:numId="67" w16cid:durableId="1176574644">
    <w:abstractNumId w:val="148"/>
  </w:num>
  <w:num w:numId="68" w16cid:durableId="208808843">
    <w:abstractNumId w:val="16"/>
  </w:num>
  <w:num w:numId="69" w16cid:durableId="1210339410">
    <w:abstractNumId w:val="41"/>
  </w:num>
  <w:num w:numId="70" w16cid:durableId="733820086">
    <w:abstractNumId w:val="113"/>
  </w:num>
  <w:num w:numId="71" w16cid:durableId="1467162040">
    <w:abstractNumId w:val="5"/>
  </w:num>
  <w:num w:numId="72" w16cid:durableId="869417348">
    <w:abstractNumId w:val="155"/>
  </w:num>
  <w:num w:numId="73" w16cid:durableId="1595434839">
    <w:abstractNumId w:val="99"/>
  </w:num>
  <w:num w:numId="74" w16cid:durableId="1659115227">
    <w:abstractNumId w:val="6"/>
  </w:num>
  <w:num w:numId="75" w16cid:durableId="982853506">
    <w:abstractNumId w:val="1"/>
  </w:num>
  <w:num w:numId="76" w16cid:durableId="1446541082">
    <w:abstractNumId w:val="8"/>
  </w:num>
  <w:num w:numId="77" w16cid:durableId="242305350">
    <w:abstractNumId w:val="163"/>
  </w:num>
  <w:num w:numId="78" w16cid:durableId="1648129684">
    <w:abstractNumId w:val="22"/>
  </w:num>
  <w:num w:numId="79" w16cid:durableId="335042487">
    <w:abstractNumId w:val="112"/>
  </w:num>
  <w:num w:numId="80" w16cid:durableId="937102521">
    <w:abstractNumId w:val="17"/>
  </w:num>
  <w:num w:numId="81" w16cid:durableId="150021380">
    <w:abstractNumId w:val="151"/>
  </w:num>
  <w:num w:numId="82" w16cid:durableId="623538686">
    <w:abstractNumId w:val="100"/>
  </w:num>
  <w:num w:numId="83" w16cid:durableId="1350837209">
    <w:abstractNumId w:val="10"/>
  </w:num>
  <w:num w:numId="84" w16cid:durableId="2013750618">
    <w:abstractNumId w:val="29"/>
  </w:num>
  <w:num w:numId="85" w16cid:durableId="1091775107">
    <w:abstractNumId w:val="68"/>
  </w:num>
  <w:num w:numId="86" w16cid:durableId="1757020243">
    <w:abstractNumId w:val="108"/>
  </w:num>
  <w:num w:numId="87" w16cid:durableId="93942596">
    <w:abstractNumId w:val="102"/>
  </w:num>
  <w:num w:numId="88" w16cid:durableId="576788269">
    <w:abstractNumId w:val="75"/>
  </w:num>
  <w:num w:numId="89" w16cid:durableId="1347250521">
    <w:abstractNumId w:val="96"/>
  </w:num>
  <w:num w:numId="90" w16cid:durableId="1582762155">
    <w:abstractNumId w:val="152"/>
  </w:num>
  <w:num w:numId="91" w16cid:durableId="1941179296">
    <w:abstractNumId w:val="146"/>
  </w:num>
  <w:num w:numId="92" w16cid:durableId="2040471394">
    <w:abstractNumId w:val="127"/>
  </w:num>
  <w:num w:numId="93" w16cid:durableId="68695858">
    <w:abstractNumId w:val="78"/>
  </w:num>
  <w:num w:numId="94" w16cid:durableId="1912041096">
    <w:abstractNumId w:val="23"/>
  </w:num>
  <w:num w:numId="95" w16cid:durableId="720255502">
    <w:abstractNumId w:val="30"/>
  </w:num>
  <w:num w:numId="96" w16cid:durableId="738360153">
    <w:abstractNumId w:val="45"/>
  </w:num>
  <w:num w:numId="97" w16cid:durableId="1555699334">
    <w:abstractNumId w:val="60"/>
  </w:num>
  <w:num w:numId="98" w16cid:durableId="1498183989">
    <w:abstractNumId w:val="2"/>
  </w:num>
  <w:num w:numId="99" w16cid:durableId="341904601">
    <w:abstractNumId w:val="123"/>
  </w:num>
  <w:num w:numId="100" w16cid:durableId="66657189">
    <w:abstractNumId w:val="119"/>
  </w:num>
  <w:num w:numId="101" w16cid:durableId="406653081">
    <w:abstractNumId w:val="14"/>
  </w:num>
  <w:num w:numId="102" w16cid:durableId="640159158">
    <w:abstractNumId w:val="13"/>
  </w:num>
  <w:num w:numId="103" w16cid:durableId="978532926">
    <w:abstractNumId w:val="37"/>
  </w:num>
  <w:num w:numId="104" w16cid:durableId="667099303">
    <w:abstractNumId w:val="135"/>
  </w:num>
  <w:num w:numId="105" w16cid:durableId="1326586151">
    <w:abstractNumId w:val="49"/>
  </w:num>
  <w:num w:numId="106" w16cid:durableId="638268010">
    <w:abstractNumId w:val="94"/>
  </w:num>
  <w:num w:numId="107" w16cid:durableId="57825823">
    <w:abstractNumId w:val="125"/>
  </w:num>
  <w:num w:numId="108" w16cid:durableId="536239163">
    <w:abstractNumId w:val="25"/>
  </w:num>
  <w:num w:numId="109" w16cid:durableId="1957835134">
    <w:abstractNumId w:val="120"/>
  </w:num>
  <w:num w:numId="110" w16cid:durableId="627591031">
    <w:abstractNumId w:val="7"/>
  </w:num>
  <w:num w:numId="111" w16cid:durableId="2973986">
    <w:abstractNumId w:val="74"/>
  </w:num>
  <w:num w:numId="112" w16cid:durableId="1587303244">
    <w:abstractNumId w:val="105"/>
  </w:num>
  <w:num w:numId="113" w16cid:durableId="1988826557">
    <w:abstractNumId w:val="98"/>
  </w:num>
  <w:num w:numId="114" w16cid:durableId="459499793">
    <w:abstractNumId w:val="106"/>
  </w:num>
  <w:num w:numId="115" w16cid:durableId="1894735773">
    <w:abstractNumId w:val="138"/>
  </w:num>
  <w:num w:numId="116" w16cid:durableId="464348827">
    <w:abstractNumId w:val="72"/>
  </w:num>
  <w:num w:numId="117" w16cid:durableId="518011478">
    <w:abstractNumId w:val="107"/>
  </w:num>
  <w:num w:numId="118" w16cid:durableId="817382558">
    <w:abstractNumId w:val="61"/>
  </w:num>
  <w:num w:numId="119" w16cid:durableId="198203807">
    <w:abstractNumId w:val="59"/>
  </w:num>
  <w:num w:numId="120" w16cid:durableId="1667442881">
    <w:abstractNumId w:val="40"/>
  </w:num>
  <w:num w:numId="121" w16cid:durableId="1584336081">
    <w:abstractNumId w:val="33"/>
  </w:num>
  <w:num w:numId="122" w16cid:durableId="1885747343">
    <w:abstractNumId w:val="57"/>
  </w:num>
  <w:num w:numId="123" w16cid:durableId="1989700481">
    <w:abstractNumId w:val="35"/>
  </w:num>
  <w:num w:numId="124" w16cid:durableId="1467502563">
    <w:abstractNumId w:val="12"/>
  </w:num>
  <w:num w:numId="125" w16cid:durableId="387581805">
    <w:abstractNumId w:val="134"/>
  </w:num>
  <w:num w:numId="126" w16cid:durableId="1054474694">
    <w:abstractNumId w:val="131"/>
  </w:num>
  <w:num w:numId="127" w16cid:durableId="1644382683">
    <w:abstractNumId w:val="36"/>
  </w:num>
  <w:num w:numId="128" w16cid:durableId="980110616">
    <w:abstractNumId w:val="103"/>
  </w:num>
  <w:num w:numId="129" w16cid:durableId="295568857">
    <w:abstractNumId w:val="121"/>
  </w:num>
  <w:num w:numId="130" w16cid:durableId="1585381938">
    <w:abstractNumId w:val="26"/>
  </w:num>
  <w:num w:numId="131" w16cid:durableId="380520646">
    <w:abstractNumId w:val="159"/>
  </w:num>
  <w:num w:numId="132" w16cid:durableId="1386904577">
    <w:abstractNumId w:val="86"/>
  </w:num>
  <w:num w:numId="133" w16cid:durableId="1504585348">
    <w:abstractNumId w:val="18"/>
  </w:num>
  <w:num w:numId="134" w16cid:durableId="1502354605">
    <w:abstractNumId w:val="56"/>
  </w:num>
  <w:num w:numId="135" w16cid:durableId="738208754">
    <w:abstractNumId w:val="144"/>
  </w:num>
  <w:num w:numId="136" w16cid:durableId="2088184497">
    <w:abstractNumId w:val="90"/>
  </w:num>
  <w:num w:numId="137" w16cid:durableId="827398898">
    <w:abstractNumId w:val="136"/>
  </w:num>
  <w:num w:numId="138" w16cid:durableId="1099522547">
    <w:abstractNumId w:val="0"/>
  </w:num>
  <w:num w:numId="139" w16cid:durableId="320819404">
    <w:abstractNumId w:val="162"/>
  </w:num>
  <w:num w:numId="140" w16cid:durableId="777329851">
    <w:abstractNumId w:val="31"/>
  </w:num>
  <w:num w:numId="141" w16cid:durableId="1786659708">
    <w:abstractNumId w:val="81"/>
  </w:num>
  <w:num w:numId="142" w16cid:durableId="129641157">
    <w:abstractNumId w:val="63"/>
  </w:num>
  <w:num w:numId="143" w16cid:durableId="1835219556">
    <w:abstractNumId w:val="137"/>
  </w:num>
  <w:num w:numId="144" w16cid:durableId="729035580">
    <w:abstractNumId w:val="80"/>
  </w:num>
  <w:num w:numId="145" w16cid:durableId="1981614079">
    <w:abstractNumId w:val="44"/>
  </w:num>
  <w:num w:numId="146" w16cid:durableId="682246752">
    <w:abstractNumId w:val="51"/>
  </w:num>
  <w:num w:numId="147" w16cid:durableId="1770271889">
    <w:abstractNumId w:val="129"/>
  </w:num>
  <w:num w:numId="148" w16cid:durableId="923226820">
    <w:abstractNumId w:val="87"/>
  </w:num>
  <w:num w:numId="149" w16cid:durableId="362562070">
    <w:abstractNumId w:val="97"/>
  </w:num>
  <w:num w:numId="150" w16cid:durableId="1778058102">
    <w:abstractNumId w:val="70"/>
  </w:num>
  <w:num w:numId="151" w16cid:durableId="684788226">
    <w:abstractNumId w:val="158"/>
  </w:num>
  <w:num w:numId="152" w16cid:durableId="481771823">
    <w:abstractNumId w:val="71"/>
  </w:num>
  <w:num w:numId="153" w16cid:durableId="343630829">
    <w:abstractNumId w:val="133"/>
  </w:num>
  <w:num w:numId="154" w16cid:durableId="1573076686">
    <w:abstractNumId w:val="54"/>
  </w:num>
  <w:num w:numId="155" w16cid:durableId="1524705434">
    <w:abstractNumId w:val="39"/>
  </w:num>
  <w:num w:numId="156" w16cid:durableId="1495026255">
    <w:abstractNumId w:val="64"/>
  </w:num>
  <w:num w:numId="157" w16cid:durableId="995108106">
    <w:abstractNumId w:val="66"/>
  </w:num>
  <w:num w:numId="158" w16cid:durableId="1069304741">
    <w:abstractNumId w:val="52"/>
  </w:num>
  <w:num w:numId="159" w16cid:durableId="1002783544">
    <w:abstractNumId w:val="76"/>
  </w:num>
  <w:num w:numId="160" w16cid:durableId="283735267">
    <w:abstractNumId w:val="3"/>
  </w:num>
  <w:num w:numId="161" w16cid:durableId="1706323248">
    <w:abstractNumId w:val="73"/>
  </w:num>
  <w:num w:numId="162" w16cid:durableId="1838108381">
    <w:abstractNumId w:val="62"/>
  </w:num>
  <w:num w:numId="163" w16cid:durableId="1765221621">
    <w:abstractNumId w:val="156"/>
  </w:num>
  <w:num w:numId="164" w16cid:durableId="1546987208">
    <w:abstractNumId w:val="149"/>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87"/>
  <w:drawingGridVerticalSpacing w:val="187"/>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7F49"/>
    <w:rsid w:val="00000BC3"/>
    <w:rsid w:val="0000116B"/>
    <w:rsid w:val="000011BB"/>
    <w:rsid w:val="000035B2"/>
    <w:rsid w:val="0000403F"/>
    <w:rsid w:val="0000665F"/>
    <w:rsid w:val="00006C31"/>
    <w:rsid w:val="000102D5"/>
    <w:rsid w:val="0001210A"/>
    <w:rsid w:val="000137EB"/>
    <w:rsid w:val="0001399A"/>
    <w:rsid w:val="00013E4A"/>
    <w:rsid w:val="0001495C"/>
    <w:rsid w:val="00015247"/>
    <w:rsid w:val="000154A8"/>
    <w:rsid w:val="0001582B"/>
    <w:rsid w:val="00015AC0"/>
    <w:rsid w:val="00016652"/>
    <w:rsid w:val="000167A3"/>
    <w:rsid w:val="000203B4"/>
    <w:rsid w:val="0002094C"/>
    <w:rsid w:val="00020AD6"/>
    <w:rsid w:val="0002114F"/>
    <w:rsid w:val="0002195B"/>
    <w:rsid w:val="00023A91"/>
    <w:rsid w:val="00023E66"/>
    <w:rsid w:val="00023FA4"/>
    <w:rsid w:val="000240E7"/>
    <w:rsid w:val="00024308"/>
    <w:rsid w:val="00025E0A"/>
    <w:rsid w:val="00026315"/>
    <w:rsid w:val="00026B14"/>
    <w:rsid w:val="00026EF4"/>
    <w:rsid w:val="0003056B"/>
    <w:rsid w:val="00030C28"/>
    <w:rsid w:val="00031510"/>
    <w:rsid w:val="000318B2"/>
    <w:rsid w:val="000327E4"/>
    <w:rsid w:val="00032971"/>
    <w:rsid w:val="00032EC0"/>
    <w:rsid w:val="00033DB0"/>
    <w:rsid w:val="00034D7E"/>
    <w:rsid w:val="00034D99"/>
    <w:rsid w:val="00035AB4"/>
    <w:rsid w:val="00035FB9"/>
    <w:rsid w:val="00036433"/>
    <w:rsid w:val="00036C5C"/>
    <w:rsid w:val="0003710B"/>
    <w:rsid w:val="00037282"/>
    <w:rsid w:val="0004095D"/>
    <w:rsid w:val="00040D54"/>
    <w:rsid w:val="000418F7"/>
    <w:rsid w:val="000423CC"/>
    <w:rsid w:val="00043803"/>
    <w:rsid w:val="0004409D"/>
    <w:rsid w:val="000459F9"/>
    <w:rsid w:val="0004765F"/>
    <w:rsid w:val="0005060C"/>
    <w:rsid w:val="00050C24"/>
    <w:rsid w:val="00052C90"/>
    <w:rsid w:val="000530AE"/>
    <w:rsid w:val="000530C1"/>
    <w:rsid w:val="00053E57"/>
    <w:rsid w:val="000558EB"/>
    <w:rsid w:val="00056885"/>
    <w:rsid w:val="000602AC"/>
    <w:rsid w:val="0006059F"/>
    <w:rsid w:val="0006076C"/>
    <w:rsid w:val="000610CA"/>
    <w:rsid w:val="0006360E"/>
    <w:rsid w:val="00063667"/>
    <w:rsid w:val="0006460C"/>
    <w:rsid w:val="00064A96"/>
    <w:rsid w:val="00065898"/>
    <w:rsid w:val="00066B7E"/>
    <w:rsid w:val="0006743A"/>
    <w:rsid w:val="00070FCC"/>
    <w:rsid w:val="000745F5"/>
    <w:rsid w:val="00076A34"/>
    <w:rsid w:val="00076E1C"/>
    <w:rsid w:val="00076E57"/>
    <w:rsid w:val="00077190"/>
    <w:rsid w:val="00077A9A"/>
    <w:rsid w:val="000801C5"/>
    <w:rsid w:val="0008357E"/>
    <w:rsid w:val="000837F1"/>
    <w:rsid w:val="00083D25"/>
    <w:rsid w:val="000847DD"/>
    <w:rsid w:val="00084BF8"/>
    <w:rsid w:val="00084FE6"/>
    <w:rsid w:val="000854AE"/>
    <w:rsid w:val="00087F89"/>
    <w:rsid w:val="000906DB"/>
    <w:rsid w:val="00090FEF"/>
    <w:rsid w:val="00091038"/>
    <w:rsid w:val="0009178B"/>
    <w:rsid w:val="000919EC"/>
    <w:rsid w:val="00092D20"/>
    <w:rsid w:val="00093B2B"/>
    <w:rsid w:val="0009459B"/>
    <w:rsid w:val="00094A29"/>
    <w:rsid w:val="00095D4D"/>
    <w:rsid w:val="00096780"/>
    <w:rsid w:val="00096C9D"/>
    <w:rsid w:val="00096F19"/>
    <w:rsid w:val="00097546"/>
    <w:rsid w:val="00097AD1"/>
    <w:rsid w:val="00097EB5"/>
    <w:rsid w:val="00097FEA"/>
    <w:rsid w:val="000A0199"/>
    <w:rsid w:val="000A08A7"/>
    <w:rsid w:val="000A1556"/>
    <w:rsid w:val="000A2354"/>
    <w:rsid w:val="000A2594"/>
    <w:rsid w:val="000A379F"/>
    <w:rsid w:val="000A3A46"/>
    <w:rsid w:val="000A62FE"/>
    <w:rsid w:val="000A6998"/>
    <w:rsid w:val="000A7695"/>
    <w:rsid w:val="000A7C69"/>
    <w:rsid w:val="000A7ED7"/>
    <w:rsid w:val="000B0B55"/>
    <w:rsid w:val="000B0E00"/>
    <w:rsid w:val="000B2F8B"/>
    <w:rsid w:val="000B3112"/>
    <w:rsid w:val="000B36D3"/>
    <w:rsid w:val="000B3C6D"/>
    <w:rsid w:val="000B3EE8"/>
    <w:rsid w:val="000B43DF"/>
    <w:rsid w:val="000B5074"/>
    <w:rsid w:val="000B7AD0"/>
    <w:rsid w:val="000C0E18"/>
    <w:rsid w:val="000C1128"/>
    <w:rsid w:val="000C194F"/>
    <w:rsid w:val="000C1E08"/>
    <w:rsid w:val="000C3C6F"/>
    <w:rsid w:val="000C3CC5"/>
    <w:rsid w:val="000C3DC6"/>
    <w:rsid w:val="000C485B"/>
    <w:rsid w:val="000C5C4F"/>
    <w:rsid w:val="000C6DC7"/>
    <w:rsid w:val="000D0E7F"/>
    <w:rsid w:val="000D1693"/>
    <w:rsid w:val="000D2CB2"/>
    <w:rsid w:val="000D398D"/>
    <w:rsid w:val="000D4224"/>
    <w:rsid w:val="000D4FA9"/>
    <w:rsid w:val="000E14C3"/>
    <w:rsid w:val="000E1DA7"/>
    <w:rsid w:val="000E1DEB"/>
    <w:rsid w:val="000E3759"/>
    <w:rsid w:val="000E3EBC"/>
    <w:rsid w:val="000E4A24"/>
    <w:rsid w:val="000E4F15"/>
    <w:rsid w:val="000E5467"/>
    <w:rsid w:val="000E553E"/>
    <w:rsid w:val="000E5977"/>
    <w:rsid w:val="000E5E93"/>
    <w:rsid w:val="000E5EAF"/>
    <w:rsid w:val="000E5F58"/>
    <w:rsid w:val="000E6CD2"/>
    <w:rsid w:val="000E74CF"/>
    <w:rsid w:val="000F071D"/>
    <w:rsid w:val="000F0B11"/>
    <w:rsid w:val="000F0C40"/>
    <w:rsid w:val="000F0D85"/>
    <w:rsid w:val="000F49E2"/>
    <w:rsid w:val="000F4D94"/>
    <w:rsid w:val="000F567E"/>
    <w:rsid w:val="000F5B4C"/>
    <w:rsid w:val="000F608B"/>
    <w:rsid w:val="000F6754"/>
    <w:rsid w:val="000F6A8F"/>
    <w:rsid w:val="000F6D65"/>
    <w:rsid w:val="000F7330"/>
    <w:rsid w:val="000F75BD"/>
    <w:rsid w:val="0010066A"/>
    <w:rsid w:val="00100DB8"/>
    <w:rsid w:val="00100DD2"/>
    <w:rsid w:val="001015F4"/>
    <w:rsid w:val="00102C8A"/>
    <w:rsid w:val="001036F0"/>
    <w:rsid w:val="00104473"/>
    <w:rsid w:val="00105E6B"/>
    <w:rsid w:val="00110191"/>
    <w:rsid w:val="001101F6"/>
    <w:rsid w:val="001103BE"/>
    <w:rsid w:val="00111A64"/>
    <w:rsid w:val="00111CFC"/>
    <w:rsid w:val="0011200F"/>
    <w:rsid w:val="001130A3"/>
    <w:rsid w:val="0011359B"/>
    <w:rsid w:val="00113DBA"/>
    <w:rsid w:val="00114D19"/>
    <w:rsid w:val="00116C0F"/>
    <w:rsid w:val="00117749"/>
    <w:rsid w:val="00120F41"/>
    <w:rsid w:val="00121271"/>
    <w:rsid w:val="001230A3"/>
    <w:rsid w:val="00125453"/>
    <w:rsid w:val="00125875"/>
    <w:rsid w:val="00126812"/>
    <w:rsid w:val="00127B92"/>
    <w:rsid w:val="00127BB0"/>
    <w:rsid w:val="00127BC7"/>
    <w:rsid w:val="001301FD"/>
    <w:rsid w:val="00130D8A"/>
    <w:rsid w:val="0013199B"/>
    <w:rsid w:val="0013270A"/>
    <w:rsid w:val="00132C51"/>
    <w:rsid w:val="00133717"/>
    <w:rsid w:val="001338A4"/>
    <w:rsid w:val="00133EB2"/>
    <w:rsid w:val="00134FCF"/>
    <w:rsid w:val="0013550B"/>
    <w:rsid w:val="00135BAE"/>
    <w:rsid w:val="00136CFD"/>
    <w:rsid w:val="001375EB"/>
    <w:rsid w:val="0014036A"/>
    <w:rsid w:val="00140430"/>
    <w:rsid w:val="001411AF"/>
    <w:rsid w:val="001411E4"/>
    <w:rsid w:val="00142299"/>
    <w:rsid w:val="00142F83"/>
    <w:rsid w:val="00143A68"/>
    <w:rsid w:val="0014548C"/>
    <w:rsid w:val="0014629B"/>
    <w:rsid w:val="00146DA9"/>
    <w:rsid w:val="00146F39"/>
    <w:rsid w:val="00151534"/>
    <w:rsid w:val="00151E0F"/>
    <w:rsid w:val="00153AA3"/>
    <w:rsid w:val="00154339"/>
    <w:rsid w:val="001550F2"/>
    <w:rsid w:val="001555D9"/>
    <w:rsid w:val="00155EA8"/>
    <w:rsid w:val="001568AD"/>
    <w:rsid w:val="00156CF8"/>
    <w:rsid w:val="00156DF6"/>
    <w:rsid w:val="00157310"/>
    <w:rsid w:val="00161AE8"/>
    <w:rsid w:val="00163268"/>
    <w:rsid w:val="00163BB4"/>
    <w:rsid w:val="00163DA5"/>
    <w:rsid w:val="0016424A"/>
    <w:rsid w:val="001646EA"/>
    <w:rsid w:val="00165FD3"/>
    <w:rsid w:val="00166082"/>
    <w:rsid w:val="00166252"/>
    <w:rsid w:val="00166312"/>
    <w:rsid w:val="00166460"/>
    <w:rsid w:val="0016758A"/>
    <w:rsid w:val="001675FD"/>
    <w:rsid w:val="00170017"/>
    <w:rsid w:val="00170652"/>
    <w:rsid w:val="00171161"/>
    <w:rsid w:val="001717BA"/>
    <w:rsid w:val="00171F19"/>
    <w:rsid w:val="001720E4"/>
    <w:rsid w:val="00172D29"/>
    <w:rsid w:val="00172F54"/>
    <w:rsid w:val="001738AA"/>
    <w:rsid w:val="00173969"/>
    <w:rsid w:val="00174297"/>
    <w:rsid w:val="001750FB"/>
    <w:rsid w:val="00175397"/>
    <w:rsid w:val="00175402"/>
    <w:rsid w:val="00176B50"/>
    <w:rsid w:val="00176CB3"/>
    <w:rsid w:val="00177D02"/>
    <w:rsid w:val="00180508"/>
    <w:rsid w:val="00180936"/>
    <w:rsid w:val="00180F93"/>
    <w:rsid w:val="0018282B"/>
    <w:rsid w:val="00183334"/>
    <w:rsid w:val="001835D7"/>
    <w:rsid w:val="0018393A"/>
    <w:rsid w:val="00184B76"/>
    <w:rsid w:val="001856BD"/>
    <w:rsid w:val="0018605F"/>
    <w:rsid w:val="0018625C"/>
    <w:rsid w:val="001878F0"/>
    <w:rsid w:val="00187B99"/>
    <w:rsid w:val="0019001D"/>
    <w:rsid w:val="001903DE"/>
    <w:rsid w:val="00190771"/>
    <w:rsid w:val="00191625"/>
    <w:rsid w:val="001921C3"/>
    <w:rsid w:val="00192B16"/>
    <w:rsid w:val="00192E5C"/>
    <w:rsid w:val="001935BF"/>
    <w:rsid w:val="001937CA"/>
    <w:rsid w:val="00193B22"/>
    <w:rsid w:val="0019556A"/>
    <w:rsid w:val="001956DE"/>
    <w:rsid w:val="00196AE7"/>
    <w:rsid w:val="001A0F3C"/>
    <w:rsid w:val="001A2676"/>
    <w:rsid w:val="001A296F"/>
    <w:rsid w:val="001A3050"/>
    <w:rsid w:val="001A3491"/>
    <w:rsid w:val="001A3A24"/>
    <w:rsid w:val="001A3F88"/>
    <w:rsid w:val="001A41AA"/>
    <w:rsid w:val="001A448D"/>
    <w:rsid w:val="001A625A"/>
    <w:rsid w:val="001A6FBB"/>
    <w:rsid w:val="001A73C8"/>
    <w:rsid w:val="001B10C3"/>
    <w:rsid w:val="001B233E"/>
    <w:rsid w:val="001B2577"/>
    <w:rsid w:val="001B2FD8"/>
    <w:rsid w:val="001B3F6A"/>
    <w:rsid w:val="001B52FE"/>
    <w:rsid w:val="001B55DA"/>
    <w:rsid w:val="001B58EA"/>
    <w:rsid w:val="001B78E7"/>
    <w:rsid w:val="001B7C16"/>
    <w:rsid w:val="001B7DE2"/>
    <w:rsid w:val="001B7E45"/>
    <w:rsid w:val="001B7FAB"/>
    <w:rsid w:val="001C0641"/>
    <w:rsid w:val="001C1EE9"/>
    <w:rsid w:val="001C22F9"/>
    <w:rsid w:val="001C251B"/>
    <w:rsid w:val="001C263F"/>
    <w:rsid w:val="001C2AA7"/>
    <w:rsid w:val="001C2C9A"/>
    <w:rsid w:val="001C371E"/>
    <w:rsid w:val="001C55B3"/>
    <w:rsid w:val="001C6BD8"/>
    <w:rsid w:val="001C6CD3"/>
    <w:rsid w:val="001C7056"/>
    <w:rsid w:val="001C7F63"/>
    <w:rsid w:val="001D179D"/>
    <w:rsid w:val="001D3104"/>
    <w:rsid w:val="001D311C"/>
    <w:rsid w:val="001D3728"/>
    <w:rsid w:val="001D38D9"/>
    <w:rsid w:val="001D3A22"/>
    <w:rsid w:val="001D4010"/>
    <w:rsid w:val="001D4EBE"/>
    <w:rsid w:val="001D4ED0"/>
    <w:rsid w:val="001D50C2"/>
    <w:rsid w:val="001D54E0"/>
    <w:rsid w:val="001D5870"/>
    <w:rsid w:val="001E00F0"/>
    <w:rsid w:val="001E0598"/>
    <w:rsid w:val="001E107A"/>
    <w:rsid w:val="001E2381"/>
    <w:rsid w:val="001E383F"/>
    <w:rsid w:val="001E3CC5"/>
    <w:rsid w:val="001E4079"/>
    <w:rsid w:val="001E4874"/>
    <w:rsid w:val="001E4A69"/>
    <w:rsid w:val="001E4D6A"/>
    <w:rsid w:val="001E5446"/>
    <w:rsid w:val="001E54A4"/>
    <w:rsid w:val="001E59FE"/>
    <w:rsid w:val="001E6006"/>
    <w:rsid w:val="001E652A"/>
    <w:rsid w:val="001E6AB1"/>
    <w:rsid w:val="001E7019"/>
    <w:rsid w:val="001F0501"/>
    <w:rsid w:val="001F0AFF"/>
    <w:rsid w:val="001F0E74"/>
    <w:rsid w:val="001F10BA"/>
    <w:rsid w:val="001F12F8"/>
    <w:rsid w:val="001F1D6D"/>
    <w:rsid w:val="001F1DE6"/>
    <w:rsid w:val="001F348B"/>
    <w:rsid w:val="001F3AC8"/>
    <w:rsid w:val="001F4CEB"/>
    <w:rsid w:val="001F552D"/>
    <w:rsid w:val="001F55B7"/>
    <w:rsid w:val="001F5B39"/>
    <w:rsid w:val="001F5CBA"/>
    <w:rsid w:val="001F6B43"/>
    <w:rsid w:val="001F771C"/>
    <w:rsid w:val="001F7D47"/>
    <w:rsid w:val="002011F1"/>
    <w:rsid w:val="002014C7"/>
    <w:rsid w:val="00202321"/>
    <w:rsid w:val="0020236B"/>
    <w:rsid w:val="00202F3F"/>
    <w:rsid w:val="002036F4"/>
    <w:rsid w:val="0020379D"/>
    <w:rsid w:val="002038AD"/>
    <w:rsid w:val="002038EB"/>
    <w:rsid w:val="002041B4"/>
    <w:rsid w:val="0020463D"/>
    <w:rsid w:val="002052F6"/>
    <w:rsid w:val="0020558A"/>
    <w:rsid w:val="002062E7"/>
    <w:rsid w:val="002063EF"/>
    <w:rsid w:val="00206548"/>
    <w:rsid w:val="0020773B"/>
    <w:rsid w:val="00207EF7"/>
    <w:rsid w:val="002102D5"/>
    <w:rsid w:val="0021207B"/>
    <w:rsid w:val="002146C5"/>
    <w:rsid w:val="00214D0E"/>
    <w:rsid w:val="00214D8F"/>
    <w:rsid w:val="0021513D"/>
    <w:rsid w:val="002151EE"/>
    <w:rsid w:val="00215966"/>
    <w:rsid w:val="00215B27"/>
    <w:rsid w:val="0021601E"/>
    <w:rsid w:val="00216289"/>
    <w:rsid w:val="00217320"/>
    <w:rsid w:val="00217842"/>
    <w:rsid w:val="00217F21"/>
    <w:rsid w:val="00220C09"/>
    <w:rsid w:val="00220FCB"/>
    <w:rsid w:val="00221D84"/>
    <w:rsid w:val="002228D2"/>
    <w:rsid w:val="00223112"/>
    <w:rsid w:val="002238DA"/>
    <w:rsid w:val="00224050"/>
    <w:rsid w:val="0022491F"/>
    <w:rsid w:val="00224D46"/>
    <w:rsid w:val="0022509F"/>
    <w:rsid w:val="002250C4"/>
    <w:rsid w:val="00225DB3"/>
    <w:rsid w:val="002264C5"/>
    <w:rsid w:val="00226A16"/>
    <w:rsid w:val="00226A36"/>
    <w:rsid w:val="00226AF3"/>
    <w:rsid w:val="00226F8F"/>
    <w:rsid w:val="00230030"/>
    <w:rsid w:val="00230C7B"/>
    <w:rsid w:val="00230FA3"/>
    <w:rsid w:val="00232BEC"/>
    <w:rsid w:val="00232DCC"/>
    <w:rsid w:val="0023435B"/>
    <w:rsid w:val="00237275"/>
    <w:rsid w:val="00237E48"/>
    <w:rsid w:val="00240185"/>
    <w:rsid w:val="00240AA6"/>
    <w:rsid w:val="00241E62"/>
    <w:rsid w:val="00242C70"/>
    <w:rsid w:val="002444EC"/>
    <w:rsid w:val="00244F41"/>
    <w:rsid w:val="00244F67"/>
    <w:rsid w:val="00245636"/>
    <w:rsid w:val="0024597F"/>
    <w:rsid w:val="00247F14"/>
    <w:rsid w:val="002503E3"/>
    <w:rsid w:val="002504DD"/>
    <w:rsid w:val="002515A5"/>
    <w:rsid w:val="00251967"/>
    <w:rsid w:val="00251BF2"/>
    <w:rsid w:val="00252BE3"/>
    <w:rsid w:val="00252C02"/>
    <w:rsid w:val="00253720"/>
    <w:rsid w:val="00254C0D"/>
    <w:rsid w:val="00255813"/>
    <w:rsid w:val="002567C0"/>
    <w:rsid w:val="002568C9"/>
    <w:rsid w:val="002570ED"/>
    <w:rsid w:val="0026013D"/>
    <w:rsid w:val="00260250"/>
    <w:rsid w:val="002617B2"/>
    <w:rsid w:val="00261ED3"/>
    <w:rsid w:val="0026256B"/>
    <w:rsid w:val="0026320F"/>
    <w:rsid w:val="00263EF6"/>
    <w:rsid w:val="00263F06"/>
    <w:rsid w:val="00264784"/>
    <w:rsid w:val="0026546A"/>
    <w:rsid w:val="00265B33"/>
    <w:rsid w:val="0026600E"/>
    <w:rsid w:val="0026623D"/>
    <w:rsid w:val="00266D53"/>
    <w:rsid w:val="00267A1E"/>
    <w:rsid w:val="00270163"/>
    <w:rsid w:val="00270652"/>
    <w:rsid w:val="00270DA1"/>
    <w:rsid w:val="00271238"/>
    <w:rsid w:val="00271B89"/>
    <w:rsid w:val="0027287B"/>
    <w:rsid w:val="0027401F"/>
    <w:rsid w:val="002744BD"/>
    <w:rsid w:val="002756DA"/>
    <w:rsid w:val="00276C8A"/>
    <w:rsid w:val="00276F79"/>
    <w:rsid w:val="002802E3"/>
    <w:rsid w:val="00280305"/>
    <w:rsid w:val="002809F8"/>
    <w:rsid w:val="00280FE3"/>
    <w:rsid w:val="0028125C"/>
    <w:rsid w:val="00281D7B"/>
    <w:rsid w:val="002827D2"/>
    <w:rsid w:val="00282E15"/>
    <w:rsid w:val="0028376C"/>
    <w:rsid w:val="0028441C"/>
    <w:rsid w:val="00284BED"/>
    <w:rsid w:val="00284CC1"/>
    <w:rsid w:val="002866CC"/>
    <w:rsid w:val="002871E8"/>
    <w:rsid w:val="00287F49"/>
    <w:rsid w:val="0029071F"/>
    <w:rsid w:val="002907C4"/>
    <w:rsid w:val="00291410"/>
    <w:rsid w:val="0029159D"/>
    <w:rsid w:val="00291B1B"/>
    <w:rsid w:val="00291FF6"/>
    <w:rsid w:val="00292081"/>
    <w:rsid w:val="00292565"/>
    <w:rsid w:val="00292773"/>
    <w:rsid w:val="00293059"/>
    <w:rsid w:val="00293599"/>
    <w:rsid w:val="00293CFB"/>
    <w:rsid w:val="0029497B"/>
    <w:rsid w:val="00294B73"/>
    <w:rsid w:val="00294ED6"/>
    <w:rsid w:val="00297D1A"/>
    <w:rsid w:val="002A102C"/>
    <w:rsid w:val="002A171B"/>
    <w:rsid w:val="002A17A1"/>
    <w:rsid w:val="002A211E"/>
    <w:rsid w:val="002A23B9"/>
    <w:rsid w:val="002A2DD3"/>
    <w:rsid w:val="002A2E9C"/>
    <w:rsid w:val="002A328F"/>
    <w:rsid w:val="002A38F8"/>
    <w:rsid w:val="002A4CA6"/>
    <w:rsid w:val="002A4D51"/>
    <w:rsid w:val="002A5045"/>
    <w:rsid w:val="002A566B"/>
    <w:rsid w:val="002A57C8"/>
    <w:rsid w:val="002A5EA3"/>
    <w:rsid w:val="002A61C8"/>
    <w:rsid w:val="002A63A5"/>
    <w:rsid w:val="002A767A"/>
    <w:rsid w:val="002A7FC4"/>
    <w:rsid w:val="002B08EE"/>
    <w:rsid w:val="002B0C94"/>
    <w:rsid w:val="002B185B"/>
    <w:rsid w:val="002B1863"/>
    <w:rsid w:val="002B1BD8"/>
    <w:rsid w:val="002B1C32"/>
    <w:rsid w:val="002B20B2"/>
    <w:rsid w:val="002B27F7"/>
    <w:rsid w:val="002B328E"/>
    <w:rsid w:val="002B32C6"/>
    <w:rsid w:val="002B3748"/>
    <w:rsid w:val="002B3F3B"/>
    <w:rsid w:val="002B4B25"/>
    <w:rsid w:val="002B7539"/>
    <w:rsid w:val="002B7E8F"/>
    <w:rsid w:val="002C0543"/>
    <w:rsid w:val="002C1CD9"/>
    <w:rsid w:val="002C1D99"/>
    <w:rsid w:val="002C1F90"/>
    <w:rsid w:val="002C2298"/>
    <w:rsid w:val="002C4936"/>
    <w:rsid w:val="002C4AB5"/>
    <w:rsid w:val="002C5741"/>
    <w:rsid w:val="002C5AAE"/>
    <w:rsid w:val="002C61E2"/>
    <w:rsid w:val="002C6C80"/>
    <w:rsid w:val="002C6FB6"/>
    <w:rsid w:val="002C716F"/>
    <w:rsid w:val="002D0662"/>
    <w:rsid w:val="002D08A1"/>
    <w:rsid w:val="002D0C17"/>
    <w:rsid w:val="002D1546"/>
    <w:rsid w:val="002D243B"/>
    <w:rsid w:val="002D3C14"/>
    <w:rsid w:val="002D4133"/>
    <w:rsid w:val="002D5DB0"/>
    <w:rsid w:val="002D6013"/>
    <w:rsid w:val="002D6F08"/>
    <w:rsid w:val="002D6F3C"/>
    <w:rsid w:val="002D751E"/>
    <w:rsid w:val="002D7A38"/>
    <w:rsid w:val="002E09F3"/>
    <w:rsid w:val="002E51A7"/>
    <w:rsid w:val="002E530F"/>
    <w:rsid w:val="002E56E5"/>
    <w:rsid w:val="002E572B"/>
    <w:rsid w:val="002E5A23"/>
    <w:rsid w:val="002E5A33"/>
    <w:rsid w:val="002E608F"/>
    <w:rsid w:val="002E654D"/>
    <w:rsid w:val="002E7D64"/>
    <w:rsid w:val="002E7F2D"/>
    <w:rsid w:val="002F0772"/>
    <w:rsid w:val="002F31ED"/>
    <w:rsid w:val="002F3E2F"/>
    <w:rsid w:val="002F48D4"/>
    <w:rsid w:val="002F4BB4"/>
    <w:rsid w:val="002F60CA"/>
    <w:rsid w:val="002F6849"/>
    <w:rsid w:val="002F69B1"/>
    <w:rsid w:val="002F6A2F"/>
    <w:rsid w:val="002F6B02"/>
    <w:rsid w:val="002F6B61"/>
    <w:rsid w:val="002F7BA3"/>
    <w:rsid w:val="003000AC"/>
    <w:rsid w:val="00300728"/>
    <w:rsid w:val="00301306"/>
    <w:rsid w:val="00302456"/>
    <w:rsid w:val="003029D6"/>
    <w:rsid w:val="00302DA4"/>
    <w:rsid w:val="00303243"/>
    <w:rsid w:val="00303EA1"/>
    <w:rsid w:val="003042D4"/>
    <w:rsid w:val="00305782"/>
    <w:rsid w:val="00305872"/>
    <w:rsid w:val="003073F5"/>
    <w:rsid w:val="00310DF2"/>
    <w:rsid w:val="00310DF3"/>
    <w:rsid w:val="00310E77"/>
    <w:rsid w:val="003123DE"/>
    <w:rsid w:val="003129C4"/>
    <w:rsid w:val="003133DA"/>
    <w:rsid w:val="0031423B"/>
    <w:rsid w:val="0031435A"/>
    <w:rsid w:val="003145B9"/>
    <w:rsid w:val="00314E9D"/>
    <w:rsid w:val="00314FA0"/>
    <w:rsid w:val="00315995"/>
    <w:rsid w:val="00316473"/>
    <w:rsid w:val="0031768F"/>
    <w:rsid w:val="00317741"/>
    <w:rsid w:val="0031778B"/>
    <w:rsid w:val="00320EBB"/>
    <w:rsid w:val="00322639"/>
    <w:rsid w:val="00323BEA"/>
    <w:rsid w:val="00323E0F"/>
    <w:rsid w:val="00324415"/>
    <w:rsid w:val="00324904"/>
    <w:rsid w:val="00324A12"/>
    <w:rsid w:val="0032530E"/>
    <w:rsid w:val="00325641"/>
    <w:rsid w:val="00327D7C"/>
    <w:rsid w:val="003317E1"/>
    <w:rsid w:val="003326BD"/>
    <w:rsid w:val="00332D31"/>
    <w:rsid w:val="003330BA"/>
    <w:rsid w:val="003333C4"/>
    <w:rsid w:val="003349A3"/>
    <w:rsid w:val="00334A1E"/>
    <w:rsid w:val="00335089"/>
    <w:rsid w:val="003350AC"/>
    <w:rsid w:val="00335B4B"/>
    <w:rsid w:val="00336912"/>
    <w:rsid w:val="00336FBD"/>
    <w:rsid w:val="00340514"/>
    <w:rsid w:val="00342042"/>
    <w:rsid w:val="00342721"/>
    <w:rsid w:val="00342F1A"/>
    <w:rsid w:val="003435C7"/>
    <w:rsid w:val="00343D34"/>
    <w:rsid w:val="003442F7"/>
    <w:rsid w:val="00344F3A"/>
    <w:rsid w:val="00345A11"/>
    <w:rsid w:val="00345C34"/>
    <w:rsid w:val="0034655E"/>
    <w:rsid w:val="00347AB0"/>
    <w:rsid w:val="00347EC1"/>
    <w:rsid w:val="0035010F"/>
    <w:rsid w:val="0035052C"/>
    <w:rsid w:val="003510BA"/>
    <w:rsid w:val="003511BD"/>
    <w:rsid w:val="003522C0"/>
    <w:rsid w:val="00353077"/>
    <w:rsid w:val="003538FA"/>
    <w:rsid w:val="00354037"/>
    <w:rsid w:val="0035432B"/>
    <w:rsid w:val="00354751"/>
    <w:rsid w:val="00354BE7"/>
    <w:rsid w:val="00355F90"/>
    <w:rsid w:val="003560C2"/>
    <w:rsid w:val="003569DB"/>
    <w:rsid w:val="00356A23"/>
    <w:rsid w:val="00357ADA"/>
    <w:rsid w:val="00360BE7"/>
    <w:rsid w:val="00363BCE"/>
    <w:rsid w:val="00363DE0"/>
    <w:rsid w:val="00364A2A"/>
    <w:rsid w:val="00364F25"/>
    <w:rsid w:val="0036586F"/>
    <w:rsid w:val="00365A99"/>
    <w:rsid w:val="00366BA0"/>
    <w:rsid w:val="0036729C"/>
    <w:rsid w:val="00367401"/>
    <w:rsid w:val="003674F0"/>
    <w:rsid w:val="00367D3B"/>
    <w:rsid w:val="003709D7"/>
    <w:rsid w:val="00370E7A"/>
    <w:rsid w:val="00371186"/>
    <w:rsid w:val="00372329"/>
    <w:rsid w:val="0037242A"/>
    <w:rsid w:val="00372497"/>
    <w:rsid w:val="00372634"/>
    <w:rsid w:val="00372DAB"/>
    <w:rsid w:val="00373AD5"/>
    <w:rsid w:val="00373C4C"/>
    <w:rsid w:val="003742F6"/>
    <w:rsid w:val="0037445E"/>
    <w:rsid w:val="00375F8B"/>
    <w:rsid w:val="003771CC"/>
    <w:rsid w:val="00380D28"/>
    <w:rsid w:val="00380E34"/>
    <w:rsid w:val="00380FE8"/>
    <w:rsid w:val="0038257B"/>
    <w:rsid w:val="00382EB8"/>
    <w:rsid w:val="003834C6"/>
    <w:rsid w:val="00383F71"/>
    <w:rsid w:val="00383FA4"/>
    <w:rsid w:val="0038415F"/>
    <w:rsid w:val="00384EB5"/>
    <w:rsid w:val="003855DF"/>
    <w:rsid w:val="00387180"/>
    <w:rsid w:val="0038777C"/>
    <w:rsid w:val="003877EB"/>
    <w:rsid w:val="003878E8"/>
    <w:rsid w:val="00387DD5"/>
    <w:rsid w:val="00390252"/>
    <w:rsid w:val="0039089C"/>
    <w:rsid w:val="003909E9"/>
    <w:rsid w:val="00390A31"/>
    <w:rsid w:val="00390EAA"/>
    <w:rsid w:val="00393FFD"/>
    <w:rsid w:val="003940A3"/>
    <w:rsid w:val="00394359"/>
    <w:rsid w:val="00394BEF"/>
    <w:rsid w:val="00395661"/>
    <w:rsid w:val="00395F7E"/>
    <w:rsid w:val="0039640D"/>
    <w:rsid w:val="00397771"/>
    <w:rsid w:val="00397B59"/>
    <w:rsid w:val="00397B70"/>
    <w:rsid w:val="00397CCC"/>
    <w:rsid w:val="003A04B1"/>
    <w:rsid w:val="003A07A0"/>
    <w:rsid w:val="003A1566"/>
    <w:rsid w:val="003A16BD"/>
    <w:rsid w:val="003A1927"/>
    <w:rsid w:val="003A4020"/>
    <w:rsid w:val="003A43B4"/>
    <w:rsid w:val="003A5712"/>
    <w:rsid w:val="003A618D"/>
    <w:rsid w:val="003A6434"/>
    <w:rsid w:val="003A6CE2"/>
    <w:rsid w:val="003B005C"/>
    <w:rsid w:val="003B0380"/>
    <w:rsid w:val="003B0621"/>
    <w:rsid w:val="003B0C71"/>
    <w:rsid w:val="003B1BD0"/>
    <w:rsid w:val="003B1C16"/>
    <w:rsid w:val="003B249C"/>
    <w:rsid w:val="003B329F"/>
    <w:rsid w:val="003B4623"/>
    <w:rsid w:val="003B4657"/>
    <w:rsid w:val="003B4680"/>
    <w:rsid w:val="003B4BC7"/>
    <w:rsid w:val="003B51B6"/>
    <w:rsid w:val="003B5413"/>
    <w:rsid w:val="003B5501"/>
    <w:rsid w:val="003B5652"/>
    <w:rsid w:val="003B612B"/>
    <w:rsid w:val="003B6E8C"/>
    <w:rsid w:val="003B6FB2"/>
    <w:rsid w:val="003B75AB"/>
    <w:rsid w:val="003B7632"/>
    <w:rsid w:val="003B7B7D"/>
    <w:rsid w:val="003B7D88"/>
    <w:rsid w:val="003B7E81"/>
    <w:rsid w:val="003C003E"/>
    <w:rsid w:val="003C038B"/>
    <w:rsid w:val="003C03E4"/>
    <w:rsid w:val="003C168B"/>
    <w:rsid w:val="003C24C6"/>
    <w:rsid w:val="003C4BDC"/>
    <w:rsid w:val="003C6700"/>
    <w:rsid w:val="003C67F7"/>
    <w:rsid w:val="003C7026"/>
    <w:rsid w:val="003C7A6E"/>
    <w:rsid w:val="003D00EB"/>
    <w:rsid w:val="003D07E8"/>
    <w:rsid w:val="003D125B"/>
    <w:rsid w:val="003D1536"/>
    <w:rsid w:val="003D185A"/>
    <w:rsid w:val="003D19EB"/>
    <w:rsid w:val="003D1C34"/>
    <w:rsid w:val="003D3263"/>
    <w:rsid w:val="003D3BC2"/>
    <w:rsid w:val="003D4626"/>
    <w:rsid w:val="003D581F"/>
    <w:rsid w:val="003D5931"/>
    <w:rsid w:val="003D680E"/>
    <w:rsid w:val="003D6AF3"/>
    <w:rsid w:val="003D6F38"/>
    <w:rsid w:val="003D741C"/>
    <w:rsid w:val="003D78FF"/>
    <w:rsid w:val="003D7F56"/>
    <w:rsid w:val="003E162A"/>
    <w:rsid w:val="003E19EE"/>
    <w:rsid w:val="003E1DAC"/>
    <w:rsid w:val="003E1E14"/>
    <w:rsid w:val="003E3383"/>
    <w:rsid w:val="003E4C0D"/>
    <w:rsid w:val="003E4E3F"/>
    <w:rsid w:val="003E546D"/>
    <w:rsid w:val="003E5945"/>
    <w:rsid w:val="003E7313"/>
    <w:rsid w:val="003E7A4E"/>
    <w:rsid w:val="003E7AD2"/>
    <w:rsid w:val="003E7AED"/>
    <w:rsid w:val="003E7CE6"/>
    <w:rsid w:val="003E7D91"/>
    <w:rsid w:val="003F03DD"/>
    <w:rsid w:val="003F0415"/>
    <w:rsid w:val="003F06C5"/>
    <w:rsid w:val="003F07A0"/>
    <w:rsid w:val="003F1020"/>
    <w:rsid w:val="003F12AA"/>
    <w:rsid w:val="003F1932"/>
    <w:rsid w:val="003F2301"/>
    <w:rsid w:val="003F2774"/>
    <w:rsid w:val="003F31E8"/>
    <w:rsid w:val="003F38E2"/>
    <w:rsid w:val="003F3AA4"/>
    <w:rsid w:val="003F3CA8"/>
    <w:rsid w:val="003F42F1"/>
    <w:rsid w:val="003F4C55"/>
    <w:rsid w:val="003F58CA"/>
    <w:rsid w:val="003F5DA4"/>
    <w:rsid w:val="003F6A3E"/>
    <w:rsid w:val="003F6AA2"/>
    <w:rsid w:val="004010EB"/>
    <w:rsid w:val="00401FF2"/>
    <w:rsid w:val="004044AB"/>
    <w:rsid w:val="004059FE"/>
    <w:rsid w:val="00406151"/>
    <w:rsid w:val="0040629E"/>
    <w:rsid w:val="004101CD"/>
    <w:rsid w:val="00411429"/>
    <w:rsid w:val="004119B0"/>
    <w:rsid w:val="0041377B"/>
    <w:rsid w:val="004145F2"/>
    <w:rsid w:val="00414E06"/>
    <w:rsid w:val="00415D07"/>
    <w:rsid w:val="0041765C"/>
    <w:rsid w:val="0041788D"/>
    <w:rsid w:val="004179F3"/>
    <w:rsid w:val="004204E7"/>
    <w:rsid w:val="00420B5B"/>
    <w:rsid w:val="00420FD4"/>
    <w:rsid w:val="00421B91"/>
    <w:rsid w:val="004221E2"/>
    <w:rsid w:val="004224A8"/>
    <w:rsid w:val="004225BD"/>
    <w:rsid w:val="00424099"/>
    <w:rsid w:val="00424B0C"/>
    <w:rsid w:val="004250E1"/>
    <w:rsid w:val="00425425"/>
    <w:rsid w:val="004257BD"/>
    <w:rsid w:val="00426DD2"/>
    <w:rsid w:val="00427671"/>
    <w:rsid w:val="00431884"/>
    <w:rsid w:val="004326A0"/>
    <w:rsid w:val="00432BF6"/>
    <w:rsid w:val="00433064"/>
    <w:rsid w:val="00433688"/>
    <w:rsid w:val="00433866"/>
    <w:rsid w:val="0043422B"/>
    <w:rsid w:val="0043454E"/>
    <w:rsid w:val="004362B0"/>
    <w:rsid w:val="004378F9"/>
    <w:rsid w:val="00437BE1"/>
    <w:rsid w:val="004410AC"/>
    <w:rsid w:val="0044196A"/>
    <w:rsid w:val="00442E80"/>
    <w:rsid w:val="00443340"/>
    <w:rsid w:val="00443D06"/>
    <w:rsid w:val="00444601"/>
    <w:rsid w:val="00445307"/>
    <w:rsid w:val="00446770"/>
    <w:rsid w:val="00446AF2"/>
    <w:rsid w:val="00446F32"/>
    <w:rsid w:val="004471B2"/>
    <w:rsid w:val="00447314"/>
    <w:rsid w:val="00447594"/>
    <w:rsid w:val="00447800"/>
    <w:rsid w:val="0045008E"/>
    <w:rsid w:val="00453B44"/>
    <w:rsid w:val="00453C84"/>
    <w:rsid w:val="0045502A"/>
    <w:rsid w:val="00455D31"/>
    <w:rsid w:val="004566D5"/>
    <w:rsid w:val="0045755E"/>
    <w:rsid w:val="00460854"/>
    <w:rsid w:val="00461AE2"/>
    <w:rsid w:val="0046310B"/>
    <w:rsid w:val="00463F9D"/>
    <w:rsid w:val="00464632"/>
    <w:rsid w:val="00464BED"/>
    <w:rsid w:val="00464CA3"/>
    <w:rsid w:val="0046530B"/>
    <w:rsid w:val="00465497"/>
    <w:rsid w:val="004659D3"/>
    <w:rsid w:val="004660C3"/>
    <w:rsid w:val="00466CC3"/>
    <w:rsid w:val="004720C9"/>
    <w:rsid w:val="00472950"/>
    <w:rsid w:val="00472AD8"/>
    <w:rsid w:val="00473751"/>
    <w:rsid w:val="0047397D"/>
    <w:rsid w:val="00474081"/>
    <w:rsid w:val="0047463E"/>
    <w:rsid w:val="00476425"/>
    <w:rsid w:val="004764AF"/>
    <w:rsid w:val="004771E2"/>
    <w:rsid w:val="004806D4"/>
    <w:rsid w:val="004839CF"/>
    <w:rsid w:val="00484700"/>
    <w:rsid w:val="00485120"/>
    <w:rsid w:val="00486C34"/>
    <w:rsid w:val="00487242"/>
    <w:rsid w:val="00487AA6"/>
    <w:rsid w:val="00487E88"/>
    <w:rsid w:val="00490272"/>
    <w:rsid w:val="00490395"/>
    <w:rsid w:val="00490516"/>
    <w:rsid w:val="00491147"/>
    <w:rsid w:val="00491D58"/>
    <w:rsid w:val="00492181"/>
    <w:rsid w:val="0049226F"/>
    <w:rsid w:val="00492318"/>
    <w:rsid w:val="00492FCB"/>
    <w:rsid w:val="0049344A"/>
    <w:rsid w:val="00493510"/>
    <w:rsid w:val="00493DCF"/>
    <w:rsid w:val="00494DEC"/>
    <w:rsid w:val="00495232"/>
    <w:rsid w:val="00495AE2"/>
    <w:rsid w:val="00497A78"/>
    <w:rsid w:val="004A1376"/>
    <w:rsid w:val="004A16AC"/>
    <w:rsid w:val="004A1919"/>
    <w:rsid w:val="004A1D65"/>
    <w:rsid w:val="004A2EA8"/>
    <w:rsid w:val="004A30AC"/>
    <w:rsid w:val="004A3479"/>
    <w:rsid w:val="004A46C0"/>
    <w:rsid w:val="004A4769"/>
    <w:rsid w:val="004A53E7"/>
    <w:rsid w:val="004A5EEC"/>
    <w:rsid w:val="004A645E"/>
    <w:rsid w:val="004A6A3D"/>
    <w:rsid w:val="004A73C6"/>
    <w:rsid w:val="004A75B5"/>
    <w:rsid w:val="004B12F2"/>
    <w:rsid w:val="004B1300"/>
    <w:rsid w:val="004B218D"/>
    <w:rsid w:val="004B263E"/>
    <w:rsid w:val="004B2B13"/>
    <w:rsid w:val="004B3172"/>
    <w:rsid w:val="004B3697"/>
    <w:rsid w:val="004B3756"/>
    <w:rsid w:val="004B45E1"/>
    <w:rsid w:val="004B51D8"/>
    <w:rsid w:val="004B51E5"/>
    <w:rsid w:val="004B5285"/>
    <w:rsid w:val="004B539E"/>
    <w:rsid w:val="004B5C85"/>
    <w:rsid w:val="004B6365"/>
    <w:rsid w:val="004B6513"/>
    <w:rsid w:val="004B679D"/>
    <w:rsid w:val="004B7598"/>
    <w:rsid w:val="004C0D33"/>
    <w:rsid w:val="004C11C9"/>
    <w:rsid w:val="004C1654"/>
    <w:rsid w:val="004C2020"/>
    <w:rsid w:val="004C2064"/>
    <w:rsid w:val="004C2422"/>
    <w:rsid w:val="004C2865"/>
    <w:rsid w:val="004C315F"/>
    <w:rsid w:val="004C4E24"/>
    <w:rsid w:val="004C546D"/>
    <w:rsid w:val="004C55FB"/>
    <w:rsid w:val="004C5767"/>
    <w:rsid w:val="004C7BC1"/>
    <w:rsid w:val="004D3394"/>
    <w:rsid w:val="004D3B8B"/>
    <w:rsid w:val="004D465F"/>
    <w:rsid w:val="004D5107"/>
    <w:rsid w:val="004D528E"/>
    <w:rsid w:val="004D594B"/>
    <w:rsid w:val="004D5CDF"/>
    <w:rsid w:val="004D5D13"/>
    <w:rsid w:val="004D66C3"/>
    <w:rsid w:val="004D6FB9"/>
    <w:rsid w:val="004D7574"/>
    <w:rsid w:val="004D772C"/>
    <w:rsid w:val="004E12F5"/>
    <w:rsid w:val="004E17DE"/>
    <w:rsid w:val="004E1D93"/>
    <w:rsid w:val="004E2D08"/>
    <w:rsid w:val="004E2D59"/>
    <w:rsid w:val="004E37CB"/>
    <w:rsid w:val="004E3B4B"/>
    <w:rsid w:val="004E40C6"/>
    <w:rsid w:val="004E6331"/>
    <w:rsid w:val="004E745B"/>
    <w:rsid w:val="004E75BB"/>
    <w:rsid w:val="004E7CC8"/>
    <w:rsid w:val="004F0194"/>
    <w:rsid w:val="004F0579"/>
    <w:rsid w:val="004F060F"/>
    <w:rsid w:val="004F0EE6"/>
    <w:rsid w:val="004F1048"/>
    <w:rsid w:val="004F12E9"/>
    <w:rsid w:val="004F1682"/>
    <w:rsid w:val="004F16FF"/>
    <w:rsid w:val="004F35C5"/>
    <w:rsid w:val="004F45E0"/>
    <w:rsid w:val="004F4AF3"/>
    <w:rsid w:val="004F4EF3"/>
    <w:rsid w:val="004F5B69"/>
    <w:rsid w:val="004F63F0"/>
    <w:rsid w:val="004F672E"/>
    <w:rsid w:val="004F695E"/>
    <w:rsid w:val="0050066C"/>
    <w:rsid w:val="00500F96"/>
    <w:rsid w:val="0050156B"/>
    <w:rsid w:val="00501586"/>
    <w:rsid w:val="00502019"/>
    <w:rsid w:val="00502EAC"/>
    <w:rsid w:val="00502F63"/>
    <w:rsid w:val="00503E07"/>
    <w:rsid w:val="005043C4"/>
    <w:rsid w:val="005047A1"/>
    <w:rsid w:val="005066F0"/>
    <w:rsid w:val="00506F72"/>
    <w:rsid w:val="00507956"/>
    <w:rsid w:val="005104FB"/>
    <w:rsid w:val="00511868"/>
    <w:rsid w:val="005118B7"/>
    <w:rsid w:val="00511DE9"/>
    <w:rsid w:val="00512D3A"/>
    <w:rsid w:val="00513418"/>
    <w:rsid w:val="005156A2"/>
    <w:rsid w:val="00515F49"/>
    <w:rsid w:val="00516081"/>
    <w:rsid w:val="00516EB0"/>
    <w:rsid w:val="00517114"/>
    <w:rsid w:val="0051717F"/>
    <w:rsid w:val="005179AF"/>
    <w:rsid w:val="00520004"/>
    <w:rsid w:val="005207C0"/>
    <w:rsid w:val="005208E8"/>
    <w:rsid w:val="00520B67"/>
    <w:rsid w:val="00520E26"/>
    <w:rsid w:val="00520EFF"/>
    <w:rsid w:val="005216FA"/>
    <w:rsid w:val="00521DFB"/>
    <w:rsid w:val="00522F2D"/>
    <w:rsid w:val="00523B19"/>
    <w:rsid w:val="00524A3E"/>
    <w:rsid w:val="00525172"/>
    <w:rsid w:val="00525856"/>
    <w:rsid w:val="00525B5D"/>
    <w:rsid w:val="0052663F"/>
    <w:rsid w:val="00527FBF"/>
    <w:rsid w:val="0053044A"/>
    <w:rsid w:val="00530EAA"/>
    <w:rsid w:val="00532953"/>
    <w:rsid w:val="00532A1A"/>
    <w:rsid w:val="005336B6"/>
    <w:rsid w:val="005338D0"/>
    <w:rsid w:val="0053416D"/>
    <w:rsid w:val="0053449D"/>
    <w:rsid w:val="00535CCF"/>
    <w:rsid w:val="00536137"/>
    <w:rsid w:val="00536924"/>
    <w:rsid w:val="00536B4D"/>
    <w:rsid w:val="005401B4"/>
    <w:rsid w:val="0054117A"/>
    <w:rsid w:val="00541205"/>
    <w:rsid w:val="00541817"/>
    <w:rsid w:val="0054264B"/>
    <w:rsid w:val="00542891"/>
    <w:rsid w:val="00542CF6"/>
    <w:rsid w:val="00543411"/>
    <w:rsid w:val="00543875"/>
    <w:rsid w:val="0054392B"/>
    <w:rsid w:val="00543B07"/>
    <w:rsid w:val="005446EC"/>
    <w:rsid w:val="00544EAE"/>
    <w:rsid w:val="00544FBB"/>
    <w:rsid w:val="00547784"/>
    <w:rsid w:val="00550693"/>
    <w:rsid w:val="00550A9B"/>
    <w:rsid w:val="00551E76"/>
    <w:rsid w:val="00551FA2"/>
    <w:rsid w:val="00552212"/>
    <w:rsid w:val="00552F24"/>
    <w:rsid w:val="00552FE5"/>
    <w:rsid w:val="0055343E"/>
    <w:rsid w:val="005538E2"/>
    <w:rsid w:val="0055401B"/>
    <w:rsid w:val="0055462C"/>
    <w:rsid w:val="0055524C"/>
    <w:rsid w:val="00555620"/>
    <w:rsid w:val="00555AFB"/>
    <w:rsid w:val="00555B6E"/>
    <w:rsid w:val="00556AAD"/>
    <w:rsid w:val="005576A0"/>
    <w:rsid w:val="00557AB3"/>
    <w:rsid w:val="00557E21"/>
    <w:rsid w:val="0056063D"/>
    <w:rsid w:val="00560A75"/>
    <w:rsid w:val="005633A8"/>
    <w:rsid w:val="005633EF"/>
    <w:rsid w:val="00563DA4"/>
    <w:rsid w:val="0056477C"/>
    <w:rsid w:val="005654CB"/>
    <w:rsid w:val="00565C7B"/>
    <w:rsid w:val="00565F12"/>
    <w:rsid w:val="005660AA"/>
    <w:rsid w:val="005665DE"/>
    <w:rsid w:val="005671DF"/>
    <w:rsid w:val="005673CA"/>
    <w:rsid w:val="005700E4"/>
    <w:rsid w:val="00570DA0"/>
    <w:rsid w:val="00571416"/>
    <w:rsid w:val="0057156B"/>
    <w:rsid w:val="0057171D"/>
    <w:rsid w:val="00572A76"/>
    <w:rsid w:val="00573BB5"/>
    <w:rsid w:val="0057454B"/>
    <w:rsid w:val="00575765"/>
    <w:rsid w:val="00575A9C"/>
    <w:rsid w:val="00575ED6"/>
    <w:rsid w:val="0058084A"/>
    <w:rsid w:val="00580C80"/>
    <w:rsid w:val="00580E04"/>
    <w:rsid w:val="00581224"/>
    <w:rsid w:val="00581B34"/>
    <w:rsid w:val="005828EC"/>
    <w:rsid w:val="0058345A"/>
    <w:rsid w:val="00583CD0"/>
    <w:rsid w:val="005847CA"/>
    <w:rsid w:val="00584ED7"/>
    <w:rsid w:val="00585165"/>
    <w:rsid w:val="005863BD"/>
    <w:rsid w:val="0058756B"/>
    <w:rsid w:val="0059053F"/>
    <w:rsid w:val="005907C3"/>
    <w:rsid w:val="00591214"/>
    <w:rsid w:val="00592503"/>
    <w:rsid w:val="0059255B"/>
    <w:rsid w:val="00592581"/>
    <w:rsid w:val="00592A07"/>
    <w:rsid w:val="00592ADC"/>
    <w:rsid w:val="00592C34"/>
    <w:rsid w:val="00592E8F"/>
    <w:rsid w:val="0059471C"/>
    <w:rsid w:val="005947FC"/>
    <w:rsid w:val="00595537"/>
    <w:rsid w:val="005956AB"/>
    <w:rsid w:val="00596105"/>
    <w:rsid w:val="00596A8B"/>
    <w:rsid w:val="00596BA3"/>
    <w:rsid w:val="00597E58"/>
    <w:rsid w:val="005A045D"/>
    <w:rsid w:val="005A06F7"/>
    <w:rsid w:val="005A0A91"/>
    <w:rsid w:val="005A10E1"/>
    <w:rsid w:val="005A1EA5"/>
    <w:rsid w:val="005A200E"/>
    <w:rsid w:val="005A2088"/>
    <w:rsid w:val="005A26C2"/>
    <w:rsid w:val="005A308E"/>
    <w:rsid w:val="005A4689"/>
    <w:rsid w:val="005A4EC4"/>
    <w:rsid w:val="005A7294"/>
    <w:rsid w:val="005A7C1B"/>
    <w:rsid w:val="005B04AA"/>
    <w:rsid w:val="005B0D26"/>
    <w:rsid w:val="005B10C5"/>
    <w:rsid w:val="005B2E7A"/>
    <w:rsid w:val="005B3BB9"/>
    <w:rsid w:val="005B4424"/>
    <w:rsid w:val="005B5A4C"/>
    <w:rsid w:val="005B5D1D"/>
    <w:rsid w:val="005B60E1"/>
    <w:rsid w:val="005B66DB"/>
    <w:rsid w:val="005B695C"/>
    <w:rsid w:val="005B76AF"/>
    <w:rsid w:val="005B7F28"/>
    <w:rsid w:val="005C09C4"/>
    <w:rsid w:val="005C268F"/>
    <w:rsid w:val="005C57A2"/>
    <w:rsid w:val="005C58C3"/>
    <w:rsid w:val="005C722C"/>
    <w:rsid w:val="005D0233"/>
    <w:rsid w:val="005D03A4"/>
    <w:rsid w:val="005D0ADF"/>
    <w:rsid w:val="005D12F7"/>
    <w:rsid w:val="005D140A"/>
    <w:rsid w:val="005D162C"/>
    <w:rsid w:val="005D45CF"/>
    <w:rsid w:val="005D4BCE"/>
    <w:rsid w:val="005D6AB1"/>
    <w:rsid w:val="005E061C"/>
    <w:rsid w:val="005E1A09"/>
    <w:rsid w:val="005E1EFF"/>
    <w:rsid w:val="005E23CC"/>
    <w:rsid w:val="005E2C25"/>
    <w:rsid w:val="005E368C"/>
    <w:rsid w:val="005E7860"/>
    <w:rsid w:val="005F0835"/>
    <w:rsid w:val="005F0936"/>
    <w:rsid w:val="005F1C83"/>
    <w:rsid w:val="005F1CA9"/>
    <w:rsid w:val="005F23DB"/>
    <w:rsid w:val="005F2973"/>
    <w:rsid w:val="005F3BB9"/>
    <w:rsid w:val="005F4AE9"/>
    <w:rsid w:val="005F4ECB"/>
    <w:rsid w:val="005F62CE"/>
    <w:rsid w:val="005F673A"/>
    <w:rsid w:val="005F7696"/>
    <w:rsid w:val="00600D1C"/>
    <w:rsid w:val="00601122"/>
    <w:rsid w:val="00601141"/>
    <w:rsid w:val="006019A7"/>
    <w:rsid w:val="006030A8"/>
    <w:rsid w:val="00603C83"/>
    <w:rsid w:val="00603EE4"/>
    <w:rsid w:val="00603F9E"/>
    <w:rsid w:val="0060486A"/>
    <w:rsid w:val="00604948"/>
    <w:rsid w:val="00606758"/>
    <w:rsid w:val="00607B31"/>
    <w:rsid w:val="00610564"/>
    <w:rsid w:val="00610C94"/>
    <w:rsid w:val="006123E2"/>
    <w:rsid w:val="006128B8"/>
    <w:rsid w:val="006140E5"/>
    <w:rsid w:val="00614D65"/>
    <w:rsid w:val="00615275"/>
    <w:rsid w:val="00617113"/>
    <w:rsid w:val="006171FD"/>
    <w:rsid w:val="00620339"/>
    <w:rsid w:val="00622CBB"/>
    <w:rsid w:val="00622EA6"/>
    <w:rsid w:val="006234DC"/>
    <w:rsid w:val="00624BD4"/>
    <w:rsid w:val="0062519F"/>
    <w:rsid w:val="0062551D"/>
    <w:rsid w:val="006318BB"/>
    <w:rsid w:val="00631C3C"/>
    <w:rsid w:val="0063217F"/>
    <w:rsid w:val="0063265A"/>
    <w:rsid w:val="00632723"/>
    <w:rsid w:val="00632ECB"/>
    <w:rsid w:val="0063551F"/>
    <w:rsid w:val="00635FCF"/>
    <w:rsid w:val="00636A03"/>
    <w:rsid w:val="00636B06"/>
    <w:rsid w:val="00637E81"/>
    <w:rsid w:val="006401EB"/>
    <w:rsid w:val="00641EB7"/>
    <w:rsid w:val="006434A8"/>
    <w:rsid w:val="00643B86"/>
    <w:rsid w:val="00643F8A"/>
    <w:rsid w:val="006449C8"/>
    <w:rsid w:val="00645F72"/>
    <w:rsid w:val="00646FEB"/>
    <w:rsid w:val="00651597"/>
    <w:rsid w:val="00652486"/>
    <w:rsid w:val="0065250A"/>
    <w:rsid w:val="006535FC"/>
    <w:rsid w:val="00654541"/>
    <w:rsid w:val="00655DD3"/>
    <w:rsid w:val="00655F93"/>
    <w:rsid w:val="00656891"/>
    <w:rsid w:val="00657C04"/>
    <w:rsid w:val="0066056D"/>
    <w:rsid w:val="00660DCD"/>
    <w:rsid w:val="00662789"/>
    <w:rsid w:val="00662999"/>
    <w:rsid w:val="006642CB"/>
    <w:rsid w:val="00664564"/>
    <w:rsid w:val="00664B31"/>
    <w:rsid w:val="00664E1A"/>
    <w:rsid w:val="00664E7E"/>
    <w:rsid w:val="00665031"/>
    <w:rsid w:val="00665640"/>
    <w:rsid w:val="00666F34"/>
    <w:rsid w:val="0067057A"/>
    <w:rsid w:val="00670C18"/>
    <w:rsid w:val="00671557"/>
    <w:rsid w:val="006718C5"/>
    <w:rsid w:val="006723F7"/>
    <w:rsid w:val="006736CA"/>
    <w:rsid w:val="00674497"/>
    <w:rsid w:val="0067449C"/>
    <w:rsid w:val="006751C4"/>
    <w:rsid w:val="006758FF"/>
    <w:rsid w:val="006760E9"/>
    <w:rsid w:val="00677679"/>
    <w:rsid w:val="00677944"/>
    <w:rsid w:val="00680033"/>
    <w:rsid w:val="0068063B"/>
    <w:rsid w:val="00682E28"/>
    <w:rsid w:val="006831AD"/>
    <w:rsid w:val="0068341F"/>
    <w:rsid w:val="006838BB"/>
    <w:rsid w:val="006844AB"/>
    <w:rsid w:val="006845AA"/>
    <w:rsid w:val="0068493A"/>
    <w:rsid w:val="00684EC7"/>
    <w:rsid w:val="00684FCE"/>
    <w:rsid w:val="00685AD8"/>
    <w:rsid w:val="00685C38"/>
    <w:rsid w:val="00685ECD"/>
    <w:rsid w:val="006862B3"/>
    <w:rsid w:val="00686CA4"/>
    <w:rsid w:val="006879AE"/>
    <w:rsid w:val="006879FE"/>
    <w:rsid w:val="00687F61"/>
    <w:rsid w:val="00690CAF"/>
    <w:rsid w:val="00691152"/>
    <w:rsid w:val="006919D0"/>
    <w:rsid w:val="00692360"/>
    <w:rsid w:val="00692618"/>
    <w:rsid w:val="00692FFC"/>
    <w:rsid w:val="0069368F"/>
    <w:rsid w:val="00693803"/>
    <w:rsid w:val="0069439B"/>
    <w:rsid w:val="006947F0"/>
    <w:rsid w:val="00695E81"/>
    <w:rsid w:val="00696665"/>
    <w:rsid w:val="00697CA7"/>
    <w:rsid w:val="006A0225"/>
    <w:rsid w:val="006A0A1F"/>
    <w:rsid w:val="006A0FE5"/>
    <w:rsid w:val="006A1462"/>
    <w:rsid w:val="006A211F"/>
    <w:rsid w:val="006A2577"/>
    <w:rsid w:val="006A2A3B"/>
    <w:rsid w:val="006A2AA3"/>
    <w:rsid w:val="006A3141"/>
    <w:rsid w:val="006A35A1"/>
    <w:rsid w:val="006A50B7"/>
    <w:rsid w:val="006A5250"/>
    <w:rsid w:val="006A5CEA"/>
    <w:rsid w:val="006A61CD"/>
    <w:rsid w:val="006A64F2"/>
    <w:rsid w:val="006A6C21"/>
    <w:rsid w:val="006A6CB4"/>
    <w:rsid w:val="006A7154"/>
    <w:rsid w:val="006A7D64"/>
    <w:rsid w:val="006B2363"/>
    <w:rsid w:val="006B2A2B"/>
    <w:rsid w:val="006B3100"/>
    <w:rsid w:val="006B378E"/>
    <w:rsid w:val="006B3988"/>
    <w:rsid w:val="006B40A6"/>
    <w:rsid w:val="006B4E4F"/>
    <w:rsid w:val="006B4F5D"/>
    <w:rsid w:val="006B5022"/>
    <w:rsid w:val="006B5D3C"/>
    <w:rsid w:val="006B6147"/>
    <w:rsid w:val="006B6EE2"/>
    <w:rsid w:val="006C0C23"/>
    <w:rsid w:val="006C0D71"/>
    <w:rsid w:val="006C17E8"/>
    <w:rsid w:val="006C1A7F"/>
    <w:rsid w:val="006C259D"/>
    <w:rsid w:val="006C2E77"/>
    <w:rsid w:val="006C440C"/>
    <w:rsid w:val="006C46CB"/>
    <w:rsid w:val="006C4A1C"/>
    <w:rsid w:val="006C5D92"/>
    <w:rsid w:val="006C5E93"/>
    <w:rsid w:val="006C7194"/>
    <w:rsid w:val="006D1F12"/>
    <w:rsid w:val="006D306D"/>
    <w:rsid w:val="006D37A8"/>
    <w:rsid w:val="006D4500"/>
    <w:rsid w:val="006D456E"/>
    <w:rsid w:val="006D4966"/>
    <w:rsid w:val="006D5A9A"/>
    <w:rsid w:val="006D6543"/>
    <w:rsid w:val="006D73C9"/>
    <w:rsid w:val="006E0470"/>
    <w:rsid w:val="006E06B3"/>
    <w:rsid w:val="006E1239"/>
    <w:rsid w:val="006E1A7F"/>
    <w:rsid w:val="006E1EE0"/>
    <w:rsid w:val="006E2D08"/>
    <w:rsid w:val="006E33EA"/>
    <w:rsid w:val="006E3DD1"/>
    <w:rsid w:val="006E5BE7"/>
    <w:rsid w:val="006E6123"/>
    <w:rsid w:val="006E6ED9"/>
    <w:rsid w:val="006E732E"/>
    <w:rsid w:val="006E7B7D"/>
    <w:rsid w:val="006F014B"/>
    <w:rsid w:val="006F135C"/>
    <w:rsid w:val="006F1E46"/>
    <w:rsid w:val="006F3FA8"/>
    <w:rsid w:val="006F40E1"/>
    <w:rsid w:val="006F4193"/>
    <w:rsid w:val="006F47F0"/>
    <w:rsid w:val="006F59FA"/>
    <w:rsid w:val="006F5C1B"/>
    <w:rsid w:val="006F63E8"/>
    <w:rsid w:val="006F7279"/>
    <w:rsid w:val="007021B5"/>
    <w:rsid w:val="0070228C"/>
    <w:rsid w:val="00702B7E"/>
    <w:rsid w:val="00703344"/>
    <w:rsid w:val="007033F7"/>
    <w:rsid w:val="00703F5C"/>
    <w:rsid w:val="007057AB"/>
    <w:rsid w:val="0070665B"/>
    <w:rsid w:val="00706C26"/>
    <w:rsid w:val="007072AE"/>
    <w:rsid w:val="00707D33"/>
    <w:rsid w:val="00710BBA"/>
    <w:rsid w:val="007110FF"/>
    <w:rsid w:val="00713655"/>
    <w:rsid w:val="00713A6E"/>
    <w:rsid w:val="00713A91"/>
    <w:rsid w:val="00714248"/>
    <w:rsid w:val="00714664"/>
    <w:rsid w:val="00715050"/>
    <w:rsid w:val="00720B18"/>
    <w:rsid w:val="00720E85"/>
    <w:rsid w:val="00720EE5"/>
    <w:rsid w:val="007216F2"/>
    <w:rsid w:val="00721A49"/>
    <w:rsid w:val="00721FC8"/>
    <w:rsid w:val="0072427F"/>
    <w:rsid w:val="00725DA3"/>
    <w:rsid w:val="00725F6A"/>
    <w:rsid w:val="00727E5F"/>
    <w:rsid w:val="00730646"/>
    <w:rsid w:val="00731ABA"/>
    <w:rsid w:val="0073447D"/>
    <w:rsid w:val="00735111"/>
    <w:rsid w:val="00735352"/>
    <w:rsid w:val="00740357"/>
    <w:rsid w:val="00740B95"/>
    <w:rsid w:val="00741067"/>
    <w:rsid w:val="0074139E"/>
    <w:rsid w:val="00741568"/>
    <w:rsid w:val="0074205E"/>
    <w:rsid w:val="00742B08"/>
    <w:rsid w:val="007434DF"/>
    <w:rsid w:val="007436C3"/>
    <w:rsid w:val="007456C6"/>
    <w:rsid w:val="00745B58"/>
    <w:rsid w:val="00750637"/>
    <w:rsid w:val="00750685"/>
    <w:rsid w:val="00750695"/>
    <w:rsid w:val="00750C7D"/>
    <w:rsid w:val="00752960"/>
    <w:rsid w:val="007534C5"/>
    <w:rsid w:val="00753769"/>
    <w:rsid w:val="00753DC0"/>
    <w:rsid w:val="00754E9B"/>
    <w:rsid w:val="00757029"/>
    <w:rsid w:val="00757C58"/>
    <w:rsid w:val="007600D1"/>
    <w:rsid w:val="00761374"/>
    <w:rsid w:val="007616E6"/>
    <w:rsid w:val="00761BB8"/>
    <w:rsid w:val="0076264A"/>
    <w:rsid w:val="00762A6A"/>
    <w:rsid w:val="00763409"/>
    <w:rsid w:val="00763BBB"/>
    <w:rsid w:val="007646AE"/>
    <w:rsid w:val="0076705A"/>
    <w:rsid w:val="00770BB8"/>
    <w:rsid w:val="00771289"/>
    <w:rsid w:val="007720C9"/>
    <w:rsid w:val="00773468"/>
    <w:rsid w:val="007735C0"/>
    <w:rsid w:val="007736C4"/>
    <w:rsid w:val="00773B2A"/>
    <w:rsid w:val="00773DFB"/>
    <w:rsid w:val="00774789"/>
    <w:rsid w:val="00775CB9"/>
    <w:rsid w:val="007764D8"/>
    <w:rsid w:val="00776868"/>
    <w:rsid w:val="00776B9B"/>
    <w:rsid w:val="0077711A"/>
    <w:rsid w:val="007810E5"/>
    <w:rsid w:val="00781D43"/>
    <w:rsid w:val="00784623"/>
    <w:rsid w:val="00784ED7"/>
    <w:rsid w:val="00785E86"/>
    <w:rsid w:val="00786794"/>
    <w:rsid w:val="00786AC9"/>
    <w:rsid w:val="00786B55"/>
    <w:rsid w:val="00786BFE"/>
    <w:rsid w:val="007874E7"/>
    <w:rsid w:val="00790490"/>
    <w:rsid w:val="00790639"/>
    <w:rsid w:val="00791E59"/>
    <w:rsid w:val="007925BC"/>
    <w:rsid w:val="007930D0"/>
    <w:rsid w:val="00793E07"/>
    <w:rsid w:val="00794466"/>
    <w:rsid w:val="007959E6"/>
    <w:rsid w:val="00795DCC"/>
    <w:rsid w:val="00796919"/>
    <w:rsid w:val="00796B41"/>
    <w:rsid w:val="00796F9D"/>
    <w:rsid w:val="00797FC7"/>
    <w:rsid w:val="007A02AE"/>
    <w:rsid w:val="007A0577"/>
    <w:rsid w:val="007A0C79"/>
    <w:rsid w:val="007A121A"/>
    <w:rsid w:val="007A1A62"/>
    <w:rsid w:val="007A5006"/>
    <w:rsid w:val="007A5442"/>
    <w:rsid w:val="007A5E4A"/>
    <w:rsid w:val="007A61E1"/>
    <w:rsid w:val="007A7960"/>
    <w:rsid w:val="007B0DC9"/>
    <w:rsid w:val="007B0FE6"/>
    <w:rsid w:val="007B2C16"/>
    <w:rsid w:val="007B306B"/>
    <w:rsid w:val="007B42A1"/>
    <w:rsid w:val="007B43C7"/>
    <w:rsid w:val="007B4F15"/>
    <w:rsid w:val="007B5F32"/>
    <w:rsid w:val="007B7A59"/>
    <w:rsid w:val="007C0D2E"/>
    <w:rsid w:val="007C1261"/>
    <w:rsid w:val="007C14FC"/>
    <w:rsid w:val="007C170B"/>
    <w:rsid w:val="007C275C"/>
    <w:rsid w:val="007C2AF1"/>
    <w:rsid w:val="007C2E73"/>
    <w:rsid w:val="007C3178"/>
    <w:rsid w:val="007C3190"/>
    <w:rsid w:val="007C37DB"/>
    <w:rsid w:val="007C38BF"/>
    <w:rsid w:val="007C3C5A"/>
    <w:rsid w:val="007C4154"/>
    <w:rsid w:val="007C64EF"/>
    <w:rsid w:val="007C6DA4"/>
    <w:rsid w:val="007C7219"/>
    <w:rsid w:val="007C775C"/>
    <w:rsid w:val="007C7F72"/>
    <w:rsid w:val="007D10CA"/>
    <w:rsid w:val="007D13AB"/>
    <w:rsid w:val="007D1559"/>
    <w:rsid w:val="007D2AB6"/>
    <w:rsid w:val="007D2EAA"/>
    <w:rsid w:val="007D36AF"/>
    <w:rsid w:val="007D3AE0"/>
    <w:rsid w:val="007D3CA3"/>
    <w:rsid w:val="007D3DE5"/>
    <w:rsid w:val="007D5C37"/>
    <w:rsid w:val="007D6467"/>
    <w:rsid w:val="007D6B84"/>
    <w:rsid w:val="007D6C65"/>
    <w:rsid w:val="007D7F6A"/>
    <w:rsid w:val="007E06F5"/>
    <w:rsid w:val="007E0701"/>
    <w:rsid w:val="007E20FD"/>
    <w:rsid w:val="007E2601"/>
    <w:rsid w:val="007E2A00"/>
    <w:rsid w:val="007E48B6"/>
    <w:rsid w:val="007E5FD1"/>
    <w:rsid w:val="007E6398"/>
    <w:rsid w:val="007E6874"/>
    <w:rsid w:val="007E7580"/>
    <w:rsid w:val="007E7727"/>
    <w:rsid w:val="007E7C44"/>
    <w:rsid w:val="007F0158"/>
    <w:rsid w:val="007F0182"/>
    <w:rsid w:val="007F03C7"/>
    <w:rsid w:val="007F156C"/>
    <w:rsid w:val="007F1DEF"/>
    <w:rsid w:val="007F1E11"/>
    <w:rsid w:val="007F2361"/>
    <w:rsid w:val="007F3058"/>
    <w:rsid w:val="007F3968"/>
    <w:rsid w:val="007F3CAB"/>
    <w:rsid w:val="007F5625"/>
    <w:rsid w:val="007F65C6"/>
    <w:rsid w:val="007F673C"/>
    <w:rsid w:val="007F6914"/>
    <w:rsid w:val="007F6D60"/>
    <w:rsid w:val="007F7A35"/>
    <w:rsid w:val="007F7EAF"/>
    <w:rsid w:val="007F7F46"/>
    <w:rsid w:val="008014A3"/>
    <w:rsid w:val="00801E22"/>
    <w:rsid w:val="00802109"/>
    <w:rsid w:val="008026D4"/>
    <w:rsid w:val="00803B9B"/>
    <w:rsid w:val="00803DE0"/>
    <w:rsid w:val="00803EA2"/>
    <w:rsid w:val="0080457D"/>
    <w:rsid w:val="008048D2"/>
    <w:rsid w:val="0080492B"/>
    <w:rsid w:val="00804CEF"/>
    <w:rsid w:val="00806EC8"/>
    <w:rsid w:val="008071DD"/>
    <w:rsid w:val="00811530"/>
    <w:rsid w:val="0081207E"/>
    <w:rsid w:val="00812472"/>
    <w:rsid w:val="00812DD4"/>
    <w:rsid w:val="008132F6"/>
    <w:rsid w:val="00813A74"/>
    <w:rsid w:val="00813E87"/>
    <w:rsid w:val="00814015"/>
    <w:rsid w:val="00814ADA"/>
    <w:rsid w:val="00814C7F"/>
    <w:rsid w:val="0081618A"/>
    <w:rsid w:val="00816C26"/>
    <w:rsid w:val="0081736C"/>
    <w:rsid w:val="0081755D"/>
    <w:rsid w:val="00817A7B"/>
    <w:rsid w:val="00817B88"/>
    <w:rsid w:val="00817C01"/>
    <w:rsid w:val="008207FF"/>
    <w:rsid w:val="00820F72"/>
    <w:rsid w:val="008221B7"/>
    <w:rsid w:val="00822F01"/>
    <w:rsid w:val="0082458F"/>
    <w:rsid w:val="008248B2"/>
    <w:rsid w:val="00824A49"/>
    <w:rsid w:val="00824CCA"/>
    <w:rsid w:val="008250EC"/>
    <w:rsid w:val="00825878"/>
    <w:rsid w:val="00825D0E"/>
    <w:rsid w:val="0082659C"/>
    <w:rsid w:val="00826D99"/>
    <w:rsid w:val="00830C1D"/>
    <w:rsid w:val="00830F31"/>
    <w:rsid w:val="008319F7"/>
    <w:rsid w:val="0083322E"/>
    <w:rsid w:val="008335FA"/>
    <w:rsid w:val="00833FAA"/>
    <w:rsid w:val="00834215"/>
    <w:rsid w:val="0083483A"/>
    <w:rsid w:val="00834F37"/>
    <w:rsid w:val="00834FBD"/>
    <w:rsid w:val="008354AA"/>
    <w:rsid w:val="008367C1"/>
    <w:rsid w:val="00836DFB"/>
    <w:rsid w:val="00837633"/>
    <w:rsid w:val="00837997"/>
    <w:rsid w:val="00840EEA"/>
    <w:rsid w:val="00841418"/>
    <w:rsid w:val="0084189E"/>
    <w:rsid w:val="00842009"/>
    <w:rsid w:val="00843147"/>
    <w:rsid w:val="00843BE2"/>
    <w:rsid w:val="00843F9B"/>
    <w:rsid w:val="008444E0"/>
    <w:rsid w:val="008448FA"/>
    <w:rsid w:val="008456FD"/>
    <w:rsid w:val="008468F9"/>
    <w:rsid w:val="008476CF"/>
    <w:rsid w:val="00847A00"/>
    <w:rsid w:val="00847EF7"/>
    <w:rsid w:val="00850524"/>
    <w:rsid w:val="008505B5"/>
    <w:rsid w:val="008514FB"/>
    <w:rsid w:val="00851C98"/>
    <w:rsid w:val="00851CAD"/>
    <w:rsid w:val="008522E6"/>
    <w:rsid w:val="00852AAA"/>
    <w:rsid w:val="00854413"/>
    <w:rsid w:val="0085599B"/>
    <w:rsid w:val="00855D37"/>
    <w:rsid w:val="00856062"/>
    <w:rsid w:val="0085658F"/>
    <w:rsid w:val="008568DA"/>
    <w:rsid w:val="008568E3"/>
    <w:rsid w:val="00857847"/>
    <w:rsid w:val="00857A3A"/>
    <w:rsid w:val="008613D6"/>
    <w:rsid w:val="00861B1C"/>
    <w:rsid w:val="00861F19"/>
    <w:rsid w:val="00862119"/>
    <w:rsid w:val="008624A7"/>
    <w:rsid w:val="00863178"/>
    <w:rsid w:val="00863744"/>
    <w:rsid w:val="00863A10"/>
    <w:rsid w:val="008640DB"/>
    <w:rsid w:val="008647B6"/>
    <w:rsid w:val="00866AAD"/>
    <w:rsid w:val="00866EC0"/>
    <w:rsid w:val="008670DF"/>
    <w:rsid w:val="00867262"/>
    <w:rsid w:val="0087014A"/>
    <w:rsid w:val="0087032F"/>
    <w:rsid w:val="0087136A"/>
    <w:rsid w:val="00872B57"/>
    <w:rsid w:val="0087515C"/>
    <w:rsid w:val="00875F85"/>
    <w:rsid w:val="00875FF2"/>
    <w:rsid w:val="00876381"/>
    <w:rsid w:val="00876AD1"/>
    <w:rsid w:val="0087756B"/>
    <w:rsid w:val="00877E5B"/>
    <w:rsid w:val="008812E1"/>
    <w:rsid w:val="008817C3"/>
    <w:rsid w:val="008818E7"/>
    <w:rsid w:val="00883397"/>
    <w:rsid w:val="00884179"/>
    <w:rsid w:val="00886B24"/>
    <w:rsid w:val="00890B3C"/>
    <w:rsid w:val="00892A68"/>
    <w:rsid w:val="00892C39"/>
    <w:rsid w:val="008937FD"/>
    <w:rsid w:val="00893879"/>
    <w:rsid w:val="00893A8B"/>
    <w:rsid w:val="00893B04"/>
    <w:rsid w:val="008945AD"/>
    <w:rsid w:val="0089533F"/>
    <w:rsid w:val="00896512"/>
    <w:rsid w:val="008A04DB"/>
    <w:rsid w:val="008A0698"/>
    <w:rsid w:val="008A10E7"/>
    <w:rsid w:val="008A1696"/>
    <w:rsid w:val="008A2696"/>
    <w:rsid w:val="008A2DC1"/>
    <w:rsid w:val="008A2E75"/>
    <w:rsid w:val="008A3632"/>
    <w:rsid w:val="008A4538"/>
    <w:rsid w:val="008A4679"/>
    <w:rsid w:val="008A5C57"/>
    <w:rsid w:val="008A649D"/>
    <w:rsid w:val="008A6CB8"/>
    <w:rsid w:val="008B0F3E"/>
    <w:rsid w:val="008B28A9"/>
    <w:rsid w:val="008B2D15"/>
    <w:rsid w:val="008B3624"/>
    <w:rsid w:val="008B38EF"/>
    <w:rsid w:val="008B3FCD"/>
    <w:rsid w:val="008B421F"/>
    <w:rsid w:val="008B5425"/>
    <w:rsid w:val="008B5649"/>
    <w:rsid w:val="008B6887"/>
    <w:rsid w:val="008B6A81"/>
    <w:rsid w:val="008B79AB"/>
    <w:rsid w:val="008C02C0"/>
    <w:rsid w:val="008C101B"/>
    <w:rsid w:val="008C17A5"/>
    <w:rsid w:val="008C1E1D"/>
    <w:rsid w:val="008C1F1F"/>
    <w:rsid w:val="008C271C"/>
    <w:rsid w:val="008C2927"/>
    <w:rsid w:val="008C29AF"/>
    <w:rsid w:val="008C2CA4"/>
    <w:rsid w:val="008C348C"/>
    <w:rsid w:val="008C3534"/>
    <w:rsid w:val="008C469B"/>
    <w:rsid w:val="008C4D94"/>
    <w:rsid w:val="008C51B3"/>
    <w:rsid w:val="008C65FA"/>
    <w:rsid w:val="008C6EFD"/>
    <w:rsid w:val="008C778F"/>
    <w:rsid w:val="008C7798"/>
    <w:rsid w:val="008C7BE9"/>
    <w:rsid w:val="008D1907"/>
    <w:rsid w:val="008D2966"/>
    <w:rsid w:val="008D307D"/>
    <w:rsid w:val="008D5F78"/>
    <w:rsid w:val="008D6554"/>
    <w:rsid w:val="008D66E8"/>
    <w:rsid w:val="008D67F8"/>
    <w:rsid w:val="008D711E"/>
    <w:rsid w:val="008E09C4"/>
    <w:rsid w:val="008E1E9A"/>
    <w:rsid w:val="008E270F"/>
    <w:rsid w:val="008E2805"/>
    <w:rsid w:val="008E2F23"/>
    <w:rsid w:val="008E345A"/>
    <w:rsid w:val="008E4589"/>
    <w:rsid w:val="008E4842"/>
    <w:rsid w:val="008E48CB"/>
    <w:rsid w:val="008E4AA7"/>
    <w:rsid w:val="008E4C4C"/>
    <w:rsid w:val="008E5624"/>
    <w:rsid w:val="008E5895"/>
    <w:rsid w:val="008E6926"/>
    <w:rsid w:val="008E6EE9"/>
    <w:rsid w:val="008E714B"/>
    <w:rsid w:val="008F0F34"/>
    <w:rsid w:val="008F1D93"/>
    <w:rsid w:val="008F1F1B"/>
    <w:rsid w:val="008F21EF"/>
    <w:rsid w:val="008F22C9"/>
    <w:rsid w:val="008F3294"/>
    <w:rsid w:val="008F331C"/>
    <w:rsid w:val="008F3B00"/>
    <w:rsid w:val="008F525C"/>
    <w:rsid w:val="008F549A"/>
    <w:rsid w:val="008F56C2"/>
    <w:rsid w:val="008F5794"/>
    <w:rsid w:val="008F5A0A"/>
    <w:rsid w:val="008F5CBC"/>
    <w:rsid w:val="008F61F7"/>
    <w:rsid w:val="008F63B2"/>
    <w:rsid w:val="008F7CA9"/>
    <w:rsid w:val="008F7DF7"/>
    <w:rsid w:val="009003D0"/>
    <w:rsid w:val="00900407"/>
    <w:rsid w:val="00900471"/>
    <w:rsid w:val="00900482"/>
    <w:rsid w:val="0090048F"/>
    <w:rsid w:val="00900DDE"/>
    <w:rsid w:val="00901706"/>
    <w:rsid w:val="00903020"/>
    <w:rsid w:val="0090365C"/>
    <w:rsid w:val="00903765"/>
    <w:rsid w:val="00903A66"/>
    <w:rsid w:val="00903C64"/>
    <w:rsid w:val="00903E00"/>
    <w:rsid w:val="00904055"/>
    <w:rsid w:val="00905509"/>
    <w:rsid w:val="00907132"/>
    <w:rsid w:val="00907633"/>
    <w:rsid w:val="0091068E"/>
    <w:rsid w:val="00910D9D"/>
    <w:rsid w:val="009124A4"/>
    <w:rsid w:val="009128CA"/>
    <w:rsid w:val="00912919"/>
    <w:rsid w:val="00913551"/>
    <w:rsid w:val="00914AAE"/>
    <w:rsid w:val="0091673D"/>
    <w:rsid w:val="00916A39"/>
    <w:rsid w:val="009201A5"/>
    <w:rsid w:val="009201CD"/>
    <w:rsid w:val="00920C76"/>
    <w:rsid w:val="00921060"/>
    <w:rsid w:val="00921891"/>
    <w:rsid w:val="00921ED1"/>
    <w:rsid w:val="00923AC3"/>
    <w:rsid w:val="00925318"/>
    <w:rsid w:val="0092573A"/>
    <w:rsid w:val="00925A8F"/>
    <w:rsid w:val="00926899"/>
    <w:rsid w:val="00926BF8"/>
    <w:rsid w:val="00927974"/>
    <w:rsid w:val="00927D65"/>
    <w:rsid w:val="00930585"/>
    <w:rsid w:val="009306F7"/>
    <w:rsid w:val="0093075B"/>
    <w:rsid w:val="00930E1E"/>
    <w:rsid w:val="009316C2"/>
    <w:rsid w:val="009317C2"/>
    <w:rsid w:val="00932511"/>
    <w:rsid w:val="009329E1"/>
    <w:rsid w:val="00933F4D"/>
    <w:rsid w:val="00933F51"/>
    <w:rsid w:val="00935007"/>
    <w:rsid w:val="00935B4A"/>
    <w:rsid w:val="009365D9"/>
    <w:rsid w:val="0093694B"/>
    <w:rsid w:val="009375AC"/>
    <w:rsid w:val="009377B3"/>
    <w:rsid w:val="009377E8"/>
    <w:rsid w:val="00937CE4"/>
    <w:rsid w:val="00941682"/>
    <w:rsid w:val="00942117"/>
    <w:rsid w:val="009429FE"/>
    <w:rsid w:val="009431A2"/>
    <w:rsid w:val="00943245"/>
    <w:rsid w:val="009446FE"/>
    <w:rsid w:val="0094475F"/>
    <w:rsid w:val="00944D34"/>
    <w:rsid w:val="0094538D"/>
    <w:rsid w:val="0094570E"/>
    <w:rsid w:val="00945928"/>
    <w:rsid w:val="009504ED"/>
    <w:rsid w:val="0095111B"/>
    <w:rsid w:val="0095229E"/>
    <w:rsid w:val="00952543"/>
    <w:rsid w:val="00952D14"/>
    <w:rsid w:val="009541CA"/>
    <w:rsid w:val="009541ED"/>
    <w:rsid w:val="009554B2"/>
    <w:rsid w:val="00956116"/>
    <w:rsid w:val="0095666C"/>
    <w:rsid w:val="00956D42"/>
    <w:rsid w:val="00956ED6"/>
    <w:rsid w:val="009576AE"/>
    <w:rsid w:val="00960918"/>
    <w:rsid w:val="00961500"/>
    <w:rsid w:val="00962247"/>
    <w:rsid w:val="00962C0F"/>
    <w:rsid w:val="00963070"/>
    <w:rsid w:val="009632FA"/>
    <w:rsid w:val="0096417A"/>
    <w:rsid w:val="0096436D"/>
    <w:rsid w:val="00964DB9"/>
    <w:rsid w:val="00965636"/>
    <w:rsid w:val="009658B2"/>
    <w:rsid w:val="0096670C"/>
    <w:rsid w:val="00966E47"/>
    <w:rsid w:val="0096731F"/>
    <w:rsid w:val="00967D3B"/>
    <w:rsid w:val="00970CEA"/>
    <w:rsid w:val="009716C2"/>
    <w:rsid w:val="0097196A"/>
    <w:rsid w:val="00971E01"/>
    <w:rsid w:val="00972263"/>
    <w:rsid w:val="00972B41"/>
    <w:rsid w:val="00972C58"/>
    <w:rsid w:val="009735E0"/>
    <w:rsid w:val="009742C4"/>
    <w:rsid w:val="00974441"/>
    <w:rsid w:val="00975BEC"/>
    <w:rsid w:val="009770D3"/>
    <w:rsid w:val="0097759F"/>
    <w:rsid w:val="00977749"/>
    <w:rsid w:val="009778AB"/>
    <w:rsid w:val="00980337"/>
    <w:rsid w:val="009807E5"/>
    <w:rsid w:val="009808E1"/>
    <w:rsid w:val="009821C5"/>
    <w:rsid w:val="00983A7D"/>
    <w:rsid w:val="00985482"/>
    <w:rsid w:val="00987558"/>
    <w:rsid w:val="00987842"/>
    <w:rsid w:val="0099059D"/>
    <w:rsid w:val="00990C93"/>
    <w:rsid w:val="00990CDE"/>
    <w:rsid w:val="0099293F"/>
    <w:rsid w:val="00992E36"/>
    <w:rsid w:val="00992FC7"/>
    <w:rsid w:val="00993C0A"/>
    <w:rsid w:val="0099402C"/>
    <w:rsid w:val="00994267"/>
    <w:rsid w:val="00994A9C"/>
    <w:rsid w:val="00995388"/>
    <w:rsid w:val="009954F6"/>
    <w:rsid w:val="0099579F"/>
    <w:rsid w:val="00997147"/>
    <w:rsid w:val="00997412"/>
    <w:rsid w:val="0099782B"/>
    <w:rsid w:val="00997CAD"/>
    <w:rsid w:val="00997D5C"/>
    <w:rsid w:val="00997EAD"/>
    <w:rsid w:val="009A0077"/>
    <w:rsid w:val="009A0690"/>
    <w:rsid w:val="009A0FC7"/>
    <w:rsid w:val="009A118F"/>
    <w:rsid w:val="009A126E"/>
    <w:rsid w:val="009A19B4"/>
    <w:rsid w:val="009A1AF0"/>
    <w:rsid w:val="009A1B47"/>
    <w:rsid w:val="009A1FE7"/>
    <w:rsid w:val="009A2176"/>
    <w:rsid w:val="009A23A9"/>
    <w:rsid w:val="009A3172"/>
    <w:rsid w:val="009A3714"/>
    <w:rsid w:val="009A39BC"/>
    <w:rsid w:val="009A4DAE"/>
    <w:rsid w:val="009A512F"/>
    <w:rsid w:val="009A5AA8"/>
    <w:rsid w:val="009A5BB8"/>
    <w:rsid w:val="009A5CFC"/>
    <w:rsid w:val="009A5E9E"/>
    <w:rsid w:val="009A685B"/>
    <w:rsid w:val="009A6EE0"/>
    <w:rsid w:val="009A77EB"/>
    <w:rsid w:val="009A78DD"/>
    <w:rsid w:val="009A7D04"/>
    <w:rsid w:val="009B03CA"/>
    <w:rsid w:val="009B2DBE"/>
    <w:rsid w:val="009B2E4D"/>
    <w:rsid w:val="009B3316"/>
    <w:rsid w:val="009B348D"/>
    <w:rsid w:val="009B3D21"/>
    <w:rsid w:val="009B5EF7"/>
    <w:rsid w:val="009B5F7A"/>
    <w:rsid w:val="009B64E4"/>
    <w:rsid w:val="009B7387"/>
    <w:rsid w:val="009C0E78"/>
    <w:rsid w:val="009C1524"/>
    <w:rsid w:val="009C15E3"/>
    <w:rsid w:val="009C28A3"/>
    <w:rsid w:val="009C2EBD"/>
    <w:rsid w:val="009C31A9"/>
    <w:rsid w:val="009C32E5"/>
    <w:rsid w:val="009C3926"/>
    <w:rsid w:val="009C4613"/>
    <w:rsid w:val="009C4A35"/>
    <w:rsid w:val="009C4D10"/>
    <w:rsid w:val="009C621C"/>
    <w:rsid w:val="009C62C8"/>
    <w:rsid w:val="009C6662"/>
    <w:rsid w:val="009C6888"/>
    <w:rsid w:val="009C6916"/>
    <w:rsid w:val="009C6FC2"/>
    <w:rsid w:val="009D0036"/>
    <w:rsid w:val="009D04CD"/>
    <w:rsid w:val="009D1870"/>
    <w:rsid w:val="009D1CE4"/>
    <w:rsid w:val="009D2A63"/>
    <w:rsid w:val="009D2FF8"/>
    <w:rsid w:val="009D3199"/>
    <w:rsid w:val="009D3293"/>
    <w:rsid w:val="009D39DB"/>
    <w:rsid w:val="009D4F7F"/>
    <w:rsid w:val="009D5BFA"/>
    <w:rsid w:val="009D647D"/>
    <w:rsid w:val="009D6B2E"/>
    <w:rsid w:val="009E00C5"/>
    <w:rsid w:val="009E1111"/>
    <w:rsid w:val="009E1A8E"/>
    <w:rsid w:val="009E1EE0"/>
    <w:rsid w:val="009E2B60"/>
    <w:rsid w:val="009E2CF7"/>
    <w:rsid w:val="009E39C1"/>
    <w:rsid w:val="009E3C94"/>
    <w:rsid w:val="009E3DDE"/>
    <w:rsid w:val="009E57D9"/>
    <w:rsid w:val="009E59DD"/>
    <w:rsid w:val="009E5B3A"/>
    <w:rsid w:val="009E5F13"/>
    <w:rsid w:val="009E6135"/>
    <w:rsid w:val="009E69C1"/>
    <w:rsid w:val="009E711F"/>
    <w:rsid w:val="009F06E9"/>
    <w:rsid w:val="009F19B1"/>
    <w:rsid w:val="009F1EDF"/>
    <w:rsid w:val="009F2157"/>
    <w:rsid w:val="009F3230"/>
    <w:rsid w:val="009F4065"/>
    <w:rsid w:val="009F5867"/>
    <w:rsid w:val="009F6F7A"/>
    <w:rsid w:val="00A00900"/>
    <w:rsid w:val="00A00A1B"/>
    <w:rsid w:val="00A00BA1"/>
    <w:rsid w:val="00A00FA4"/>
    <w:rsid w:val="00A017DB"/>
    <w:rsid w:val="00A02D61"/>
    <w:rsid w:val="00A03B45"/>
    <w:rsid w:val="00A04388"/>
    <w:rsid w:val="00A06078"/>
    <w:rsid w:val="00A06610"/>
    <w:rsid w:val="00A06759"/>
    <w:rsid w:val="00A06BFE"/>
    <w:rsid w:val="00A10187"/>
    <w:rsid w:val="00A107FE"/>
    <w:rsid w:val="00A11E5E"/>
    <w:rsid w:val="00A1301C"/>
    <w:rsid w:val="00A131DA"/>
    <w:rsid w:val="00A1479E"/>
    <w:rsid w:val="00A150FB"/>
    <w:rsid w:val="00A16496"/>
    <w:rsid w:val="00A167DB"/>
    <w:rsid w:val="00A16ADD"/>
    <w:rsid w:val="00A16ADF"/>
    <w:rsid w:val="00A177C2"/>
    <w:rsid w:val="00A17B5B"/>
    <w:rsid w:val="00A203D3"/>
    <w:rsid w:val="00A2078F"/>
    <w:rsid w:val="00A20EC4"/>
    <w:rsid w:val="00A2112C"/>
    <w:rsid w:val="00A21B61"/>
    <w:rsid w:val="00A226AB"/>
    <w:rsid w:val="00A22812"/>
    <w:rsid w:val="00A22CF0"/>
    <w:rsid w:val="00A23571"/>
    <w:rsid w:val="00A23E13"/>
    <w:rsid w:val="00A24B34"/>
    <w:rsid w:val="00A256F9"/>
    <w:rsid w:val="00A25B91"/>
    <w:rsid w:val="00A27E7E"/>
    <w:rsid w:val="00A3055B"/>
    <w:rsid w:val="00A31021"/>
    <w:rsid w:val="00A314A0"/>
    <w:rsid w:val="00A3153F"/>
    <w:rsid w:val="00A31F22"/>
    <w:rsid w:val="00A32E52"/>
    <w:rsid w:val="00A338C0"/>
    <w:rsid w:val="00A340E8"/>
    <w:rsid w:val="00A35D0F"/>
    <w:rsid w:val="00A36CC9"/>
    <w:rsid w:val="00A3733D"/>
    <w:rsid w:val="00A37BCC"/>
    <w:rsid w:val="00A40999"/>
    <w:rsid w:val="00A40A23"/>
    <w:rsid w:val="00A41FEB"/>
    <w:rsid w:val="00A4304B"/>
    <w:rsid w:val="00A441C1"/>
    <w:rsid w:val="00A44F0D"/>
    <w:rsid w:val="00A45632"/>
    <w:rsid w:val="00A461A4"/>
    <w:rsid w:val="00A4643B"/>
    <w:rsid w:val="00A46689"/>
    <w:rsid w:val="00A4684C"/>
    <w:rsid w:val="00A4722F"/>
    <w:rsid w:val="00A5110F"/>
    <w:rsid w:val="00A51B1A"/>
    <w:rsid w:val="00A52228"/>
    <w:rsid w:val="00A523E3"/>
    <w:rsid w:val="00A529E6"/>
    <w:rsid w:val="00A52D5D"/>
    <w:rsid w:val="00A5347E"/>
    <w:rsid w:val="00A5348B"/>
    <w:rsid w:val="00A53E5C"/>
    <w:rsid w:val="00A53F63"/>
    <w:rsid w:val="00A55038"/>
    <w:rsid w:val="00A5673E"/>
    <w:rsid w:val="00A56C33"/>
    <w:rsid w:val="00A5713F"/>
    <w:rsid w:val="00A57574"/>
    <w:rsid w:val="00A6013D"/>
    <w:rsid w:val="00A60969"/>
    <w:rsid w:val="00A60A36"/>
    <w:rsid w:val="00A614C7"/>
    <w:rsid w:val="00A61544"/>
    <w:rsid w:val="00A6223B"/>
    <w:rsid w:val="00A6262D"/>
    <w:rsid w:val="00A636EC"/>
    <w:rsid w:val="00A64C0C"/>
    <w:rsid w:val="00A64C1D"/>
    <w:rsid w:val="00A65047"/>
    <w:rsid w:val="00A65609"/>
    <w:rsid w:val="00A65AE7"/>
    <w:rsid w:val="00A6672E"/>
    <w:rsid w:val="00A66919"/>
    <w:rsid w:val="00A67219"/>
    <w:rsid w:val="00A673FC"/>
    <w:rsid w:val="00A67E1D"/>
    <w:rsid w:val="00A701CB"/>
    <w:rsid w:val="00A70340"/>
    <w:rsid w:val="00A708B5"/>
    <w:rsid w:val="00A711C4"/>
    <w:rsid w:val="00A71DAD"/>
    <w:rsid w:val="00A7236F"/>
    <w:rsid w:val="00A72824"/>
    <w:rsid w:val="00A7369A"/>
    <w:rsid w:val="00A73D55"/>
    <w:rsid w:val="00A75335"/>
    <w:rsid w:val="00A75918"/>
    <w:rsid w:val="00A76880"/>
    <w:rsid w:val="00A772B3"/>
    <w:rsid w:val="00A7776E"/>
    <w:rsid w:val="00A806A7"/>
    <w:rsid w:val="00A80A29"/>
    <w:rsid w:val="00A81AD2"/>
    <w:rsid w:val="00A81E86"/>
    <w:rsid w:val="00A8247B"/>
    <w:rsid w:val="00A83084"/>
    <w:rsid w:val="00A85EDD"/>
    <w:rsid w:val="00A871D9"/>
    <w:rsid w:val="00A87750"/>
    <w:rsid w:val="00A904A0"/>
    <w:rsid w:val="00A90BEA"/>
    <w:rsid w:val="00A91D4F"/>
    <w:rsid w:val="00A92345"/>
    <w:rsid w:val="00A93244"/>
    <w:rsid w:val="00A9464D"/>
    <w:rsid w:val="00A94C3B"/>
    <w:rsid w:val="00A94D04"/>
    <w:rsid w:val="00A95053"/>
    <w:rsid w:val="00A95162"/>
    <w:rsid w:val="00A95AA3"/>
    <w:rsid w:val="00A95CBD"/>
    <w:rsid w:val="00A95E55"/>
    <w:rsid w:val="00A9655E"/>
    <w:rsid w:val="00A9663A"/>
    <w:rsid w:val="00AA0210"/>
    <w:rsid w:val="00AA0D08"/>
    <w:rsid w:val="00AA2CF3"/>
    <w:rsid w:val="00AA34D6"/>
    <w:rsid w:val="00AA3A8B"/>
    <w:rsid w:val="00AA40EB"/>
    <w:rsid w:val="00AA4CC8"/>
    <w:rsid w:val="00AA523A"/>
    <w:rsid w:val="00AA71B3"/>
    <w:rsid w:val="00AA71EA"/>
    <w:rsid w:val="00AA7400"/>
    <w:rsid w:val="00AA747E"/>
    <w:rsid w:val="00AA771E"/>
    <w:rsid w:val="00AA7986"/>
    <w:rsid w:val="00AB184C"/>
    <w:rsid w:val="00AB2EF0"/>
    <w:rsid w:val="00AB2FD6"/>
    <w:rsid w:val="00AB33C8"/>
    <w:rsid w:val="00AB4083"/>
    <w:rsid w:val="00AB530F"/>
    <w:rsid w:val="00AB5D33"/>
    <w:rsid w:val="00AB6150"/>
    <w:rsid w:val="00AB6B7D"/>
    <w:rsid w:val="00AB6E30"/>
    <w:rsid w:val="00AB6EB3"/>
    <w:rsid w:val="00AB7A77"/>
    <w:rsid w:val="00AB7F96"/>
    <w:rsid w:val="00AC1036"/>
    <w:rsid w:val="00AC10C5"/>
    <w:rsid w:val="00AC1D06"/>
    <w:rsid w:val="00AC20FE"/>
    <w:rsid w:val="00AC3B9F"/>
    <w:rsid w:val="00AC4214"/>
    <w:rsid w:val="00AC4245"/>
    <w:rsid w:val="00AC429D"/>
    <w:rsid w:val="00AC43D2"/>
    <w:rsid w:val="00AC4C62"/>
    <w:rsid w:val="00AC5DC1"/>
    <w:rsid w:val="00AC64EA"/>
    <w:rsid w:val="00AC79D1"/>
    <w:rsid w:val="00AC7C9A"/>
    <w:rsid w:val="00AD0842"/>
    <w:rsid w:val="00AD1FE3"/>
    <w:rsid w:val="00AD2426"/>
    <w:rsid w:val="00AD4D21"/>
    <w:rsid w:val="00AD51D6"/>
    <w:rsid w:val="00AD57D0"/>
    <w:rsid w:val="00AD6502"/>
    <w:rsid w:val="00AD79AD"/>
    <w:rsid w:val="00AE06EE"/>
    <w:rsid w:val="00AE0C33"/>
    <w:rsid w:val="00AE1318"/>
    <w:rsid w:val="00AE1B2E"/>
    <w:rsid w:val="00AE1C39"/>
    <w:rsid w:val="00AE201A"/>
    <w:rsid w:val="00AE36E9"/>
    <w:rsid w:val="00AE4ACE"/>
    <w:rsid w:val="00AE4B88"/>
    <w:rsid w:val="00AE52F0"/>
    <w:rsid w:val="00AE568C"/>
    <w:rsid w:val="00AE6144"/>
    <w:rsid w:val="00AE6EE7"/>
    <w:rsid w:val="00AE75C2"/>
    <w:rsid w:val="00AE7D07"/>
    <w:rsid w:val="00AF0523"/>
    <w:rsid w:val="00AF05E8"/>
    <w:rsid w:val="00AF1839"/>
    <w:rsid w:val="00AF2574"/>
    <w:rsid w:val="00AF296B"/>
    <w:rsid w:val="00AF4690"/>
    <w:rsid w:val="00AF7271"/>
    <w:rsid w:val="00AF75DF"/>
    <w:rsid w:val="00AF7D97"/>
    <w:rsid w:val="00AF7F81"/>
    <w:rsid w:val="00B002C5"/>
    <w:rsid w:val="00B003C8"/>
    <w:rsid w:val="00B0044B"/>
    <w:rsid w:val="00B01FA0"/>
    <w:rsid w:val="00B02DE4"/>
    <w:rsid w:val="00B0300B"/>
    <w:rsid w:val="00B03127"/>
    <w:rsid w:val="00B0359A"/>
    <w:rsid w:val="00B03738"/>
    <w:rsid w:val="00B03ADD"/>
    <w:rsid w:val="00B10005"/>
    <w:rsid w:val="00B10590"/>
    <w:rsid w:val="00B107A8"/>
    <w:rsid w:val="00B107AF"/>
    <w:rsid w:val="00B107DC"/>
    <w:rsid w:val="00B109D9"/>
    <w:rsid w:val="00B12606"/>
    <w:rsid w:val="00B136AE"/>
    <w:rsid w:val="00B13BA9"/>
    <w:rsid w:val="00B13DEA"/>
    <w:rsid w:val="00B146DD"/>
    <w:rsid w:val="00B15440"/>
    <w:rsid w:val="00B159AA"/>
    <w:rsid w:val="00B15C68"/>
    <w:rsid w:val="00B15D5F"/>
    <w:rsid w:val="00B1661A"/>
    <w:rsid w:val="00B16ADA"/>
    <w:rsid w:val="00B16F64"/>
    <w:rsid w:val="00B17A2E"/>
    <w:rsid w:val="00B17A35"/>
    <w:rsid w:val="00B207EA"/>
    <w:rsid w:val="00B20BFB"/>
    <w:rsid w:val="00B20C39"/>
    <w:rsid w:val="00B2153A"/>
    <w:rsid w:val="00B21851"/>
    <w:rsid w:val="00B21A8D"/>
    <w:rsid w:val="00B2287A"/>
    <w:rsid w:val="00B22DDC"/>
    <w:rsid w:val="00B22EA3"/>
    <w:rsid w:val="00B24C91"/>
    <w:rsid w:val="00B25A50"/>
    <w:rsid w:val="00B2777F"/>
    <w:rsid w:val="00B300DF"/>
    <w:rsid w:val="00B30261"/>
    <w:rsid w:val="00B311E1"/>
    <w:rsid w:val="00B31420"/>
    <w:rsid w:val="00B329AE"/>
    <w:rsid w:val="00B3326B"/>
    <w:rsid w:val="00B338D0"/>
    <w:rsid w:val="00B33D3A"/>
    <w:rsid w:val="00B35D98"/>
    <w:rsid w:val="00B40161"/>
    <w:rsid w:val="00B40F26"/>
    <w:rsid w:val="00B419A1"/>
    <w:rsid w:val="00B4222A"/>
    <w:rsid w:val="00B42A5C"/>
    <w:rsid w:val="00B437D9"/>
    <w:rsid w:val="00B44255"/>
    <w:rsid w:val="00B44E3E"/>
    <w:rsid w:val="00B44FAC"/>
    <w:rsid w:val="00B455BF"/>
    <w:rsid w:val="00B47B7E"/>
    <w:rsid w:val="00B51172"/>
    <w:rsid w:val="00B513B7"/>
    <w:rsid w:val="00B52B29"/>
    <w:rsid w:val="00B52B91"/>
    <w:rsid w:val="00B5325B"/>
    <w:rsid w:val="00B5380B"/>
    <w:rsid w:val="00B53A6A"/>
    <w:rsid w:val="00B543E2"/>
    <w:rsid w:val="00B55267"/>
    <w:rsid w:val="00B553FE"/>
    <w:rsid w:val="00B61177"/>
    <w:rsid w:val="00B627C4"/>
    <w:rsid w:val="00B62B6A"/>
    <w:rsid w:val="00B62CCF"/>
    <w:rsid w:val="00B6305C"/>
    <w:rsid w:val="00B630E6"/>
    <w:rsid w:val="00B633BD"/>
    <w:rsid w:val="00B6356A"/>
    <w:rsid w:val="00B63A86"/>
    <w:rsid w:val="00B63DEE"/>
    <w:rsid w:val="00B64393"/>
    <w:rsid w:val="00B6447B"/>
    <w:rsid w:val="00B66600"/>
    <w:rsid w:val="00B67094"/>
    <w:rsid w:val="00B67F6A"/>
    <w:rsid w:val="00B70170"/>
    <w:rsid w:val="00B70812"/>
    <w:rsid w:val="00B7171E"/>
    <w:rsid w:val="00B717DA"/>
    <w:rsid w:val="00B71FD6"/>
    <w:rsid w:val="00B72B6A"/>
    <w:rsid w:val="00B7327E"/>
    <w:rsid w:val="00B73ACD"/>
    <w:rsid w:val="00B73BA5"/>
    <w:rsid w:val="00B74129"/>
    <w:rsid w:val="00B74E26"/>
    <w:rsid w:val="00B7551A"/>
    <w:rsid w:val="00B75673"/>
    <w:rsid w:val="00B758D3"/>
    <w:rsid w:val="00B75C89"/>
    <w:rsid w:val="00B76812"/>
    <w:rsid w:val="00B779B9"/>
    <w:rsid w:val="00B77E4E"/>
    <w:rsid w:val="00B802A1"/>
    <w:rsid w:val="00B81AFF"/>
    <w:rsid w:val="00B82A3B"/>
    <w:rsid w:val="00B830E0"/>
    <w:rsid w:val="00B83F38"/>
    <w:rsid w:val="00B84910"/>
    <w:rsid w:val="00B84E09"/>
    <w:rsid w:val="00B8513D"/>
    <w:rsid w:val="00B85DBD"/>
    <w:rsid w:val="00B86961"/>
    <w:rsid w:val="00B86ABC"/>
    <w:rsid w:val="00B871B9"/>
    <w:rsid w:val="00B904D2"/>
    <w:rsid w:val="00B90A02"/>
    <w:rsid w:val="00B91193"/>
    <w:rsid w:val="00B91A9F"/>
    <w:rsid w:val="00B92013"/>
    <w:rsid w:val="00B9384A"/>
    <w:rsid w:val="00B9419B"/>
    <w:rsid w:val="00B94FFC"/>
    <w:rsid w:val="00B95ADF"/>
    <w:rsid w:val="00B95ED1"/>
    <w:rsid w:val="00B9643F"/>
    <w:rsid w:val="00B96D53"/>
    <w:rsid w:val="00B971F3"/>
    <w:rsid w:val="00B97511"/>
    <w:rsid w:val="00B97B12"/>
    <w:rsid w:val="00BA0097"/>
    <w:rsid w:val="00BA05D9"/>
    <w:rsid w:val="00BA0E5E"/>
    <w:rsid w:val="00BA0E93"/>
    <w:rsid w:val="00BA104B"/>
    <w:rsid w:val="00BA13F3"/>
    <w:rsid w:val="00BA149A"/>
    <w:rsid w:val="00BA14C1"/>
    <w:rsid w:val="00BA1503"/>
    <w:rsid w:val="00BA176C"/>
    <w:rsid w:val="00BA1A9F"/>
    <w:rsid w:val="00BA41C4"/>
    <w:rsid w:val="00BA4AF4"/>
    <w:rsid w:val="00BA51DC"/>
    <w:rsid w:val="00BA5FB0"/>
    <w:rsid w:val="00BA66D9"/>
    <w:rsid w:val="00BA69EC"/>
    <w:rsid w:val="00BA723C"/>
    <w:rsid w:val="00BA7D9D"/>
    <w:rsid w:val="00BB0872"/>
    <w:rsid w:val="00BB08B5"/>
    <w:rsid w:val="00BB0926"/>
    <w:rsid w:val="00BB0C4A"/>
    <w:rsid w:val="00BB0E7A"/>
    <w:rsid w:val="00BB16A3"/>
    <w:rsid w:val="00BB1AF9"/>
    <w:rsid w:val="00BB2264"/>
    <w:rsid w:val="00BB227A"/>
    <w:rsid w:val="00BB2C8B"/>
    <w:rsid w:val="00BB3C4D"/>
    <w:rsid w:val="00BB47A2"/>
    <w:rsid w:val="00BB4ADB"/>
    <w:rsid w:val="00BB4B0D"/>
    <w:rsid w:val="00BB57D1"/>
    <w:rsid w:val="00BB5F5F"/>
    <w:rsid w:val="00BB65F1"/>
    <w:rsid w:val="00BB6BF3"/>
    <w:rsid w:val="00BB7225"/>
    <w:rsid w:val="00BB7C43"/>
    <w:rsid w:val="00BC01B7"/>
    <w:rsid w:val="00BC01C9"/>
    <w:rsid w:val="00BC02C5"/>
    <w:rsid w:val="00BC0913"/>
    <w:rsid w:val="00BC13B9"/>
    <w:rsid w:val="00BC19D4"/>
    <w:rsid w:val="00BC3394"/>
    <w:rsid w:val="00BC43EB"/>
    <w:rsid w:val="00BC5DCA"/>
    <w:rsid w:val="00BC6E60"/>
    <w:rsid w:val="00BC727B"/>
    <w:rsid w:val="00BC751F"/>
    <w:rsid w:val="00BC77EB"/>
    <w:rsid w:val="00BC792E"/>
    <w:rsid w:val="00BC7D65"/>
    <w:rsid w:val="00BD0B00"/>
    <w:rsid w:val="00BD0D6D"/>
    <w:rsid w:val="00BD1A5E"/>
    <w:rsid w:val="00BD1B69"/>
    <w:rsid w:val="00BD1C97"/>
    <w:rsid w:val="00BD220F"/>
    <w:rsid w:val="00BD26FD"/>
    <w:rsid w:val="00BD2879"/>
    <w:rsid w:val="00BD2B17"/>
    <w:rsid w:val="00BD321E"/>
    <w:rsid w:val="00BD32EF"/>
    <w:rsid w:val="00BD38E3"/>
    <w:rsid w:val="00BD3E63"/>
    <w:rsid w:val="00BD4EE5"/>
    <w:rsid w:val="00BD567D"/>
    <w:rsid w:val="00BD592F"/>
    <w:rsid w:val="00BD5ADB"/>
    <w:rsid w:val="00BD7256"/>
    <w:rsid w:val="00BD7837"/>
    <w:rsid w:val="00BD7996"/>
    <w:rsid w:val="00BD79BB"/>
    <w:rsid w:val="00BE0163"/>
    <w:rsid w:val="00BE0237"/>
    <w:rsid w:val="00BE0B8A"/>
    <w:rsid w:val="00BE22D0"/>
    <w:rsid w:val="00BE34E9"/>
    <w:rsid w:val="00BE4223"/>
    <w:rsid w:val="00BE45F5"/>
    <w:rsid w:val="00BE4BAB"/>
    <w:rsid w:val="00BE56C0"/>
    <w:rsid w:val="00BE58E9"/>
    <w:rsid w:val="00BE6355"/>
    <w:rsid w:val="00BE6F7C"/>
    <w:rsid w:val="00BE6FC1"/>
    <w:rsid w:val="00BE72B4"/>
    <w:rsid w:val="00BE7548"/>
    <w:rsid w:val="00BE7A03"/>
    <w:rsid w:val="00BE7AE5"/>
    <w:rsid w:val="00BF0C23"/>
    <w:rsid w:val="00BF222E"/>
    <w:rsid w:val="00BF378D"/>
    <w:rsid w:val="00BF4556"/>
    <w:rsid w:val="00BF5F74"/>
    <w:rsid w:val="00BF62F7"/>
    <w:rsid w:val="00BF6BB2"/>
    <w:rsid w:val="00BF709D"/>
    <w:rsid w:val="00BF74A2"/>
    <w:rsid w:val="00BF79A1"/>
    <w:rsid w:val="00BF7E66"/>
    <w:rsid w:val="00BF7FB9"/>
    <w:rsid w:val="00C002D5"/>
    <w:rsid w:val="00C0054F"/>
    <w:rsid w:val="00C005EC"/>
    <w:rsid w:val="00C00AC7"/>
    <w:rsid w:val="00C00FD9"/>
    <w:rsid w:val="00C0126E"/>
    <w:rsid w:val="00C0395F"/>
    <w:rsid w:val="00C03A7C"/>
    <w:rsid w:val="00C0419A"/>
    <w:rsid w:val="00C04C18"/>
    <w:rsid w:val="00C04FBF"/>
    <w:rsid w:val="00C05FFD"/>
    <w:rsid w:val="00C06042"/>
    <w:rsid w:val="00C06066"/>
    <w:rsid w:val="00C1276E"/>
    <w:rsid w:val="00C127C1"/>
    <w:rsid w:val="00C12F4F"/>
    <w:rsid w:val="00C133D8"/>
    <w:rsid w:val="00C13584"/>
    <w:rsid w:val="00C1379C"/>
    <w:rsid w:val="00C13E14"/>
    <w:rsid w:val="00C13F8A"/>
    <w:rsid w:val="00C15202"/>
    <w:rsid w:val="00C1595E"/>
    <w:rsid w:val="00C16332"/>
    <w:rsid w:val="00C1684C"/>
    <w:rsid w:val="00C16DD7"/>
    <w:rsid w:val="00C17083"/>
    <w:rsid w:val="00C21602"/>
    <w:rsid w:val="00C21CF6"/>
    <w:rsid w:val="00C21ED4"/>
    <w:rsid w:val="00C22157"/>
    <w:rsid w:val="00C23020"/>
    <w:rsid w:val="00C24C64"/>
    <w:rsid w:val="00C254C1"/>
    <w:rsid w:val="00C25505"/>
    <w:rsid w:val="00C2594C"/>
    <w:rsid w:val="00C25AFE"/>
    <w:rsid w:val="00C25B9D"/>
    <w:rsid w:val="00C2679E"/>
    <w:rsid w:val="00C26E47"/>
    <w:rsid w:val="00C26FC2"/>
    <w:rsid w:val="00C27371"/>
    <w:rsid w:val="00C30138"/>
    <w:rsid w:val="00C30E4E"/>
    <w:rsid w:val="00C31010"/>
    <w:rsid w:val="00C31BE2"/>
    <w:rsid w:val="00C3340B"/>
    <w:rsid w:val="00C33892"/>
    <w:rsid w:val="00C33A8B"/>
    <w:rsid w:val="00C34253"/>
    <w:rsid w:val="00C36376"/>
    <w:rsid w:val="00C3696F"/>
    <w:rsid w:val="00C36BA8"/>
    <w:rsid w:val="00C36D53"/>
    <w:rsid w:val="00C36DA9"/>
    <w:rsid w:val="00C37A91"/>
    <w:rsid w:val="00C400B3"/>
    <w:rsid w:val="00C4028F"/>
    <w:rsid w:val="00C4136C"/>
    <w:rsid w:val="00C421A1"/>
    <w:rsid w:val="00C42CFE"/>
    <w:rsid w:val="00C4349B"/>
    <w:rsid w:val="00C43ACA"/>
    <w:rsid w:val="00C43CC4"/>
    <w:rsid w:val="00C43CD1"/>
    <w:rsid w:val="00C44F36"/>
    <w:rsid w:val="00C46561"/>
    <w:rsid w:val="00C47331"/>
    <w:rsid w:val="00C5068D"/>
    <w:rsid w:val="00C50D6F"/>
    <w:rsid w:val="00C5242C"/>
    <w:rsid w:val="00C53469"/>
    <w:rsid w:val="00C537E9"/>
    <w:rsid w:val="00C53A77"/>
    <w:rsid w:val="00C56D07"/>
    <w:rsid w:val="00C5758C"/>
    <w:rsid w:val="00C57683"/>
    <w:rsid w:val="00C57BD3"/>
    <w:rsid w:val="00C57DE3"/>
    <w:rsid w:val="00C60776"/>
    <w:rsid w:val="00C61D75"/>
    <w:rsid w:val="00C62632"/>
    <w:rsid w:val="00C63B68"/>
    <w:rsid w:val="00C63CC6"/>
    <w:rsid w:val="00C64F50"/>
    <w:rsid w:val="00C672A4"/>
    <w:rsid w:val="00C71948"/>
    <w:rsid w:val="00C71993"/>
    <w:rsid w:val="00C7260F"/>
    <w:rsid w:val="00C72BE5"/>
    <w:rsid w:val="00C72CB5"/>
    <w:rsid w:val="00C73842"/>
    <w:rsid w:val="00C73AE1"/>
    <w:rsid w:val="00C73B35"/>
    <w:rsid w:val="00C73C97"/>
    <w:rsid w:val="00C73D50"/>
    <w:rsid w:val="00C74429"/>
    <w:rsid w:val="00C7535F"/>
    <w:rsid w:val="00C7556B"/>
    <w:rsid w:val="00C8056D"/>
    <w:rsid w:val="00C80618"/>
    <w:rsid w:val="00C80E60"/>
    <w:rsid w:val="00C8141F"/>
    <w:rsid w:val="00C81C26"/>
    <w:rsid w:val="00C82744"/>
    <w:rsid w:val="00C82E7F"/>
    <w:rsid w:val="00C833BC"/>
    <w:rsid w:val="00C851BE"/>
    <w:rsid w:val="00C85469"/>
    <w:rsid w:val="00C87202"/>
    <w:rsid w:val="00C9153E"/>
    <w:rsid w:val="00C92BCC"/>
    <w:rsid w:val="00C93811"/>
    <w:rsid w:val="00C93EF0"/>
    <w:rsid w:val="00C94864"/>
    <w:rsid w:val="00C95422"/>
    <w:rsid w:val="00C95E03"/>
    <w:rsid w:val="00C95F48"/>
    <w:rsid w:val="00C9681D"/>
    <w:rsid w:val="00C96FCC"/>
    <w:rsid w:val="00C97037"/>
    <w:rsid w:val="00C97B44"/>
    <w:rsid w:val="00CA0790"/>
    <w:rsid w:val="00CA07B7"/>
    <w:rsid w:val="00CA13E6"/>
    <w:rsid w:val="00CA332F"/>
    <w:rsid w:val="00CA344E"/>
    <w:rsid w:val="00CA3AB8"/>
    <w:rsid w:val="00CA43D5"/>
    <w:rsid w:val="00CA4BFD"/>
    <w:rsid w:val="00CA63C2"/>
    <w:rsid w:val="00CA6679"/>
    <w:rsid w:val="00CA6887"/>
    <w:rsid w:val="00CA771D"/>
    <w:rsid w:val="00CB06E6"/>
    <w:rsid w:val="00CB0822"/>
    <w:rsid w:val="00CB0902"/>
    <w:rsid w:val="00CB1BEF"/>
    <w:rsid w:val="00CB2FF6"/>
    <w:rsid w:val="00CB31BE"/>
    <w:rsid w:val="00CB31F4"/>
    <w:rsid w:val="00CB3549"/>
    <w:rsid w:val="00CB381E"/>
    <w:rsid w:val="00CB3AAD"/>
    <w:rsid w:val="00CB4F64"/>
    <w:rsid w:val="00CB54DE"/>
    <w:rsid w:val="00CB583C"/>
    <w:rsid w:val="00CB5BB3"/>
    <w:rsid w:val="00CB60E3"/>
    <w:rsid w:val="00CB67A2"/>
    <w:rsid w:val="00CB6983"/>
    <w:rsid w:val="00CB69BF"/>
    <w:rsid w:val="00CB6FE6"/>
    <w:rsid w:val="00CB7A80"/>
    <w:rsid w:val="00CC120B"/>
    <w:rsid w:val="00CC124B"/>
    <w:rsid w:val="00CC1611"/>
    <w:rsid w:val="00CC2650"/>
    <w:rsid w:val="00CC345D"/>
    <w:rsid w:val="00CC4321"/>
    <w:rsid w:val="00CC481D"/>
    <w:rsid w:val="00CC62DA"/>
    <w:rsid w:val="00CD05F2"/>
    <w:rsid w:val="00CD15A2"/>
    <w:rsid w:val="00CD161F"/>
    <w:rsid w:val="00CD1737"/>
    <w:rsid w:val="00CD1A41"/>
    <w:rsid w:val="00CD626F"/>
    <w:rsid w:val="00CD658B"/>
    <w:rsid w:val="00CD6AAA"/>
    <w:rsid w:val="00CD6DBD"/>
    <w:rsid w:val="00CD7586"/>
    <w:rsid w:val="00CD7C00"/>
    <w:rsid w:val="00CE11FC"/>
    <w:rsid w:val="00CE17E1"/>
    <w:rsid w:val="00CE2545"/>
    <w:rsid w:val="00CE3BD7"/>
    <w:rsid w:val="00CE4476"/>
    <w:rsid w:val="00CE4839"/>
    <w:rsid w:val="00CE51C3"/>
    <w:rsid w:val="00CE654F"/>
    <w:rsid w:val="00CE6C05"/>
    <w:rsid w:val="00CE7619"/>
    <w:rsid w:val="00CE7E13"/>
    <w:rsid w:val="00CE7F3F"/>
    <w:rsid w:val="00CF05B6"/>
    <w:rsid w:val="00CF11BB"/>
    <w:rsid w:val="00CF23A4"/>
    <w:rsid w:val="00CF2CCC"/>
    <w:rsid w:val="00CF2F22"/>
    <w:rsid w:val="00CF326E"/>
    <w:rsid w:val="00CF68E4"/>
    <w:rsid w:val="00CF7619"/>
    <w:rsid w:val="00CF7A1E"/>
    <w:rsid w:val="00CF7C59"/>
    <w:rsid w:val="00D01740"/>
    <w:rsid w:val="00D02052"/>
    <w:rsid w:val="00D0252F"/>
    <w:rsid w:val="00D03272"/>
    <w:rsid w:val="00D041EE"/>
    <w:rsid w:val="00D0462A"/>
    <w:rsid w:val="00D04C71"/>
    <w:rsid w:val="00D05010"/>
    <w:rsid w:val="00D05240"/>
    <w:rsid w:val="00D062A0"/>
    <w:rsid w:val="00D07172"/>
    <w:rsid w:val="00D07583"/>
    <w:rsid w:val="00D07784"/>
    <w:rsid w:val="00D100D0"/>
    <w:rsid w:val="00D10A94"/>
    <w:rsid w:val="00D10E00"/>
    <w:rsid w:val="00D110E2"/>
    <w:rsid w:val="00D120C7"/>
    <w:rsid w:val="00D130E6"/>
    <w:rsid w:val="00D13351"/>
    <w:rsid w:val="00D13F50"/>
    <w:rsid w:val="00D13FF3"/>
    <w:rsid w:val="00D14638"/>
    <w:rsid w:val="00D14A52"/>
    <w:rsid w:val="00D15DFC"/>
    <w:rsid w:val="00D160D2"/>
    <w:rsid w:val="00D16646"/>
    <w:rsid w:val="00D17031"/>
    <w:rsid w:val="00D17C24"/>
    <w:rsid w:val="00D2024E"/>
    <w:rsid w:val="00D2060D"/>
    <w:rsid w:val="00D20787"/>
    <w:rsid w:val="00D208EF"/>
    <w:rsid w:val="00D2125D"/>
    <w:rsid w:val="00D2152A"/>
    <w:rsid w:val="00D2172E"/>
    <w:rsid w:val="00D21E9B"/>
    <w:rsid w:val="00D223C1"/>
    <w:rsid w:val="00D22424"/>
    <w:rsid w:val="00D22435"/>
    <w:rsid w:val="00D226DF"/>
    <w:rsid w:val="00D23F05"/>
    <w:rsid w:val="00D26BB7"/>
    <w:rsid w:val="00D2727F"/>
    <w:rsid w:val="00D32DCB"/>
    <w:rsid w:val="00D338CE"/>
    <w:rsid w:val="00D34186"/>
    <w:rsid w:val="00D35646"/>
    <w:rsid w:val="00D35873"/>
    <w:rsid w:val="00D36097"/>
    <w:rsid w:val="00D36679"/>
    <w:rsid w:val="00D37E50"/>
    <w:rsid w:val="00D40F78"/>
    <w:rsid w:val="00D41AE4"/>
    <w:rsid w:val="00D41DB1"/>
    <w:rsid w:val="00D430A4"/>
    <w:rsid w:val="00D4389E"/>
    <w:rsid w:val="00D4419E"/>
    <w:rsid w:val="00D445BF"/>
    <w:rsid w:val="00D45652"/>
    <w:rsid w:val="00D4619E"/>
    <w:rsid w:val="00D4668C"/>
    <w:rsid w:val="00D46F45"/>
    <w:rsid w:val="00D46F7C"/>
    <w:rsid w:val="00D47D01"/>
    <w:rsid w:val="00D505A2"/>
    <w:rsid w:val="00D50AA7"/>
    <w:rsid w:val="00D50DBE"/>
    <w:rsid w:val="00D50E67"/>
    <w:rsid w:val="00D51169"/>
    <w:rsid w:val="00D51DB1"/>
    <w:rsid w:val="00D53BA0"/>
    <w:rsid w:val="00D54091"/>
    <w:rsid w:val="00D54255"/>
    <w:rsid w:val="00D55B17"/>
    <w:rsid w:val="00D55FBF"/>
    <w:rsid w:val="00D57684"/>
    <w:rsid w:val="00D60153"/>
    <w:rsid w:val="00D606D6"/>
    <w:rsid w:val="00D60875"/>
    <w:rsid w:val="00D60DDF"/>
    <w:rsid w:val="00D61A88"/>
    <w:rsid w:val="00D61F7C"/>
    <w:rsid w:val="00D634DA"/>
    <w:rsid w:val="00D641DD"/>
    <w:rsid w:val="00D65065"/>
    <w:rsid w:val="00D658EE"/>
    <w:rsid w:val="00D67EB8"/>
    <w:rsid w:val="00D70A06"/>
    <w:rsid w:val="00D70E14"/>
    <w:rsid w:val="00D719F1"/>
    <w:rsid w:val="00D71AD0"/>
    <w:rsid w:val="00D726EB"/>
    <w:rsid w:val="00D72E57"/>
    <w:rsid w:val="00D73021"/>
    <w:rsid w:val="00D73486"/>
    <w:rsid w:val="00D73D5C"/>
    <w:rsid w:val="00D74042"/>
    <w:rsid w:val="00D75433"/>
    <w:rsid w:val="00D754AB"/>
    <w:rsid w:val="00D75D0E"/>
    <w:rsid w:val="00D76B63"/>
    <w:rsid w:val="00D76E08"/>
    <w:rsid w:val="00D77026"/>
    <w:rsid w:val="00D77560"/>
    <w:rsid w:val="00D77584"/>
    <w:rsid w:val="00D77F53"/>
    <w:rsid w:val="00D80121"/>
    <w:rsid w:val="00D803F1"/>
    <w:rsid w:val="00D807BB"/>
    <w:rsid w:val="00D80AD8"/>
    <w:rsid w:val="00D80EFE"/>
    <w:rsid w:val="00D80FE5"/>
    <w:rsid w:val="00D81B08"/>
    <w:rsid w:val="00D823A6"/>
    <w:rsid w:val="00D82E54"/>
    <w:rsid w:val="00D83897"/>
    <w:rsid w:val="00D844A1"/>
    <w:rsid w:val="00D844C0"/>
    <w:rsid w:val="00D84EF8"/>
    <w:rsid w:val="00D8513E"/>
    <w:rsid w:val="00D85672"/>
    <w:rsid w:val="00D85ABD"/>
    <w:rsid w:val="00D87CC0"/>
    <w:rsid w:val="00D87D3A"/>
    <w:rsid w:val="00D902CC"/>
    <w:rsid w:val="00D90FC5"/>
    <w:rsid w:val="00D91FC0"/>
    <w:rsid w:val="00D92D0F"/>
    <w:rsid w:val="00D9361C"/>
    <w:rsid w:val="00D93C6D"/>
    <w:rsid w:val="00D942E6"/>
    <w:rsid w:val="00D9503C"/>
    <w:rsid w:val="00D9532E"/>
    <w:rsid w:val="00DA098C"/>
    <w:rsid w:val="00DA098E"/>
    <w:rsid w:val="00DA112A"/>
    <w:rsid w:val="00DA1828"/>
    <w:rsid w:val="00DA18A2"/>
    <w:rsid w:val="00DA1987"/>
    <w:rsid w:val="00DA1EAC"/>
    <w:rsid w:val="00DA3093"/>
    <w:rsid w:val="00DA33AA"/>
    <w:rsid w:val="00DA3F3E"/>
    <w:rsid w:val="00DA406D"/>
    <w:rsid w:val="00DA49EC"/>
    <w:rsid w:val="00DA5BBC"/>
    <w:rsid w:val="00DA6E1F"/>
    <w:rsid w:val="00DA6E60"/>
    <w:rsid w:val="00DA7DF5"/>
    <w:rsid w:val="00DB0515"/>
    <w:rsid w:val="00DB1844"/>
    <w:rsid w:val="00DB1D48"/>
    <w:rsid w:val="00DB1E70"/>
    <w:rsid w:val="00DB253F"/>
    <w:rsid w:val="00DB39AA"/>
    <w:rsid w:val="00DB4129"/>
    <w:rsid w:val="00DB6337"/>
    <w:rsid w:val="00DB665C"/>
    <w:rsid w:val="00DC0694"/>
    <w:rsid w:val="00DC1EF6"/>
    <w:rsid w:val="00DC2BD9"/>
    <w:rsid w:val="00DC2C6D"/>
    <w:rsid w:val="00DC45E7"/>
    <w:rsid w:val="00DC5075"/>
    <w:rsid w:val="00DC54F4"/>
    <w:rsid w:val="00DC57B0"/>
    <w:rsid w:val="00DC652A"/>
    <w:rsid w:val="00DC6E8C"/>
    <w:rsid w:val="00DC6EDA"/>
    <w:rsid w:val="00DC6F8D"/>
    <w:rsid w:val="00DC7476"/>
    <w:rsid w:val="00DC7863"/>
    <w:rsid w:val="00DC7ED5"/>
    <w:rsid w:val="00DD04EF"/>
    <w:rsid w:val="00DD0A5A"/>
    <w:rsid w:val="00DD0ECA"/>
    <w:rsid w:val="00DD1040"/>
    <w:rsid w:val="00DD167A"/>
    <w:rsid w:val="00DD22CF"/>
    <w:rsid w:val="00DD26C6"/>
    <w:rsid w:val="00DD2D27"/>
    <w:rsid w:val="00DD338A"/>
    <w:rsid w:val="00DD398F"/>
    <w:rsid w:val="00DD444F"/>
    <w:rsid w:val="00DD4525"/>
    <w:rsid w:val="00DD46BA"/>
    <w:rsid w:val="00DD47D1"/>
    <w:rsid w:val="00DD4D63"/>
    <w:rsid w:val="00DD4E8C"/>
    <w:rsid w:val="00DD6511"/>
    <w:rsid w:val="00DD7474"/>
    <w:rsid w:val="00DE0426"/>
    <w:rsid w:val="00DE1B66"/>
    <w:rsid w:val="00DE292B"/>
    <w:rsid w:val="00DE357E"/>
    <w:rsid w:val="00DE362E"/>
    <w:rsid w:val="00DE3662"/>
    <w:rsid w:val="00DE48B8"/>
    <w:rsid w:val="00DE5CDF"/>
    <w:rsid w:val="00DE602F"/>
    <w:rsid w:val="00DE659E"/>
    <w:rsid w:val="00DE723C"/>
    <w:rsid w:val="00DF0176"/>
    <w:rsid w:val="00DF17CC"/>
    <w:rsid w:val="00DF3006"/>
    <w:rsid w:val="00DF47DF"/>
    <w:rsid w:val="00DF634E"/>
    <w:rsid w:val="00DF653C"/>
    <w:rsid w:val="00DF6814"/>
    <w:rsid w:val="00DF7DA0"/>
    <w:rsid w:val="00E011CF"/>
    <w:rsid w:val="00E0185C"/>
    <w:rsid w:val="00E01F8C"/>
    <w:rsid w:val="00E028A6"/>
    <w:rsid w:val="00E02EE2"/>
    <w:rsid w:val="00E04211"/>
    <w:rsid w:val="00E053CE"/>
    <w:rsid w:val="00E0578F"/>
    <w:rsid w:val="00E06629"/>
    <w:rsid w:val="00E06EF0"/>
    <w:rsid w:val="00E07A56"/>
    <w:rsid w:val="00E07F1D"/>
    <w:rsid w:val="00E1060C"/>
    <w:rsid w:val="00E113B0"/>
    <w:rsid w:val="00E11B85"/>
    <w:rsid w:val="00E12BE7"/>
    <w:rsid w:val="00E133D1"/>
    <w:rsid w:val="00E135EB"/>
    <w:rsid w:val="00E13EF9"/>
    <w:rsid w:val="00E14987"/>
    <w:rsid w:val="00E14F77"/>
    <w:rsid w:val="00E15F4A"/>
    <w:rsid w:val="00E16E7B"/>
    <w:rsid w:val="00E2013D"/>
    <w:rsid w:val="00E20196"/>
    <w:rsid w:val="00E202C2"/>
    <w:rsid w:val="00E20965"/>
    <w:rsid w:val="00E22010"/>
    <w:rsid w:val="00E22024"/>
    <w:rsid w:val="00E22A75"/>
    <w:rsid w:val="00E22B54"/>
    <w:rsid w:val="00E232FE"/>
    <w:rsid w:val="00E23858"/>
    <w:rsid w:val="00E23BFF"/>
    <w:rsid w:val="00E25734"/>
    <w:rsid w:val="00E259CF"/>
    <w:rsid w:val="00E25B66"/>
    <w:rsid w:val="00E26C31"/>
    <w:rsid w:val="00E2769F"/>
    <w:rsid w:val="00E27FC1"/>
    <w:rsid w:val="00E3086E"/>
    <w:rsid w:val="00E30FBB"/>
    <w:rsid w:val="00E31DF9"/>
    <w:rsid w:val="00E34275"/>
    <w:rsid w:val="00E34DDD"/>
    <w:rsid w:val="00E35CE1"/>
    <w:rsid w:val="00E36B64"/>
    <w:rsid w:val="00E3720C"/>
    <w:rsid w:val="00E378E9"/>
    <w:rsid w:val="00E37AB7"/>
    <w:rsid w:val="00E4092F"/>
    <w:rsid w:val="00E40A0B"/>
    <w:rsid w:val="00E41F8F"/>
    <w:rsid w:val="00E4352D"/>
    <w:rsid w:val="00E4363E"/>
    <w:rsid w:val="00E43780"/>
    <w:rsid w:val="00E437CF"/>
    <w:rsid w:val="00E440E9"/>
    <w:rsid w:val="00E44C1B"/>
    <w:rsid w:val="00E44C9C"/>
    <w:rsid w:val="00E45104"/>
    <w:rsid w:val="00E451BF"/>
    <w:rsid w:val="00E45AE5"/>
    <w:rsid w:val="00E4701B"/>
    <w:rsid w:val="00E476F3"/>
    <w:rsid w:val="00E479C5"/>
    <w:rsid w:val="00E47BFE"/>
    <w:rsid w:val="00E50552"/>
    <w:rsid w:val="00E5057E"/>
    <w:rsid w:val="00E505EE"/>
    <w:rsid w:val="00E506F0"/>
    <w:rsid w:val="00E51005"/>
    <w:rsid w:val="00E51289"/>
    <w:rsid w:val="00E5417B"/>
    <w:rsid w:val="00E547C2"/>
    <w:rsid w:val="00E54C1B"/>
    <w:rsid w:val="00E56152"/>
    <w:rsid w:val="00E5683E"/>
    <w:rsid w:val="00E6030C"/>
    <w:rsid w:val="00E605C2"/>
    <w:rsid w:val="00E62404"/>
    <w:rsid w:val="00E624BD"/>
    <w:rsid w:val="00E6274D"/>
    <w:rsid w:val="00E62888"/>
    <w:rsid w:val="00E629B5"/>
    <w:rsid w:val="00E62AC6"/>
    <w:rsid w:val="00E62BD7"/>
    <w:rsid w:val="00E635CA"/>
    <w:rsid w:val="00E63ECB"/>
    <w:rsid w:val="00E646E3"/>
    <w:rsid w:val="00E652F2"/>
    <w:rsid w:val="00E65585"/>
    <w:rsid w:val="00E66D65"/>
    <w:rsid w:val="00E67379"/>
    <w:rsid w:val="00E67CCA"/>
    <w:rsid w:val="00E71863"/>
    <w:rsid w:val="00E72C80"/>
    <w:rsid w:val="00E72C9B"/>
    <w:rsid w:val="00E73738"/>
    <w:rsid w:val="00E73F0E"/>
    <w:rsid w:val="00E74F1F"/>
    <w:rsid w:val="00E74F31"/>
    <w:rsid w:val="00E75D09"/>
    <w:rsid w:val="00E765A7"/>
    <w:rsid w:val="00E76A99"/>
    <w:rsid w:val="00E76C1D"/>
    <w:rsid w:val="00E7704A"/>
    <w:rsid w:val="00E77CB3"/>
    <w:rsid w:val="00E77D19"/>
    <w:rsid w:val="00E80AB0"/>
    <w:rsid w:val="00E8163A"/>
    <w:rsid w:val="00E81723"/>
    <w:rsid w:val="00E82198"/>
    <w:rsid w:val="00E82AE2"/>
    <w:rsid w:val="00E83027"/>
    <w:rsid w:val="00E833AC"/>
    <w:rsid w:val="00E838FB"/>
    <w:rsid w:val="00E84233"/>
    <w:rsid w:val="00E84CB8"/>
    <w:rsid w:val="00E84CEB"/>
    <w:rsid w:val="00E85E57"/>
    <w:rsid w:val="00E864DC"/>
    <w:rsid w:val="00E909E1"/>
    <w:rsid w:val="00E90B59"/>
    <w:rsid w:val="00E91B8F"/>
    <w:rsid w:val="00E9219E"/>
    <w:rsid w:val="00E921B6"/>
    <w:rsid w:val="00E938AF"/>
    <w:rsid w:val="00E93ECA"/>
    <w:rsid w:val="00E944D6"/>
    <w:rsid w:val="00E948C7"/>
    <w:rsid w:val="00E96179"/>
    <w:rsid w:val="00E96186"/>
    <w:rsid w:val="00E96B35"/>
    <w:rsid w:val="00EA02B6"/>
    <w:rsid w:val="00EA1CF6"/>
    <w:rsid w:val="00EA32DB"/>
    <w:rsid w:val="00EA3812"/>
    <w:rsid w:val="00EA3831"/>
    <w:rsid w:val="00EA4968"/>
    <w:rsid w:val="00EA4A06"/>
    <w:rsid w:val="00EA4DED"/>
    <w:rsid w:val="00EA5EE9"/>
    <w:rsid w:val="00EA6BB8"/>
    <w:rsid w:val="00EA7B15"/>
    <w:rsid w:val="00EB051B"/>
    <w:rsid w:val="00EB28AD"/>
    <w:rsid w:val="00EB440B"/>
    <w:rsid w:val="00EB585A"/>
    <w:rsid w:val="00EB6A0A"/>
    <w:rsid w:val="00EB7838"/>
    <w:rsid w:val="00EC1BF8"/>
    <w:rsid w:val="00EC1E19"/>
    <w:rsid w:val="00EC3087"/>
    <w:rsid w:val="00EC34D3"/>
    <w:rsid w:val="00EC37C2"/>
    <w:rsid w:val="00EC55FE"/>
    <w:rsid w:val="00EC56B4"/>
    <w:rsid w:val="00EC6087"/>
    <w:rsid w:val="00EC7157"/>
    <w:rsid w:val="00EC7194"/>
    <w:rsid w:val="00EC7A17"/>
    <w:rsid w:val="00ED008C"/>
    <w:rsid w:val="00ED1485"/>
    <w:rsid w:val="00ED19F3"/>
    <w:rsid w:val="00ED2020"/>
    <w:rsid w:val="00ED208F"/>
    <w:rsid w:val="00ED254E"/>
    <w:rsid w:val="00ED2924"/>
    <w:rsid w:val="00ED2B6C"/>
    <w:rsid w:val="00ED2C0E"/>
    <w:rsid w:val="00ED2CA8"/>
    <w:rsid w:val="00ED2D3C"/>
    <w:rsid w:val="00ED323C"/>
    <w:rsid w:val="00ED4117"/>
    <w:rsid w:val="00ED5464"/>
    <w:rsid w:val="00ED7AB2"/>
    <w:rsid w:val="00ED7FE7"/>
    <w:rsid w:val="00EE1109"/>
    <w:rsid w:val="00EE217E"/>
    <w:rsid w:val="00EE6C26"/>
    <w:rsid w:val="00EE7D84"/>
    <w:rsid w:val="00EF02C6"/>
    <w:rsid w:val="00EF03D7"/>
    <w:rsid w:val="00EF17D1"/>
    <w:rsid w:val="00EF2B32"/>
    <w:rsid w:val="00EF3040"/>
    <w:rsid w:val="00EF343F"/>
    <w:rsid w:val="00EF4505"/>
    <w:rsid w:val="00EF4BB4"/>
    <w:rsid w:val="00EF4C41"/>
    <w:rsid w:val="00EF5CD0"/>
    <w:rsid w:val="00EF66D7"/>
    <w:rsid w:val="00EF69BA"/>
    <w:rsid w:val="00EF6F7B"/>
    <w:rsid w:val="00F013FD"/>
    <w:rsid w:val="00F0182F"/>
    <w:rsid w:val="00F01AE7"/>
    <w:rsid w:val="00F01D68"/>
    <w:rsid w:val="00F036F4"/>
    <w:rsid w:val="00F03865"/>
    <w:rsid w:val="00F043C1"/>
    <w:rsid w:val="00F056B5"/>
    <w:rsid w:val="00F06B0F"/>
    <w:rsid w:val="00F06DE9"/>
    <w:rsid w:val="00F07469"/>
    <w:rsid w:val="00F074A7"/>
    <w:rsid w:val="00F0771E"/>
    <w:rsid w:val="00F105CD"/>
    <w:rsid w:val="00F12AA7"/>
    <w:rsid w:val="00F12ABE"/>
    <w:rsid w:val="00F137CB"/>
    <w:rsid w:val="00F148DC"/>
    <w:rsid w:val="00F14943"/>
    <w:rsid w:val="00F14EEB"/>
    <w:rsid w:val="00F14F29"/>
    <w:rsid w:val="00F1524E"/>
    <w:rsid w:val="00F1581D"/>
    <w:rsid w:val="00F15A50"/>
    <w:rsid w:val="00F162F3"/>
    <w:rsid w:val="00F2007A"/>
    <w:rsid w:val="00F203AD"/>
    <w:rsid w:val="00F20D45"/>
    <w:rsid w:val="00F211C9"/>
    <w:rsid w:val="00F2217F"/>
    <w:rsid w:val="00F224F5"/>
    <w:rsid w:val="00F22B6C"/>
    <w:rsid w:val="00F243ED"/>
    <w:rsid w:val="00F244DA"/>
    <w:rsid w:val="00F24BC0"/>
    <w:rsid w:val="00F24D87"/>
    <w:rsid w:val="00F253FF"/>
    <w:rsid w:val="00F257B2"/>
    <w:rsid w:val="00F25A94"/>
    <w:rsid w:val="00F25E72"/>
    <w:rsid w:val="00F26422"/>
    <w:rsid w:val="00F269DA"/>
    <w:rsid w:val="00F272A1"/>
    <w:rsid w:val="00F278EE"/>
    <w:rsid w:val="00F30084"/>
    <w:rsid w:val="00F30BC9"/>
    <w:rsid w:val="00F30CC3"/>
    <w:rsid w:val="00F312BD"/>
    <w:rsid w:val="00F3169C"/>
    <w:rsid w:val="00F320FF"/>
    <w:rsid w:val="00F33608"/>
    <w:rsid w:val="00F33E45"/>
    <w:rsid w:val="00F34D62"/>
    <w:rsid w:val="00F37AAB"/>
    <w:rsid w:val="00F41F6C"/>
    <w:rsid w:val="00F4262B"/>
    <w:rsid w:val="00F4271C"/>
    <w:rsid w:val="00F4322D"/>
    <w:rsid w:val="00F4442D"/>
    <w:rsid w:val="00F45A7F"/>
    <w:rsid w:val="00F4698C"/>
    <w:rsid w:val="00F47B0C"/>
    <w:rsid w:val="00F504D6"/>
    <w:rsid w:val="00F50BB2"/>
    <w:rsid w:val="00F511EB"/>
    <w:rsid w:val="00F514C1"/>
    <w:rsid w:val="00F5154B"/>
    <w:rsid w:val="00F51562"/>
    <w:rsid w:val="00F51ECF"/>
    <w:rsid w:val="00F53A05"/>
    <w:rsid w:val="00F540A1"/>
    <w:rsid w:val="00F55B36"/>
    <w:rsid w:val="00F5703E"/>
    <w:rsid w:val="00F57BA1"/>
    <w:rsid w:val="00F60BE9"/>
    <w:rsid w:val="00F614B7"/>
    <w:rsid w:val="00F6186B"/>
    <w:rsid w:val="00F618D8"/>
    <w:rsid w:val="00F622D4"/>
    <w:rsid w:val="00F62A65"/>
    <w:rsid w:val="00F62FDD"/>
    <w:rsid w:val="00F6330E"/>
    <w:rsid w:val="00F63901"/>
    <w:rsid w:val="00F639DE"/>
    <w:rsid w:val="00F64163"/>
    <w:rsid w:val="00F64899"/>
    <w:rsid w:val="00F65655"/>
    <w:rsid w:val="00F657BD"/>
    <w:rsid w:val="00F65812"/>
    <w:rsid w:val="00F65870"/>
    <w:rsid w:val="00F6587A"/>
    <w:rsid w:val="00F667F5"/>
    <w:rsid w:val="00F675F6"/>
    <w:rsid w:val="00F71194"/>
    <w:rsid w:val="00F71342"/>
    <w:rsid w:val="00F71612"/>
    <w:rsid w:val="00F71A46"/>
    <w:rsid w:val="00F71CD9"/>
    <w:rsid w:val="00F72174"/>
    <w:rsid w:val="00F73C98"/>
    <w:rsid w:val="00F75078"/>
    <w:rsid w:val="00F75167"/>
    <w:rsid w:val="00F751BF"/>
    <w:rsid w:val="00F75EFC"/>
    <w:rsid w:val="00F804AB"/>
    <w:rsid w:val="00F804C8"/>
    <w:rsid w:val="00F8112E"/>
    <w:rsid w:val="00F812A5"/>
    <w:rsid w:val="00F823E0"/>
    <w:rsid w:val="00F82961"/>
    <w:rsid w:val="00F835BA"/>
    <w:rsid w:val="00F83D3B"/>
    <w:rsid w:val="00F8406A"/>
    <w:rsid w:val="00F8798A"/>
    <w:rsid w:val="00F87C22"/>
    <w:rsid w:val="00F90EDC"/>
    <w:rsid w:val="00F9120E"/>
    <w:rsid w:val="00F9145F"/>
    <w:rsid w:val="00F9211C"/>
    <w:rsid w:val="00F92181"/>
    <w:rsid w:val="00F92CB7"/>
    <w:rsid w:val="00F93512"/>
    <w:rsid w:val="00F93842"/>
    <w:rsid w:val="00F94405"/>
    <w:rsid w:val="00F96499"/>
    <w:rsid w:val="00F9661A"/>
    <w:rsid w:val="00FA1354"/>
    <w:rsid w:val="00FA1D24"/>
    <w:rsid w:val="00FA2B4F"/>
    <w:rsid w:val="00FA34D3"/>
    <w:rsid w:val="00FA442F"/>
    <w:rsid w:val="00FA4461"/>
    <w:rsid w:val="00FA4EBB"/>
    <w:rsid w:val="00FA52E3"/>
    <w:rsid w:val="00FA754A"/>
    <w:rsid w:val="00FA7B42"/>
    <w:rsid w:val="00FB0DCD"/>
    <w:rsid w:val="00FB0E2B"/>
    <w:rsid w:val="00FB1511"/>
    <w:rsid w:val="00FB1973"/>
    <w:rsid w:val="00FB1CF2"/>
    <w:rsid w:val="00FB1D9D"/>
    <w:rsid w:val="00FB332A"/>
    <w:rsid w:val="00FB47A9"/>
    <w:rsid w:val="00FB5035"/>
    <w:rsid w:val="00FB56D3"/>
    <w:rsid w:val="00FB6CA0"/>
    <w:rsid w:val="00FB6D65"/>
    <w:rsid w:val="00FB72C5"/>
    <w:rsid w:val="00FB7865"/>
    <w:rsid w:val="00FB7F05"/>
    <w:rsid w:val="00FC08E6"/>
    <w:rsid w:val="00FC0AAF"/>
    <w:rsid w:val="00FC107A"/>
    <w:rsid w:val="00FC183F"/>
    <w:rsid w:val="00FC296C"/>
    <w:rsid w:val="00FC2C34"/>
    <w:rsid w:val="00FC30F5"/>
    <w:rsid w:val="00FC3581"/>
    <w:rsid w:val="00FC4042"/>
    <w:rsid w:val="00FC5657"/>
    <w:rsid w:val="00FC7072"/>
    <w:rsid w:val="00FC74B9"/>
    <w:rsid w:val="00FC78C1"/>
    <w:rsid w:val="00FD0FCE"/>
    <w:rsid w:val="00FD10F9"/>
    <w:rsid w:val="00FD154C"/>
    <w:rsid w:val="00FD198B"/>
    <w:rsid w:val="00FD1D7A"/>
    <w:rsid w:val="00FD2AEC"/>
    <w:rsid w:val="00FD3CE0"/>
    <w:rsid w:val="00FD4334"/>
    <w:rsid w:val="00FD4B13"/>
    <w:rsid w:val="00FD5ABA"/>
    <w:rsid w:val="00FD5EE8"/>
    <w:rsid w:val="00FD70DB"/>
    <w:rsid w:val="00FD7470"/>
    <w:rsid w:val="00FD77C0"/>
    <w:rsid w:val="00FD790F"/>
    <w:rsid w:val="00FD7DAA"/>
    <w:rsid w:val="00FE163C"/>
    <w:rsid w:val="00FE1931"/>
    <w:rsid w:val="00FE1D0C"/>
    <w:rsid w:val="00FE1E84"/>
    <w:rsid w:val="00FE28F9"/>
    <w:rsid w:val="00FE3342"/>
    <w:rsid w:val="00FE48F3"/>
    <w:rsid w:val="00FE5101"/>
    <w:rsid w:val="00FE5373"/>
    <w:rsid w:val="00FE6842"/>
    <w:rsid w:val="00FE6B8D"/>
    <w:rsid w:val="00FE6D85"/>
    <w:rsid w:val="00FE700C"/>
    <w:rsid w:val="00FE77F9"/>
    <w:rsid w:val="00FF0231"/>
    <w:rsid w:val="00FF148A"/>
    <w:rsid w:val="00FF17C9"/>
    <w:rsid w:val="00FF1903"/>
    <w:rsid w:val="00FF2471"/>
    <w:rsid w:val="00FF2ACA"/>
    <w:rsid w:val="00FF2B94"/>
    <w:rsid w:val="00FF315F"/>
    <w:rsid w:val="00FF38DC"/>
    <w:rsid w:val="00FF5ADE"/>
    <w:rsid w:val="00FF65DF"/>
    <w:rsid w:val="00FF6A7C"/>
    <w:rsid w:val="00FF6BB5"/>
    <w:rsid w:val="00FF6CAA"/>
    <w:rsid w:val="00FF77C9"/>
    <w:rsid w:val="00FF78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F8F69A5"/>
  <w15:docId w15:val="{8A8EC06D-C1AA-484F-AA09-E78ACC962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467"/>
  </w:style>
  <w:style w:type="paragraph" w:styleId="Heading1">
    <w:name w:val="heading 1"/>
    <w:basedOn w:val="NoSpacing"/>
    <w:next w:val="NoSpacing"/>
    <w:link w:val="Heading1Char"/>
    <w:uiPriority w:val="9"/>
    <w:qFormat/>
    <w:rsid w:val="002D0662"/>
    <w:pPr>
      <w:keepNext/>
      <w:keepLines/>
      <w:shd w:val="clear" w:color="auto" w:fill="E7E6E6" w:themeFill="background2"/>
      <w:outlineLvl w:val="0"/>
    </w:pPr>
    <w:rPr>
      <w:rFonts w:eastAsiaTheme="majorEastAsia" w:cstheme="majorBidi"/>
      <w:b/>
      <w:bCs/>
      <w:color w:val="5B9BD5" w:themeColor="accent1"/>
      <w:sz w:val="32"/>
      <w:szCs w:val="28"/>
    </w:rPr>
  </w:style>
  <w:style w:type="paragraph" w:styleId="Heading2">
    <w:name w:val="heading 2"/>
    <w:basedOn w:val="NoSpacing"/>
    <w:next w:val="NoSpacing"/>
    <w:link w:val="Heading2Char"/>
    <w:uiPriority w:val="9"/>
    <w:unhideWhenUsed/>
    <w:qFormat/>
    <w:rsid w:val="00C80E60"/>
    <w:pPr>
      <w:keepNext/>
      <w:keepLines/>
      <w:outlineLvl w:val="1"/>
    </w:pPr>
    <w:rPr>
      <w:rFonts w:asciiTheme="majorHAnsi" w:eastAsiaTheme="majorEastAsia" w:hAnsiTheme="majorHAnsi" w:cstheme="majorBidi"/>
      <w:bCs/>
      <w:color w:val="2E74B5" w:themeColor="accent1" w:themeShade="BF"/>
      <w:sz w:val="32"/>
      <w:szCs w:val="26"/>
    </w:rPr>
  </w:style>
  <w:style w:type="paragraph" w:styleId="Heading3">
    <w:name w:val="heading 3"/>
    <w:basedOn w:val="NoSpacing"/>
    <w:next w:val="NoSpacing"/>
    <w:link w:val="Heading3Char"/>
    <w:uiPriority w:val="9"/>
    <w:unhideWhenUsed/>
    <w:qFormat/>
    <w:rsid w:val="00F37AAB"/>
    <w:pPr>
      <w:keepNext/>
      <w:keepLines/>
      <w:outlineLvl w:val="2"/>
    </w:pPr>
    <w:rPr>
      <w:rFonts w:eastAsiaTheme="majorEastAsia" w:cstheme="majorBidi"/>
      <w:b/>
      <w:bCs/>
      <w:color w:val="5B9BD5" w:themeColor="accent1"/>
      <w:sz w:val="24"/>
    </w:rPr>
  </w:style>
  <w:style w:type="paragraph" w:styleId="Heading4">
    <w:name w:val="heading 4"/>
    <w:basedOn w:val="Normal"/>
    <w:next w:val="Normal"/>
    <w:link w:val="Heading4Char"/>
    <w:uiPriority w:val="9"/>
    <w:unhideWhenUsed/>
    <w:qFormat/>
    <w:rsid w:val="00280305"/>
    <w:pPr>
      <w:keepNext/>
      <w:keepLines/>
      <w:spacing w:before="40" w:after="0"/>
      <w:outlineLvl w:val="3"/>
    </w:pPr>
    <w:rPr>
      <w:rFonts w:asciiTheme="majorHAnsi" w:eastAsiaTheme="majorEastAsia" w:hAnsiTheme="majorHAnsi" w:cstheme="majorBidi"/>
      <w:b/>
      <w:iCs/>
      <w:color w:val="BF8F00" w:themeColor="accent4" w:themeShade="BF"/>
      <w:sz w:val="24"/>
    </w:rPr>
  </w:style>
  <w:style w:type="paragraph" w:styleId="Heading5">
    <w:name w:val="heading 5"/>
    <w:basedOn w:val="Normal"/>
    <w:next w:val="Normal"/>
    <w:link w:val="Heading5Char"/>
    <w:uiPriority w:val="9"/>
    <w:unhideWhenUsed/>
    <w:qFormat/>
    <w:rsid w:val="008568D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87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87F49"/>
    <w:pPr>
      <w:spacing w:after="0" w:line="240" w:lineRule="auto"/>
    </w:pPr>
  </w:style>
  <w:style w:type="character" w:styleId="CommentReference">
    <w:name w:val="annotation reference"/>
    <w:basedOn w:val="DefaultParagraphFont"/>
    <w:uiPriority w:val="99"/>
    <w:semiHidden/>
    <w:unhideWhenUsed/>
    <w:rsid w:val="008071DD"/>
    <w:rPr>
      <w:sz w:val="16"/>
      <w:szCs w:val="16"/>
    </w:rPr>
  </w:style>
  <w:style w:type="paragraph" w:styleId="CommentText">
    <w:name w:val="annotation text"/>
    <w:basedOn w:val="Normal"/>
    <w:link w:val="CommentTextChar"/>
    <w:uiPriority w:val="99"/>
    <w:unhideWhenUsed/>
    <w:rsid w:val="008071DD"/>
    <w:pPr>
      <w:spacing w:line="240" w:lineRule="auto"/>
    </w:pPr>
    <w:rPr>
      <w:sz w:val="20"/>
      <w:szCs w:val="20"/>
    </w:rPr>
  </w:style>
  <w:style w:type="character" w:customStyle="1" w:styleId="CommentTextChar">
    <w:name w:val="Comment Text Char"/>
    <w:basedOn w:val="DefaultParagraphFont"/>
    <w:link w:val="CommentText"/>
    <w:uiPriority w:val="99"/>
    <w:rsid w:val="008071DD"/>
    <w:rPr>
      <w:sz w:val="20"/>
      <w:szCs w:val="20"/>
    </w:rPr>
  </w:style>
  <w:style w:type="paragraph" w:styleId="CommentSubject">
    <w:name w:val="annotation subject"/>
    <w:basedOn w:val="CommentText"/>
    <w:next w:val="CommentText"/>
    <w:link w:val="CommentSubjectChar"/>
    <w:uiPriority w:val="99"/>
    <w:semiHidden/>
    <w:unhideWhenUsed/>
    <w:rsid w:val="008071DD"/>
    <w:rPr>
      <w:b/>
      <w:bCs/>
    </w:rPr>
  </w:style>
  <w:style w:type="character" w:customStyle="1" w:styleId="CommentSubjectChar">
    <w:name w:val="Comment Subject Char"/>
    <w:basedOn w:val="CommentTextChar"/>
    <w:link w:val="CommentSubject"/>
    <w:uiPriority w:val="99"/>
    <w:semiHidden/>
    <w:rsid w:val="008071DD"/>
    <w:rPr>
      <w:b/>
      <w:bCs/>
      <w:sz w:val="20"/>
      <w:szCs w:val="20"/>
    </w:rPr>
  </w:style>
  <w:style w:type="paragraph" w:styleId="BalloonText">
    <w:name w:val="Balloon Text"/>
    <w:basedOn w:val="Normal"/>
    <w:link w:val="BalloonTextChar"/>
    <w:uiPriority w:val="99"/>
    <w:semiHidden/>
    <w:unhideWhenUsed/>
    <w:rsid w:val="008071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71DD"/>
    <w:rPr>
      <w:rFonts w:ascii="Segoe UI" w:hAnsi="Segoe UI" w:cs="Segoe UI"/>
      <w:sz w:val="18"/>
      <w:szCs w:val="18"/>
    </w:rPr>
  </w:style>
  <w:style w:type="character" w:styleId="Hyperlink">
    <w:name w:val="Hyperlink"/>
    <w:basedOn w:val="DefaultParagraphFont"/>
    <w:uiPriority w:val="99"/>
    <w:unhideWhenUsed/>
    <w:rsid w:val="007F5625"/>
    <w:rPr>
      <w:color w:val="0563C1" w:themeColor="hyperlink"/>
      <w:u w:val="single"/>
    </w:rPr>
  </w:style>
  <w:style w:type="character" w:styleId="FollowedHyperlink">
    <w:name w:val="FollowedHyperlink"/>
    <w:basedOn w:val="DefaultParagraphFont"/>
    <w:uiPriority w:val="99"/>
    <w:semiHidden/>
    <w:unhideWhenUsed/>
    <w:rsid w:val="007F5625"/>
    <w:rPr>
      <w:color w:val="954F72" w:themeColor="followedHyperlink"/>
      <w:u w:val="single"/>
    </w:rPr>
  </w:style>
  <w:style w:type="paragraph" w:styleId="ListParagraph">
    <w:name w:val="List Paragraph"/>
    <w:basedOn w:val="Normal"/>
    <w:uiPriority w:val="34"/>
    <w:qFormat/>
    <w:rsid w:val="00B971F3"/>
    <w:pPr>
      <w:ind w:left="720"/>
      <w:contextualSpacing/>
    </w:pPr>
  </w:style>
  <w:style w:type="table" w:customStyle="1" w:styleId="TableGrid15">
    <w:name w:val="Table Grid15"/>
    <w:basedOn w:val="TableNormal"/>
    <w:next w:val="TableGrid"/>
    <w:uiPriority w:val="59"/>
    <w:rsid w:val="00087F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14D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4D0E"/>
  </w:style>
  <w:style w:type="paragraph" w:styleId="Footer">
    <w:name w:val="footer"/>
    <w:basedOn w:val="Normal"/>
    <w:link w:val="FooterChar"/>
    <w:uiPriority w:val="99"/>
    <w:unhideWhenUsed/>
    <w:rsid w:val="00214D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4D0E"/>
  </w:style>
  <w:style w:type="character" w:customStyle="1" w:styleId="Heading1Char">
    <w:name w:val="Heading 1 Char"/>
    <w:basedOn w:val="DefaultParagraphFont"/>
    <w:link w:val="Heading1"/>
    <w:uiPriority w:val="9"/>
    <w:rsid w:val="002D0662"/>
    <w:rPr>
      <w:rFonts w:eastAsiaTheme="majorEastAsia" w:cstheme="majorBidi"/>
      <w:b/>
      <w:bCs/>
      <w:color w:val="5B9BD5" w:themeColor="accent1"/>
      <w:sz w:val="32"/>
      <w:szCs w:val="28"/>
      <w:shd w:val="clear" w:color="auto" w:fill="E7E6E6" w:themeFill="background2"/>
    </w:rPr>
  </w:style>
  <w:style w:type="paragraph" w:styleId="TOCHeading">
    <w:name w:val="TOC Heading"/>
    <w:basedOn w:val="Heading1"/>
    <w:next w:val="Normal"/>
    <w:uiPriority w:val="39"/>
    <w:unhideWhenUsed/>
    <w:qFormat/>
    <w:rsid w:val="003E162A"/>
    <w:pPr>
      <w:spacing w:line="276" w:lineRule="auto"/>
      <w:outlineLvl w:val="9"/>
    </w:pPr>
    <w:rPr>
      <w:lang w:eastAsia="ja-JP"/>
    </w:rPr>
  </w:style>
  <w:style w:type="paragraph" w:styleId="TOC2">
    <w:name w:val="toc 2"/>
    <w:basedOn w:val="Normal"/>
    <w:next w:val="Normal"/>
    <w:autoRedefine/>
    <w:uiPriority w:val="39"/>
    <w:unhideWhenUsed/>
    <w:qFormat/>
    <w:rsid w:val="00B107AF"/>
    <w:pPr>
      <w:tabs>
        <w:tab w:val="right" w:leader="dot" w:pos="10790"/>
      </w:tabs>
      <w:spacing w:after="100" w:line="276" w:lineRule="auto"/>
      <w:ind w:left="220"/>
    </w:pPr>
    <w:rPr>
      <w:rFonts w:eastAsiaTheme="minorEastAsia" w:cs="Times New Roman"/>
      <w:noProof/>
      <w:lang w:eastAsia="ja-JP"/>
    </w:rPr>
  </w:style>
  <w:style w:type="paragraph" w:styleId="TOC1">
    <w:name w:val="toc 1"/>
    <w:basedOn w:val="Normal"/>
    <w:next w:val="Normal"/>
    <w:autoRedefine/>
    <w:uiPriority w:val="39"/>
    <w:unhideWhenUsed/>
    <w:qFormat/>
    <w:rsid w:val="00E20965"/>
    <w:pPr>
      <w:tabs>
        <w:tab w:val="right" w:leader="dot" w:pos="10790"/>
      </w:tabs>
      <w:spacing w:after="100" w:line="276" w:lineRule="auto"/>
    </w:pPr>
    <w:rPr>
      <w:rFonts w:eastAsiaTheme="minorEastAsia"/>
      <w:lang w:eastAsia="ja-JP"/>
    </w:rPr>
  </w:style>
  <w:style w:type="paragraph" w:styleId="TOC3">
    <w:name w:val="toc 3"/>
    <w:basedOn w:val="Normal"/>
    <w:next w:val="Normal"/>
    <w:autoRedefine/>
    <w:uiPriority w:val="39"/>
    <w:unhideWhenUsed/>
    <w:qFormat/>
    <w:rsid w:val="003E162A"/>
    <w:pPr>
      <w:spacing w:after="100" w:line="276" w:lineRule="auto"/>
      <w:ind w:left="440"/>
    </w:pPr>
    <w:rPr>
      <w:rFonts w:eastAsiaTheme="minorEastAsia"/>
      <w:lang w:eastAsia="ja-JP"/>
    </w:rPr>
  </w:style>
  <w:style w:type="character" w:customStyle="1" w:styleId="Heading2Char">
    <w:name w:val="Heading 2 Char"/>
    <w:basedOn w:val="DefaultParagraphFont"/>
    <w:link w:val="Heading2"/>
    <w:uiPriority w:val="9"/>
    <w:rsid w:val="00C80E60"/>
    <w:rPr>
      <w:rFonts w:asciiTheme="majorHAnsi" w:eastAsiaTheme="majorEastAsia" w:hAnsiTheme="majorHAnsi" w:cstheme="majorBidi"/>
      <w:bCs/>
      <w:color w:val="2E74B5" w:themeColor="accent1" w:themeShade="BF"/>
      <w:sz w:val="32"/>
      <w:szCs w:val="26"/>
    </w:rPr>
  </w:style>
  <w:style w:type="paragraph" w:styleId="BodyText">
    <w:name w:val="Body Text"/>
    <w:basedOn w:val="Normal"/>
    <w:link w:val="BodyTextChar"/>
    <w:uiPriority w:val="99"/>
    <w:semiHidden/>
    <w:unhideWhenUsed/>
    <w:rsid w:val="00686CA4"/>
    <w:pPr>
      <w:spacing w:after="120"/>
    </w:pPr>
  </w:style>
  <w:style w:type="character" w:customStyle="1" w:styleId="BodyTextChar">
    <w:name w:val="Body Text Char"/>
    <w:basedOn w:val="DefaultParagraphFont"/>
    <w:link w:val="BodyText"/>
    <w:uiPriority w:val="99"/>
    <w:semiHidden/>
    <w:rsid w:val="00686CA4"/>
  </w:style>
  <w:style w:type="character" w:styleId="PlaceholderText">
    <w:name w:val="Placeholder Text"/>
    <w:basedOn w:val="DefaultParagraphFont"/>
    <w:uiPriority w:val="99"/>
    <w:semiHidden/>
    <w:rsid w:val="002A17A1"/>
    <w:rPr>
      <w:color w:val="808080"/>
    </w:rPr>
  </w:style>
  <w:style w:type="table" w:customStyle="1" w:styleId="GridTable3-Accent51">
    <w:name w:val="Grid Table 3 - Accent 51"/>
    <w:basedOn w:val="TableNormal"/>
    <w:uiPriority w:val="48"/>
    <w:rsid w:val="0057576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paragraph" w:styleId="Revision">
    <w:name w:val="Revision"/>
    <w:hidden/>
    <w:uiPriority w:val="99"/>
    <w:semiHidden/>
    <w:rsid w:val="003B75AB"/>
    <w:pPr>
      <w:spacing w:after="0" w:line="240" w:lineRule="auto"/>
    </w:pPr>
  </w:style>
  <w:style w:type="character" w:customStyle="1" w:styleId="Heading3Char">
    <w:name w:val="Heading 3 Char"/>
    <w:basedOn w:val="DefaultParagraphFont"/>
    <w:link w:val="Heading3"/>
    <w:uiPriority w:val="9"/>
    <w:rsid w:val="00F37AAB"/>
    <w:rPr>
      <w:rFonts w:eastAsiaTheme="majorEastAsia" w:cstheme="majorBidi"/>
      <w:b/>
      <w:bCs/>
      <w:color w:val="5B9BD5" w:themeColor="accent1"/>
      <w:sz w:val="24"/>
    </w:rPr>
  </w:style>
  <w:style w:type="character" w:styleId="Strong">
    <w:name w:val="Strong"/>
    <w:basedOn w:val="DefaultParagraphFont"/>
    <w:uiPriority w:val="22"/>
    <w:qFormat/>
    <w:rsid w:val="004D594B"/>
    <w:rPr>
      <w:b/>
      <w:bCs/>
      <w:color w:val="000000" w:themeColor="text1"/>
    </w:rPr>
  </w:style>
  <w:style w:type="character" w:customStyle="1" w:styleId="Heading4Char">
    <w:name w:val="Heading 4 Char"/>
    <w:basedOn w:val="DefaultParagraphFont"/>
    <w:link w:val="Heading4"/>
    <w:uiPriority w:val="9"/>
    <w:rsid w:val="00280305"/>
    <w:rPr>
      <w:rFonts w:asciiTheme="majorHAnsi" w:eastAsiaTheme="majorEastAsia" w:hAnsiTheme="majorHAnsi" w:cstheme="majorBidi"/>
      <w:b/>
      <w:iCs/>
      <w:color w:val="BF8F00" w:themeColor="accent4" w:themeShade="BF"/>
      <w:sz w:val="24"/>
    </w:rPr>
  </w:style>
  <w:style w:type="character" w:customStyle="1" w:styleId="Heading5Char">
    <w:name w:val="Heading 5 Char"/>
    <w:basedOn w:val="DefaultParagraphFont"/>
    <w:link w:val="Heading5"/>
    <w:uiPriority w:val="9"/>
    <w:rsid w:val="008568DA"/>
    <w:rPr>
      <w:rFonts w:asciiTheme="majorHAnsi" w:eastAsiaTheme="majorEastAsia" w:hAnsiTheme="majorHAnsi" w:cstheme="majorBidi"/>
      <w:color w:val="2E74B5" w:themeColor="accent1" w:themeShade="BF"/>
    </w:rPr>
  </w:style>
  <w:style w:type="paragraph" w:customStyle="1" w:styleId="Style1">
    <w:name w:val="Style1"/>
    <w:basedOn w:val="Heading5"/>
    <w:link w:val="Style1Char"/>
    <w:rsid w:val="008568DA"/>
    <w:pPr>
      <w:spacing w:line="240" w:lineRule="auto"/>
      <w:jc w:val="center"/>
    </w:pPr>
    <w:rPr>
      <w:rFonts w:ascii="Rockwell" w:hAnsi="Rockwell"/>
      <w:b/>
      <w:sz w:val="28"/>
    </w:rPr>
  </w:style>
  <w:style w:type="character" w:customStyle="1" w:styleId="Style1Char">
    <w:name w:val="Style1 Char"/>
    <w:basedOn w:val="Heading5Char"/>
    <w:link w:val="Style1"/>
    <w:rsid w:val="008568DA"/>
    <w:rPr>
      <w:rFonts w:ascii="Rockwell" w:eastAsiaTheme="majorEastAsia" w:hAnsi="Rockwell" w:cstheme="majorBidi"/>
      <w:b/>
      <w:color w:val="2E74B5" w:themeColor="accent1" w:themeShade="BF"/>
      <w:sz w:val="28"/>
    </w:rPr>
  </w:style>
  <w:style w:type="paragraph" w:styleId="Quote">
    <w:name w:val="Quote"/>
    <w:basedOn w:val="Normal"/>
    <w:next w:val="Normal"/>
    <w:link w:val="QuoteChar"/>
    <w:uiPriority w:val="29"/>
    <w:qFormat/>
    <w:rsid w:val="009C0E78"/>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9C0E78"/>
    <w:rPr>
      <w:i/>
      <w:iCs/>
      <w:color w:val="404040" w:themeColor="text1" w:themeTint="BF"/>
    </w:rPr>
  </w:style>
  <w:style w:type="character" w:styleId="BookTitle">
    <w:name w:val="Book Title"/>
    <w:basedOn w:val="DefaultParagraphFont"/>
    <w:uiPriority w:val="33"/>
    <w:qFormat/>
    <w:rsid w:val="009C0E78"/>
    <w:rPr>
      <w:b/>
      <w:bCs/>
      <w:i/>
      <w:iCs/>
      <w:spacing w:val="5"/>
    </w:rPr>
  </w:style>
  <w:style w:type="character" w:styleId="UnresolvedMention">
    <w:name w:val="Unresolved Mention"/>
    <w:basedOn w:val="DefaultParagraphFont"/>
    <w:uiPriority w:val="99"/>
    <w:semiHidden/>
    <w:unhideWhenUsed/>
    <w:rsid w:val="005160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3036">
      <w:bodyDiv w:val="1"/>
      <w:marLeft w:val="0"/>
      <w:marRight w:val="0"/>
      <w:marTop w:val="0"/>
      <w:marBottom w:val="0"/>
      <w:divBdr>
        <w:top w:val="none" w:sz="0" w:space="0" w:color="auto"/>
        <w:left w:val="none" w:sz="0" w:space="0" w:color="auto"/>
        <w:bottom w:val="none" w:sz="0" w:space="0" w:color="auto"/>
        <w:right w:val="none" w:sz="0" w:space="0" w:color="auto"/>
      </w:divBdr>
    </w:div>
    <w:div w:id="44918127">
      <w:bodyDiv w:val="1"/>
      <w:marLeft w:val="0"/>
      <w:marRight w:val="0"/>
      <w:marTop w:val="0"/>
      <w:marBottom w:val="0"/>
      <w:divBdr>
        <w:top w:val="none" w:sz="0" w:space="0" w:color="auto"/>
        <w:left w:val="none" w:sz="0" w:space="0" w:color="auto"/>
        <w:bottom w:val="none" w:sz="0" w:space="0" w:color="auto"/>
        <w:right w:val="none" w:sz="0" w:space="0" w:color="auto"/>
      </w:divBdr>
      <w:divsChild>
        <w:div w:id="1822622070">
          <w:marLeft w:val="0"/>
          <w:marRight w:val="0"/>
          <w:marTop w:val="0"/>
          <w:marBottom w:val="0"/>
          <w:divBdr>
            <w:top w:val="none" w:sz="0" w:space="0" w:color="auto"/>
            <w:left w:val="none" w:sz="0" w:space="0" w:color="auto"/>
            <w:bottom w:val="none" w:sz="0" w:space="0" w:color="auto"/>
            <w:right w:val="none" w:sz="0" w:space="0" w:color="auto"/>
          </w:divBdr>
          <w:divsChild>
            <w:div w:id="627977482">
              <w:marLeft w:val="0"/>
              <w:marRight w:val="0"/>
              <w:marTop w:val="0"/>
              <w:marBottom w:val="0"/>
              <w:divBdr>
                <w:top w:val="none" w:sz="0" w:space="0" w:color="auto"/>
                <w:left w:val="none" w:sz="0" w:space="0" w:color="auto"/>
                <w:bottom w:val="none" w:sz="0" w:space="0" w:color="auto"/>
                <w:right w:val="none" w:sz="0" w:space="0" w:color="auto"/>
              </w:divBdr>
              <w:divsChild>
                <w:div w:id="173816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15619">
      <w:bodyDiv w:val="1"/>
      <w:marLeft w:val="0"/>
      <w:marRight w:val="0"/>
      <w:marTop w:val="0"/>
      <w:marBottom w:val="0"/>
      <w:divBdr>
        <w:top w:val="none" w:sz="0" w:space="0" w:color="auto"/>
        <w:left w:val="none" w:sz="0" w:space="0" w:color="auto"/>
        <w:bottom w:val="none" w:sz="0" w:space="0" w:color="auto"/>
        <w:right w:val="none" w:sz="0" w:space="0" w:color="auto"/>
      </w:divBdr>
    </w:div>
    <w:div w:id="101264813">
      <w:bodyDiv w:val="1"/>
      <w:marLeft w:val="0"/>
      <w:marRight w:val="0"/>
      <w:marTop w:val="0"/>
      <w:marBottom w:val="0"/>
      <w:divBdr>
        <w:top w:val="none" w:sz="0" w:space="0" w:color="auto"/>
        <w:left w:val="none" w:sz="0" w:space="0" w:color="auto"/>
        <w:bottom w:val="none" w:sz="0" w:space="0" w:color="auto"/>
        <w:right w:val="none" w:sz="0" w:space="0" w:color="auto"/>
      </w:divBdr>
    </w:div>
    <w:div w:id="207494981">
      <w:bodyDiv w:val="1"/>
      <w:marLeft w:val="0"/>
      <w:marRight w:val="0"/>
      <w:marTop w:val="0"/>
      <w:marBottom w:val="0"/>
      <w:divBdr>
        <w:top w:val="none" w:sz="0" w:space="0" w:color="auto"/>
        <w:left w:val="none" w:sz="0" w:space="0" w:color="auto"/>
        <w:bottom w:val="none" w:sz="0" w:space="0" w:color="auto"/>
        <w:right w:val="none" w:sz="0" w:space="0" w:color="auto"/>
      </w:divBdr>
      <w:divsChild>
        <w:div w:id="749736321">
          <w:marLeft w:val="0"/>
          <w:marRight w:val="0"/>
          <w:marTop w:val="0"/>
          <w:marBottom w:val="0"/>
          <w:divBdr>
            <w:top w:val="none" w:sz="0" w:space="0" w:color="auto"/>
            <w:left w:val="none" w:sz="0" w:space="0" w:color="auto"/>
            <w:bottom w:val="none" w:sz="0" w:space="0" w:color="auto"/>
            <w:right w:val="none" w:sz="0" w:space="0" w:color="auto"/>
          </w:divBdr>
          <w:divsChild>
            <w:div w:id="252248222">
              <w:marLeft w:val="0"/>
              <w:marRight w:val="0"/>
              <w:marTop w:val="0"/>
              <w:marBottom w:val="0"/>
              <w:divBdr>
                <w:top w:val="none" w:sz="0" w:space="0" w:color="auto"/>
                <w:left w:val="none" w:sz="0" w:space="0" w:color="auto"/>
                <w:bottom w:val="none" w:sz="0" w:space="0" w:color="auto"/>
                <w:right w:val="none" w:sz="0" w:space="0" w:color="auto"/>
              </w:divBdr>
              <w:divsChild>
                <w:div w:id="4628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22275">
      <w:bodyDiv w:val="1"/>
      <w:marLeft w:val="0"/>
      <w:marRight w:val="0"/>
      <w:marTop w:val="0"/>
      <w:marBottom w:val="0"/>
      <w:divBdr>
        <w:top w:val="none" w:sz="0" w:space="0" w:color="auto"/>
        <w:left w:val="none" w:sz="0" w:space="0" w:color="auto"/>
        <w:bottom w:val="none" w:sz="0" w:space="0" w:color="auto"/>
        <w:right w:val="none" w:sz="0" w:space="0" w:color="auto"/>
      </w:divBdr>
    </w:div>
    <w:div w:id="363285599">
      <w:bodyDiv w:val="1"/>
      <w:marLeft w:val="0"/>
      <w:marRight w:val="0"/>
      <w:marTop w:val="0"/>
      <w:marBottom w:val="0"/>
      <w:divBdr>
        <w:top w:val="none" w:sz="0" w:space="0" w:color="auto"/>
        <w:left w:val="none" w:sz="0" w:space="0" w:color="auto"/>
        <w:bottom w:val="none" w:sz="0" w:space="0" w:color="auto"/>
        <w:right w:val="none" w:sz="0" w:space="0" w:color="auto"/>
      </w:divBdr>
    </w:div>
    <w:div w:id="397941516">
      <w:bodyDiv w:val="1"/>
      <w:marLeft w:val="0"/>
      <w:marRight w:val="0"/>
      <w:marTop w:val="0"/>
      <w:marBottom w:val="0"/>
      <w:divBdr>
        <w:top w:val="none" w:sz="0" w:space="0" w:color="auto"/>
        <w:left w:val="none" w:sz="0" w:space="0" w:color="auto"/>
        <w:bottom w:val="none" w:sz="0" w:space="0" w:color="auto"/>
        <w:right w:val="none" w:sz="0" w:space="0" w:color="auto"/>
      </w:divBdr>
      <w:divsChild>
        <w:div w:id="40525114">
          <w:marLeft w:val="0"/>
          <w:marRight w:val="0"/>
          <w:marTop w:val="0"/>
          <w:marBottom w:val="0"/>
          <w:divBdr>
            <w:top w:val="none" w:sz="0" w:space="0" w:color="auto"/>
            <w:left w:val="none" w:sz="0" w:space="0" w:color="auto"/>
            <w:bottom w:val="none" w:sz="0" w:space="0" w:color="auto"/>
            <w:right w:val="none" w:sz="0" w:space="0" w:color="auto"/>
          </w:divBdr>
          <w:divsChild>
            <w:div w:id="1497458105">
              <w:marLeft w:val="0"/>
              <w:marRight w:val="0"/>
              <w:marTop w:val="0"/>
              <w:marBottom w:val="0"/>
              <w:divBdr>
                <w:top w:val="none" w:sz="0" w:space="0" w:color="auto"/>
                <w:left w:val="none" w:sz="0" w:space="0" w:color="auto"/>
                <w:bottom w:val="none" w:sz="0" w:space="0" w:color="auto"/>
                <w:right w:val="none" w:sz="0" w:space="0" w:color="auto"/>
              </w:divBdr>
              <w:divsChild>
                <w:div w:id="1769621661">
                  <w:marLeft w:val="0"/>
                  <w:marRight w:val="0"/>
                  <w:marTop w:val="0"/>
                  <w:marBottom w:val="0"/>
                  <w:divBdr>
                    <w:top w:val="none" w:sz="0" w:space="0" w:color="auto"/>
                    <w:left w:val="none" w:sz="0" w:space="0" w:color="auto"/>
                    <w:bottom w:val="none" w:sz="0" w:space="0" w:color="auto"/>
                    <w:right w:val="none" w:sz="0" w:space="0" w:color="auto"/>
                  </w:divBdr>
                  <w:divsChild>
                    <w:div w:id="1844080434">
                      <w:marLeft w:val="0"/>
                      <w:marRight w:val="0"/>
                      <w:marTop w:val="0"/>
                      <w:marBottom w:val="0"/>
                      <w:divBdr>
                        <w:top w:val="none" w:sz="0" w:space="0" w:color="auto"/>
                        <w:left w:val="none" w:sz="0" w:space="0" w:color="auto"/>
                        <w:bottom w:val="none" w:sz="0" w:space="0" w:color="auto"/>
                        <w:right w:val="none" w:sz="0" w:space="0" w:color="auto"/>
                      </w:divBdr>
                    </w:div>
                  </w:divsChild>
                </w:div>
                <w:div w:id="1858041056">
                  <w:marLeft w:val="0"/>
                  <w:marRight w:val="0"/>
                  <w:marTop w:val="0"/>
                  <w:marBottom w:val="0"/>
                  <w:divBdr>
                    <w:top w:val="none" w:sz="0" w:space="0" w:color="auto"/>
                    <w:left w:val="none" w:sz="0" w:space="0" w:color="auto"/>
                    <w:bottom w:val="none" w:sz="0" w:space="0" w:color="auto"/>
                    <w:right w:val="none" w:sz="0" w:space="0" w:color="auto"/>
                  </w:divBdr>
                  <w:divsChild>
                    <w:div w:id="137700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901895">
      <w:bodyDiv w:val="1"/>
      <w:marLeft w:val="0"/>
      <w:marRight w:val="0"/>
      <w:marTop w:val="0"/>
      <w:marBottom w:val="0"/>
      <w:divBdr>
        <w:top w:val="none" w:sz="0" w:space="0" w:color="auto"/>
        <w:left w:val="none" w:sz="0" w:space="0" w:color="auto"/>
        <w:bottom w:val="none" w:sz="0" w:space="0" w:color="auto"/>
        <w:right w:val="none" w:sz="0" w:space="0" w:color="auto"/>
      </w:divBdr>
      <w:divsChild>
        <w:div w:id="490024487">
          <w:marLeft w:val="0"/>
          <w:marRight w:val="0"/>
          <w:marTop w:val="0"/>
          <w:marBottom w:val="0"/>
          <w:divBdr>
            <w:top w:val="none" w:sz="0" w:space="0" w:color="auto"/>
            <w:left w:val="none" w:sz="0" w:space="0" w:color="auto"/>
            <w:bottom w:val="none" w:sz="0" w:space="0" w:color="auto"/>
            <w:right w:val="none" w:sz="0" w:space="0" w:color="auto"/>
          </w:divBdr>
          <w:divsChild>
            <w:div w:id="1053039749">
              <w:marLeft w:val="0"/>
              <w:marRight w:val="0"/>
              <w:marTop w:val="0"/>
              <w:marBottom w:val="0"/>
              <w:divBdr>
                <w:top w:val="none" w:sz="0" w:space="0" w:color="auto"/>
                <w:left w:val="none" w:sz="0" w:space="0" w:color="auto"/>
                <w:bottom w:val="none" w:sz="0" w:space="0" w:color="auto"/>
                <w:right w:val="none" w:sz="0" w:space="0" w:color="auto"/>
              </w:divBdr>
              <w:divsChild>
                <w:div w:id="122128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793529">
      <w:bodyDiv w:val="1"/>
      <w:marLeft w:val="0"/>
      <w:marRight w:val="0"/>
      <w:marTop w:val="0"/>
      <w:marBottom w:val="0"/>
      <w:divBdr>
        <w:top w:val="none" w:sz="0" w:space="0" w:color="auto"/>
        <w:left w:val="none" w:sz="0" w:space="0" w:color="auto"/>
        <w:bottom w:val="none" w:sz="0" w:space="0" w:color="auto"/>
        <w:right w:val="none" w:sz="0" w:space="0" w:color="auto"/>
      </w:divBdr>
    </w:div>
    <w:div w:id="761074798">
      <w:bodyDiv w:val="1"/>
      <w:marLeft w:val="0"/>
      <w:marRight w:val="0"/>
      <w:marTop w:val="0"/>
      <w:marBottom w:val="0"/>
      <w:divBdr>
        <w:top w:val="none" w:sz="0" w:space="0" w:color="auto"/>
        <w:left w:val="none" w:sz="0" w:space="0" w:color="auto"/>
        <w:bottom w:val="none" w:sz="0" w:space="0" w:color="auto"/>
        <w:right w:val="none" w:sz="0" w:space="0" w:color="auto"/>
      </w:divBdr>
    </w:div>
    <w:div w:id="769350796">
      <w:bodyDiv w:val="1"/>
      <w:marLeft w:val="0"/>
      <w:marRight w:val="0"/>
      <w:marTop w:val="0"/>
      <w:marBottom w:val="0"/>
      <w:divBdr>
        <w:top w:val="none" w:sz="0" w:space="0" w:color="auto"/>
        <w:left w:val="none" w:sz="0" w:space="0" w:color="auto"/>
        <w:bottom w:val="none" w:sz="0" w:space="0" w:color="auto"/>
        <w:right w:val="none" w:sz="0" w:space="0" w:color="auto"/>
      </w:divBdr>
    </w:div>
    <w:div w:id="945691670">
      <w:bodyDiv w:val="1"/>
      <w:marLeft w:val="0"/>
      <w:marRight w:val="0"/>
      <w:marTop w:val="0"/>
      <w:marBottom w:val="0"/>
      <w:divBdr>
        <w:top w:val="none" w:sz="0" w:space="0" w:color="auto"/>
        <w:left w:val="none" w:sz="0" w:space="0" w:color="auto"/>
        <w:bottom w:val="none" w:sz="0" w:space="0" w:color="auto"/>
        <w:right w:val="none" w:sz="0" w:space="0" w:color="auto"/>
      </w:divBdr>
    </w:div>
    <w:div w:id="1002927711">
      <w:bodyDiv w:val="1"/>
      <w:marLeft w:val="0"/>
      <w:marRight w:val="0"/>
      <w:marTop w:val="0"/>
      <w:marBottom w:val="0"/>
      <w:divBdr>
        <w:top w:val="none" w:sz="0" w:space="0" w:color="auto"/>
        <w:left w:val="none" w:sz="0" w:space="0" w:color="auto"/>
        <w:bottom w:val="none" w:sz="0" w:space="0" w:color="auto"/>
        <w:right w:val="none" w:sz="0" w:space="0" w:color="auto"/>
      </w:divBdr>
    </w:div>
    <w:div w:id="1033848194">
      <w:bodyDiv w:val="1"/>
      <w:marLeft w:val="0"/>
      <w:marRight w:val="0"/>
      <w:marTop w:val="0"/>
      <w:marBottom w:val="0"/>
      <w:divBdr>
        <w:top w:val="none" w:sz="0" w:space="0" w:color="auto"/>
        <w:left w:val="none" w:sz="0" w:space="0" w:color="auto"/>
        <w:bottom w:val="none" w:sz="0" w:space="0" w:color="auto"/>
        <w:right w:val="none" w:sz="0" w:space="0" w:color="auto"/>
      </w:divBdr>
      <w:divsChild>
        <w:div w:id="682704158">
          <w:marLeft w:val="0"/>
          <w:marRight w:val="0"/>
          <w:marTop w:val="0"/>
          <w:marBottom w:val="0"/>
          <w:divBdr>
            <w:top w:val="none" w:sz="0" w:space="0" w:color="auto"/>
            <w:left w:val="none" w:sz="0" w:space="0" w:color="auto"/>
            <w:bottom w:val="none" w:sz="0" w:space="0" w:color="auto"/>
            <w:right w:val="none" w:sz="0" w:space="0" w:color="auto"/>
          </w:divBdr>
          <w:divsChild>
            <w:div w:id="1027025764">
              <w:marLeft w:val="0"/>
              <w:marRight w:val="0"/>
              <w:marTop w:val="0"/>
              <w:marBottom w:val="0"/>
              <w:divBdr>
                <w:top w:val="none" w:sz="0" w:space="0" w:color="auto"/>
                <w:left w:val="none" w:sz="0" w:space="0" w:color="auto"/>
                <w:bottom w:val="none" w:sz="0" w:space="0" w:color="auto"/>
                <w:right w:val="none" w:sz="0" w:space="0" w:color="auto"/>
              </w:divBdr>
              <w:divsChild>
                <w:div w:id="186759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375359">
      <w:bodyDiv w:val="1"/>
      <w:marLeft w:val="0"/>
      <w:marRight w:val="0"/>
      <w:marTop w:val="0"/>
      <w:marBottom w:val="0"/>
      <w:divBdr>
        <w:top w:val="none" w:sz="0" w:space="0" w:color="auto"/>
        <w:left w:val="none" w:sz="0" w:space="0" w:color="auto"/>
        <w:bottom w:val="none" w:sz="0" w:space="0" w:color="auto"/>
        <w:right w:val="none" w:sz="0" w:space="0" w:color="auto"/>
      </w:divBdr>
    </w:div>
    <w:div w:id="1252351569">
      <w:bodyDiv w:val="1"/>
      <w:marLeft w:val="0"/>
      <w:marRight w:val="0"/>
      <w:marTop w:val="0"/>
      <w:marBottom w:val="0"/>
      <w:divBdr>
        <w:top w:val="none" w:sz="0" w:space="0" w:color="auto"/>
        <w:left w:val="none" w:sz="0" w:space="0" w:color="auto"/>
        <w:bottom w:val="none" w:sz="0" w:space="0" w:color="auto"/>
        <w:right w:val="none" w:sz="0" w:space="0" w:color="auto"/>
      </w:divBdr>
    </w:div>
    <w:div w:id="1300526233">
      <w:bodyDiv w:val="1"/>
      <w:marLeft w:val="0"/>
      <w:marRight w:val="0"/>
      <w:marTop w:val="0"/>
      <w:marBottom w:val="0"/>
      <w:divBdr>
        <w:top w:val="none" w:sz="0" w:space="0" w:color="auto"/>
        <w:left w:val="none" w:sz="0" w:space="0" w:color="auto"/>
        <w:bottom w:val="none" w:sz="0" w:space="0" w:color="auto"/>
        <w:right w:val="none" w:sz="0" w:space="0" w:color="auto"/>
      </w:divBdr>
    </w:div>
    <w:div w:id="1344240467">
      <w:bodyDiv w:val="1"/>
      <w:marLeft w:val="0"/>
      <w:marRight w:val="0"/>
      <w:marTop w:val="0"/>
      <w:marBottom w:val="0"/>
      <w:divBdr>
        <w:top w:val="none" w:sz="0" w:space="0" w:color="auto"/>
        <w:left w:val="none" w:sz="0" w:space="0" w:color="auto"/>
        <w:bottom w:val="none" w:sz="0" w:space="0" w:color="auto"/>
        <w:right w:val="none" w:sz="0" w:space="0" w:color="auto"/>
      </w:divBdr>
    </w:div>
    <w:div w:id="1475099386">
      <w:bodyDiv w:val="1"/>
      <w:marLeft w:val="0"/>
      <w:marRight w:val="0"/>
      <w:marTop w:val="0"/>
      <w:marBottom w:val="0"/>
      <w:divBdr>
        <w:top w:val="none" w:sz="0" w:space="0" w:color="auto"/>
        <w:left w:val="none" w:sz="0" w:space="0" w:color="auto"/>
        <w:bottom w:val="none" w:sz="0" w:space="0" w:color="auto"/>
        <w:right w:val="none" w:sz="0" w:space="0" w:color="auto"/>
      </w:divBdr>
    </w:div>
    <w:div w:id="1514489969">
      <w:bodyDiv w:val="1"/>
      <w:marLeft w:val="0"/>
      <w:marRight w:val="0"/>
      <w:marTop w:val="0"/>
      <w:marBottom w:val="0"/>
      <w:divBdr>
        <w:top w:val="none" w:sz="0" w:space="0" w:color="auto"/>
        <w:left w:val="none" w:sz="0" w:space="0" w:color="auto"/>
        <w:bottom w:val="none" w:sz="0" w:space="0" w:color="auto"/>
        <w:right w:val="none" w:sz="0" w:space="0" w:color="auto"/>
      </w:divBdr>
    </w:div>
    <w:div w:id="1668896698">
      <w:bodyDiv w:val="1"/>
      <w:marLeft w:val="0"/>
      <w:marRight w:val="0"/>
      <w:marTop w:val="0"/>
      <w:marBottom w:val="0"/>
      <w:divBdr>
        <w:top w:val="none" w:sz="0" w:space="0" w:color="auto"/>
        <w:left w:val="none" w:sz="0" w:space="0" w:color="auto"/>
        <w:bottom w:val="none" w:sz="0" w:space="0" w:color="auto"/>
        <w:right w:val="none" w:sz="0" w:space="0" w:color="auto"/>
      </w:divBdr>
    </w:div>
    <w:div w:id="1747723019">
      <w:bodyDiv w:val="1"/>
      <w:marLeft w:val="0"/>
      <w:marRight w:val="0"/>
      <w:marTop w:val="0"/>
      <w:marBottom w:val="0"/>
      <w:divBdr>
        <w:top w:val="none" w:sz="0" w:space="0" w:color="auto"/>
        <w:left w:val="none" w:sz="0" w:space="0" w:color="auto"/>
        <w:bottom w:val="none" w:sz="0" w:space="0" w:color="auto"/>
        <w:right w:val="none" w:sz="0" w:space="0" w:color="auto"/>
      </w:divBdr>
    </w:div>
    <w:div w:id="1861695464">
      <w:bodyDiv w:val="1"/>
      <w:marLeft w:val="0"/>
      <w:marRight w:val="0"/>
      <w:marTop w:val="0"/>
      <w:marBottom w:val="0"/>
      <w:divBdr>
        <w:top w:val="none" w:sz="0" w:space="0" w:color="auto"/>
        <w:left w:val="none" w:sz="0" w:space="0" w:color="auto"/>
        <w:bottom w:val="none" w:sz="0" w:space="0" w:color="auto"/>
        <w:right w:val="none" w:sz="0" w:space="0" w:color="auto"/>
      </w:divBdr>
    </w:div>
    <w:div w:id="1924879244">
      <w:bodyDiv w:val="1"/>
      <w:marLeft w:val="0"/>
      <w:marRight w:val="0"/>
      <w:marTop w:val="0"/>
      <w:marBottom w:val="0"/>
      <w:divBdr>
        <w:top w:val="none" w:sz="0" w:space="0" w:color="auto"/>
        <w:left w:val="none" w:sz="0" w:space="0" w:color="auto"/>
        <w:bottom w:val="none" w:sz="0" w:space="0" w:color="auto"/>
        <w:right w:val="none" w:sz="0" w:space="0" w:color="auto"/>
      </w:divBdr>
    </w:div>
    <w:div w:id="1934430678">
      <w:bodyDiv w:val="1"/>
      <w:marLeft w:val="0"/>
      <w:marRight w:val="0"/>
      <w:marTop w:val="0"/>
      <w:marBottom w:val="0"/>
      <w:divBdr>
        <w:top w:val="none" w:sz="0" w:space="0" w:color="auto"/>
        <w:left w:val="none" w:sz="0" w:space="0" w:color="auto"/>
        <w:bottom w:val="none" w:sz="0" w:space="0" w:color="auto"/>
        <w:right w:val="none" w:sz="0" w:space="0" w:color="auto"/>
      </w:divBdr>
    </w:div>
    <w:div w:id="2080325903">
      <w:bodyDiv w:val="1"/>
      <w:marLeft w:val="0"/>
      <w:marRight w:val="0"/>
      <w:marTop w:val="0"/>
      <w:marBottom w:val="0"/>
      <w:divBdr>
        <w:top w:val="none" w:sz="0" w:space="0" w:color="auto"/>
        <w:left w:val="none" w:sz="0" w:space="0" w:color="auto"/>
        <w:bottom w:val="none" w:sz="0" w:space="0" w:color="auto"/>
        <w:right w:val="none" w:sz="0" w:space="0" w:color="auto"/>
      </w:divBdr>
    </w:div>
    <w:div w:id="2139763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dshs.texas.gov/hivstd/policy/procedures/900-002.shtm" TargetMode="External"/><Relationship Id="rId21" Type="http://schemas.openxmlformats.org/officeDocument/2006/relationships/hyperlink" Target="https://www.ecfr.gov/current/title-24/subtitle-A/part-5/subpart-L/section-5.2005" TargetMode="External"/><Relationship Id="rId63" Type="http://schemas.openxmlformats.org/officeDocument/2006/relationships/hyperlink" Target="https://codes.iccsafe.org/content/IFC2018P6/chapter-11-construction-requirements-for-existing-buildings" TargetMode="External"/><Relationship Id="rId159" Type="http://schemas.openxmlformats.org/officeDocument/2006/relationships/hyperlink" Target="https://www.ecfr.gov/cgi-bin/retrieveECFR?gp=&amp;SID=bd30a1976e649e5a50a91925ee3abfe8&amp;mc=true&amp;n=pt24.1.35&amp;r=PART&amp;ty=HTML" TargetMode="External"/><Relationship Id="rId170" Type="http://schemas.openxmlformats.org/officeDocument/2006/relationships/hyperlink" Target="https://www.ecfr.gov/cgi-bin/retrieveECFR?gp=&amp;SID=bd30a1976e649e5a50a91925ee3abfe8&amp;mc=true&amp;n=pt24.1.35&amp;r=PART&amp;ty=HTML" TargetMode="External"/><Relationship Id="rId226" Type="http://schemas.openxmlformats.org/officeDocument/2006/relationships/hyperlink" Target="https://www.ecfr.gov/cgi-bin/retrieveECFR?gp=&amp;SID=bd30a1976e649e5a50a91925ee3abfe8&amp;mc=true&amp;n=pt24.1.35&amp;r=PART&amp;ty=HTML" TargetMode="External"/><Relationship Id="rId268" Type="http://schemas.microsoft.com/office/2007/relationships/diagramDrawing" Target="diagrams/drawing8.xml"/><Relationship Id="rId11" Type="http://schemas.openxmlformats.org/officeDocument/2006/relationships/hyperlink" Target="https://www.hudexchange.info/programs/hopwa/" TargetMode="External"/><Relationship Id="rId32" Type="http://schemas.openxmlformats.org/officeDocument/2006/relationships/hyperlink" Target="https://www.dshs.texas.gov/sites/default/files/hivstd/policy/policies/LRPHandbook.pdf" TargetMode="External"/><Relationship Id="rId53" Type="http://schemas.openxmlformats.org/officeDocument/2006/relationships/hyperlink" Target="https://www.ecfr.gov/cgi-bin/retrieveECFR?gp=&amp;SID=bd30a1976e649e5a50a91925ee3abfe8&amp;mc=true&amp;n=pt24.1.35&amp;r=PART&amp;ty=HTML" TargetMode="External"/><Relationship Id="rId74" Type="http://schemas.openxmlformats.org/officeDocument/2006/relationships/hyperlink" Target="http://www.usda.gov/wps/portal/usda/usdahome?navid=HOUSING_ASSISTA" TargetMode="External"/><Relationship Id="rId128" Type="http://schemas.openxmlformats.org/officeDocument/2006/relationships/hyperlink" Target="https://www.hudexchange.info/training-events/dol-hud-getting-to-work-curriculum-for-hiv-aids-providers/" TargetMode="External"/><Relationship Id="rId149" Type="http://schemas.openxmlformats.org/officeDocument/2006/relationships/hyperlink" Target="https://www.hudexchange.info/trainings/courses/lshr-amendment-training-for-hud-funded-recipients-who-administer-tbra-webinar/3022/" TargetMode="External"/><Relationship Id="rId5" Type="http://schemas.openxmlformats.org/officeDocument/2006/relationships/webSettings" Target="webSettings.xml"/><Relationship Id="rId95" Type="http://schemas.openxmlformats.org/officeDocument/2006/relationships/hyperlink" Target="https://www.hudexchange.info/resource/3197/guidance-categorizing-activity-as-maintenance-environmental-regulations-24-cfr-parts-50-and-58/" TargetMode="External"/><Relationship Id="rId160" Type="http://schemas.openxmlformats.org/officeDocument/2006/relationships/hyperlink" Target="http://www2.epa.gov/lead/protect-your-family-lead-your-home-real-estate-disclosure" TargetMode="External"/><Relationship Id="rId181" Type="http://schemas.openxmlformats.org/officeDocument/2006/relationships/hyperlink" Target="mailto:LeadRegulations@hud.gov" TargetMode="External"/><Relationship Id="rId216" Type="http://schemas.openxmlformats.org/officeDocument/2006/relationships/hyperlink" Target="https://www.hud.gov/sites/documents/DOC_12345.PDF" TargetMode="External"/><Relationship Id="rId237" Type="http://schemas.openxmlformats.org/officeDocument/2006/relationships/hyperlink" Target="mailto:hivstdreport.tech@dshs.state.tx.us" TargetMode="External"/><Relationship Id="rId258" Type="http://schemas.microsoft.com/office/2007/relationships/diagramDrawing" Target="diagrams/drawing6.xml"/><Relationship Id="rId22" Type="http://schemas.openxmlformats.org/officeDocument/2006/relationships/hyperlink" Target="https://www.dshs.texas.gov/hivstd/policy/policies/241-005.shtm" TargetMode="External"/><Relationship Id="rId43" Type="http://schemas.openxmlformats.org/officeDocument/2006/relationships/hyperlink" Target="https://www.ecfr.gov/current/title-24/subtitle-A/part-5/subpart-L/section-5.2003" TargetMode="External"/><Relationship Id="rId64" Type="http://schemas.openxmlformats.org/officeDocument/2006/relationships/hyperlink" Target="https://www.hud.gov/sites/dfiles/OCHCO/documents/2022-09cpdn.pdf" TargetMode="External"/><Relationship Id="rId118" Type="http://schemas.openxmlformats.org/officeDocument/2006/relationships/hyperlink" Target="https://www.dshs.texas.gov/hivstd/hopwa/" TargetMode="External"/><Relationship Id="rId139" Type="http://schemas.openxmlformats.org/officeDocument/2006/relationships/hyperlink" Target="https://www.hudexchange.info/resource/1920/hopwa-financial-management-training-manual/" TargetMode="External"/><Relationship Id="rId85" Type="http://schemas.microsoft.com/office/2007/relationships/diagramDrawing" Target="diagrams/drawing2.xml"/><Relationship Id="rId150" Type="http://schemas.openxmlformats.org/officeDocument/2006/relationships/hyperlink" Target="https://www.hudexchange.info/trainings/courses/lshr-amendment-training-for-conventional-public-housing-and-pba-programs-webinar/3023/" TargetMode="External"/><Relationship Id="rId171" Type="http://schemas.openxmlformats.org/officeDocument/2006/relationships/hyperlink" Target="https://www.ecfr.gov/cgi-bin/retrieveECFR?gp=&amp;SID=bd30a1976e649e5a50a91925ee3abfe8&amp;mc=true&amp;n=pt24.1.35&amp;r=PART&amp;ty=HTML" TargetMode="External"/><Relationship Id="rId192" Type="http://schemas.openxmlformats.org/officeDocument/2006/relationships/hyperlink" Target="https://www.ecfr.gov/cgi-bin/retrieveECFR?gp=&amp;SID=bd30a1976e649e5a50a91925ee3abfe8&amp;mc=true&amp;n=pt24.1.35&amp;r=PART&amp;ty=HTML" TargetMode="External"/><Relationship Id="rId206" Type="http://schemas.openxmlformats.org/officeDocument/2006/relationships/hyperlink" Target="https://www.ecfr.gov/cgi-bin/retrieveECFR?gp=&amp;SID=bd30a1976e649e5a50a91925ee3abfe8&amp;mc=true&amp;n=pt24.1.35&amp;r=PART&amp;ty=HTML" TargetMode="External"/><Relationship Id="rId227" Type="http://schemas.openxmlformats.org/officeDocument/2006/relationships/hyperlink" Target="https://www.ecfr.gov/cgi-bin/retrieveECFR?gp=&amp;SID=bd30a1976e649e5a50a91925ee3abfe8&amp;mc=true&amp;n=pt24.1.35&amp;r=PART&amp;ty=HTML" TargetMode="External"/><Relationship Id="rId248" Type="http://schemas.microsoft.com/office/2007/relationships/diagramDrawing" Target="diagrams/drawing4.xml"/><Relationship Id="rId269" Type="http://schemas.openxmlformats.org/officeDocument/2006/relationships/fontTable" Target="fontTable.xml"/><Relationship Id="rId12" Type="http://schemas.openxmlformats.org/officeDocument/2006/relationships/hyperlink" Target="https://www.dshs.texas.gov/sites/default/files/hivstd/funding/docs/Appendix_A.pdf" TargetMode="External"/><Relationship Id="rId33" Type="http://schemas.openxmlformats.org/officeDocument/2006/relationships/hyperlink" Target="https://www.dshs.texas.gov/hivstd/policy/policies/2011-04" TargetMode="External"/><Relationship Id="rId108" Type="http://schemas.openxmlformats.org/officeDocument/2006/relationships/hyperlink" Target="mailto:HIVSTDReport.Tech@dshs.texas.gov" TargetMode="External"/><Relationship Id="rId129" Type="http://schemas.openxmlformats.org/officeDocument/2006/relationships/hyperlink" Target="http://www.hud.gov/offices/lead/training/visualassessment/h00101.htm" TargetMode="External"/><Relationship Id="rId54" Type="http://schemas.openxmlformats.org/officeDocument/2006/relationships/hyperlink" Target="http://www2.epa.gov/lead/protect-your-family-lead-your-home-real-estate-disclosure" TargetMode="External"/><Relationship Id="rId75" Type="http://schemas.openxmlformats.org/officeDocument/2006/relationships/hyperlink" Target="https://www.hud.gov/program_offices/administration/hudclips/handbooks/hsgh/4350.3" TargetMode="External"/><Relationship Id="rId96" Type="http://schemas.openxmlformats.org/officeDocument/2006/relationships/hyperlink" Target="https://www.hudexchange.info/resource/1974/criteria-and-recordkeeping-requirements-for-definition-of-homeless/" TargetMode="External"/><Relationship Id="rId140" Type="http://schemas.openxmlformats.org/officeDocument/2006/relationships/hyperlink" Target="https://www.hudexchange.info/resource/2014/hopwa-guide-for-conducting-voluntary-consumer-satisfaction-surveys/" TargetMode="External"/><Relationship Id="rId161" Type="http://schemas.openxmlformats.org/officeDocument/2006/relationships/hyperlink" Target="https://www.hud.gov/sites/documents/DOC_12345.PDF" TargetMode="External"/><Relationship Id="rId182" Type="http://schemas.openxmlformats.org/officeDocument/2006/relationships/hyperlink" Target="https://www.dshs.texas.gov/lead/child.shtm" TargetMode="External"/><Relationship Id="rId217" Type="http://schemas.openxmlformats.org/officeDocument/2006/relationships/hyperlink" Target="https://www.hud.gov/sites/documents/DOC_12346.PDF" TargetMode="External"/><Relationship Id="rId6" Type="http://schemas.openxmlformats.org/officeDocument/2006/relationships/footnotes" Target="footnotes.xml"/><Relationship Id="rId238" Type="http://schemas.openxmlformats.org/officeDocument/2006/relationships/hyperlink" Target="mailto:hivstdreport.tech@dshs.state.tx.us" TargetMode="External"/><Relationship Id="rId259" Type="http://schemas.openxmlformats.org/officeDocument/2006/relationships/diagramData" Target="diagrams/data7.xml"/><Relationship Id="rId23" Type="http://schemas.openxmlformats.org/officeDocument/2006/relationships/hyperlink" Target="https://www.ecfr.gov/current/title-24/subtitle-A/part-5/subpart-A/subject-group-ECFRb064b8192adda7c/section-5.151" TargetMode="External"/><Relationship Id="rId119" Type="http://schemas.openxmlformats.org/officeDocument/2006/relationships/hyperlink" Target="https://www.dshs.texas.gov/hivstd/policy/policies/090-010.shtm" TargetMode="External"/><Relationship Id="rId270" Type="http://schemas.openxmlformats.org/officeDocument/2006/relationships/glossaryDocument" Target="glossary/document.xml"/><Relationship Id="rId44" Type="http://schemas.openxmlformats.org/officeDocument/2006/relationships/hyperlink" Target="https://www.hud.gov/program_offices/fair_housing_equal_opp/online-complaint" TargetMode="External"/><Relationship Id="rId65" Type="http://schemas.openxmlformats.org/officeDocument/2006/relationships/hyperlink" Target="https://www.hudexchange.info/hopwa" TargetMode="External"/><Relationship Id="rId86" Type="http://schemas.openxmlformats.org/officeDocument/2006/relationships/hyperlink" Target="https://files.hudexchange.info/resources/documents/HOPWARentalAssistanceGuidebook.pdf" TargetMode="External"/><Relationship Id="rId130" Type="http://schemas.openxmlformats.org/officeDocument/2006/relationships/hyperlink" Target="https://tx.train.org/DesktopShell.aspx" TargetMode="External"/><Relationship Id="rId151" Type="http://schemas.openxmlformats.org/officeDocument/2006/relationships/hyperlink" Target="https://www.hudexchange.info/trainings/courses/lead-safe-housing-rule-webinar-series-subparts-j-and-k/3921/" TargetMode="External"/><Relationship Id="rId172" Type="http://schemas.openxmlformats.org/officeDocument/2006/relationships/hyperlink" Target="https://www.ecfr.gov/cgi-bin/retrieveECFR?gp=&amp;SID=bd30a1976e649e5a50a91925ee3abfe8&amp;mc=true&amp;n=pt24.1.35&amp;r=PART&amp;ty=HTML" TargetMode="External"/><Relationship Id="rId193" Type="http://schemas.openxmlformats.org/officeDocument/2006/relationships/hyperlink" Target="https://www.ecfr.gov/cgi-bin/retrieveECFR?gp=&amp;SID=bd30a1976e649e5a50a91925ee3abfe8&amp;mc=true&amp;n=pt24.1.35&amp;r=PART&amp;ty=HTML" TargetMode="External"/><Relationship Id="rId207" Type="http://schemas.openxmlformats.org/officeDocument/2006/relationships/hyperlink" Target="https://www.ecfr.gov/cgi-bin/retrieveECFR?gp=&amp;SID=bd30a1976e649e5a50a91925ee3abfe8&amp;mc=true&amp;n=pt24.1.35&amp;r=PART&amp;ty=HTML" TargetMode="External"/><Relationship Id="rId228" Type="http://schemas.openxmlformats.org/officeDocument/2006/relationships/hyperlink" Target="https://www.ecfr.gov/cgi-bin/retrieveECFR?gp=&amp;SID=bd30a1976e649e5a50a91925ee3abfe8&amp;mc=true&amp;n=pt24.1.35&amp;r=PART&amp;ty=HTML" TargetMode="External"/><Relationship Id="rId249" Type="http://schemas.openxmlformats.org/officeDocument/2006/relationships/diagramData" Target="diagrams/data5.xml"/><Relationship Id="rId13" Type="http://schemas.openxmlformats.org/officeDocument/2006/relationships/hyperlink" Target="https://www.huduser.gov/portal/datasets/il.html" TargetMode="External"/><Relationship Id="rId109" Type="http://schemas.openxmlformats.org/officeDocument/2006/relationships/hyperlink" Target="https://www.dshs.texas.gov/hivstd/hopwa/" TargetMode="External"/><Relationship Id="rId260" Type="http://schemas.openxmlformats.org/officeDocument/2006/relationships/diagramLayout" Target="diagrams/layout7.xml"/><Relationship Id="rId34" Type="http://schemas.openxmlformats.org/officeDocument/2006/relationships/hyperlink" Target="https://www.dshs.state.tx.us/hivstd/taxonomy/telemedguidance.shtm" TargetMode="External"/><Relationship Id="rId55" Type="http://schemas.openxmlformats.org/officeDocument/2006/relationships/hyperlink" Target="https://www.hud.gov/sites/documents/DOC_12345.PDF" TargetMode="External"/><Relationship Id="rId76" Type="http://schemas.openxmlformats.org/officeDocument/2006/relationships/diagramData" Target="diagrams/data1.xml"/><Relationship Id="rId97" Type="http://schemas.openxmlformats.org/officeDocument/2006/relationships/hyperlink" Target="https://www.hudexchange.info/resource/3197/guidance-categorizing-activity-as-maintenance-environmental-regulations-24-cfr-parts-50-and-58/" TargetMode="External"/><Relationship Id="rId120" Type="http://schemas.openxmlformats.org/officeDocument/2006/relationships/hyperlink" Target="https://www.huduser.gov/portal/datasets/il.html" TargetMode="External"/><Relationship Id="rId141" Type="http://schemas.openxmlformats.org/officeDocument/2006/relationships/hyperlink" Target="https://www.hudexchange.info/programs/hopwa/guides/" TargetMode="External"/><Relationship Id="rId7" Type="http://schemas.openxmlformats.org/officeDocument/2006/relationships/endnotes" Target="endnotes.xml"/><Relationship Id="rId162" Type="http://schemas.openxmlformats.org/officeDocument/2006/relationships/hyperlink" Target="https://www.hud.gov/sites/documents/DOC_12346.PDF" TargetMode="External"/><Relationship Id="rId183" Type="http://schemas.openxmlformats.org/officeDocument/2006/relationships/hyperlink" Target="https://www.ecfr.gov/cgi-bin/retrieveECFR?gp=&amp;SID=bd30a1976e649e5a50a91925ee3abfe8&amp;mc=true&amp;n=pt24.1.35&amp;r=PART&amp;ty=HTML" TargetMode="External"/><Relationship Id="rId218" Type="http://schemas.openxmlformats.org/officeDocument/2006/relationships/hyperlink" Target="http://www2.epa.gov/lead/protect-your-family-lead-your-home-real-estate-disclosure" TargetMode="External"/><Relationship Id="rId239" Type="http://schemas.openxmlformats.org/officeDocument/2006/relationships/hyperlink" Target="https://www.ecfr.gov/cgi-bin/text-idx?SID=17d91360e10bdd3d2cfae4b9340595a9&amp;mc=true&amp;node=pt24.3.574&amp;rgn=div5" TargetMode="External"/><Relationship Id="rId250" Type="http://schemas.openxmlformats.org/officeDocument/2006/relationships/diagramLayout" Target="diagrams/layout5.xml"/><Relationship Id="rId271" Type="http://schemas.openxmlformats.org/officeDocument/2006/relationships/theme" Target="theme/theme1.xml"/><Relationship Id="rId24" Type="http://schemas.openxmlformats.org/officeDocument/2006/relationships/hyperlink" Target="https://www.ecfr.gov/current/title-24/subtitle-A/part-5/subpart-A/subject-group-ECFRb064b8192adda7c/section-5.152" TargetMode="External"/><Relationship Id="rId45" Type="http://schemas.openxmlformats.org/officeDocument/2006/relationships/hyperlink" Target="https://www.hudexchange.info/resource/2635/notice-cpd-94-05-implementation-fire-administration-authorization-act/" TargetMode="External"/><Relationship Id="rId66" Type="http://schemas.openxmlformats.org/officeDocument/2006/relationships/hyperlink" Target="http://portal.hud.gov/hudportal/HUD?src=/program_offices/public_indian_housing/programs/hcv" TargetMode="External"/><Relationship Id="rId87" Type="http://schemas.openxmlformats.org/officeDocument/2006/relationships/hyperlink" Target="https://www.huduser.gov/portal/datasets/fmr.html" TargetMode="External"/><Relationship Id="rId110" Type="http://schemas.openxmlformats.org/officeDocument/2006/relationships/hyperlink" Target="mailto:Invoices@dshs.texas.gov" TargetMode="External"/><Relationship Id="rId131" Type="http://schemas.openxmlformats.org/officeDocument/2006/relationships/hyperlink" Target="https://www.hudexchange.info/resource/1003/hopwa-grantee-oversight-resource-guide/" TargetMode="External"/><Relationship Id="rId152" Type="http://schemas.openxmlformats.org/officeDocument/2006/relationships/hyperlink" Target="https://youtube.com/playlist?list=PLS7Yr7j8XXlZJAOS2mZ-eXj5bAIgdogAx" TargetMode="External"/><Relationship Id="rId173" Type="http://schemas.openxmlformats.org/officeDocument/2006/relationships/hyperlink" Target="https://www.ecfr.gov/cgi-bin/retrieveECFR?gp=&amp;SID=bd30a1976e649e5a50a91925ee3abfe8&amp;mc=true&amp;n=pt24.1.35&amp;r=PART&amp;ty=HTML" TargetMode="External"/><Relationship Id="rId194" Type="http://schemas.openxmlformats.org/officeDocument/2006/relationships/hyperlink" Target="https://www.ecfr.gov/cgi-bin/retrieveECFR?gp=&amp;SID=bd30a1976e649e5a50a91925ee3abfe8&amp;mc=true&amp;n=pt24.1.35&amp;r=PART&amp;ty=HTML" TargetMode="External"/><Relationship Id="rId208" Type="http://schemas.openxmlformats.org/officeDocument/2006/relationships/hyperlink" Target="https://www.ecfr.gov/cgi-bin/retrieveECFR?gp=&amp;SID=bd30a1976e649e5a50a91925ee3abfe8&amp;mc=true&amp;n=pt24.1.35&amp;r=PART&amp;ty=HTML" TargetMode="External"/><Relationship Id="rId229" Type="http://schemas.openxmlformats.org/officeDocument/2006/relationships/hyperlink" Target="https://www.ecfr.gov/cgi-bin/retrieveECFR?gp=&amp;SID=bd30a1976e649e5a50a91925ee3abfe8&amp;mc=true&amp;n=pt24.1.35&amp;r=PART&amp;ty=HTML" TargetMode="External"/><Relationship Id="rId240" Type="http://schemas.openxmlformats.org/officeDocument/2006/relationships/hyperlink" Target="https://www.ecfr.gov/cgi-bin/text-idx?SID=17d91360e10bdd3d2cfae4b9340595a9&amp;mc=true&amp;node=pt24.3.574&amp;rgn=div5" TargetMode="External"/><Relationship Id="rId261" Type="http://schemas.openxmlformats.org/officeDocument/2006/relationships/diagramQuickStyle" Target="diagrams/quickStyle7.xml"/><Relationship Id="rId14" Type="http://schemas.openxmlformats.org/officeDocument/2006/relationships/hyperlink" Target="https://www.hudexchange.info/homelessness-assistance/resources-for-chronic-homelessness/" TargetMode="External"/><Relationship Id="rId35" Type="http://schemas.openxmlformats.org/officeDocument/2006/relationships/hyperlink" Target="http://portal.hud.gov/hudportal/HUD?src=/program_offices/fair_housing_equal_opp" TargetMode="External"/><Relationship Id="rId56" Type="http://schemas.openxmlformats.org/officeDocument/2006/relationships/hyperlink" Target="https://www.hud.gov/sites/documents/DOC_12346.PDF" TargetMode="External"/><Relationship Id="rId77" Type="http://schemas.openxmlformats.org/officeDocument/2006/relationships/diagramLayout" Target="diagrams/layout1.xml"/><Relationship Id="rId100" Type="http://schemas.openxmlformats.org/officeDocument/2006/relationships/hyperlink" Target="https://files.hudexchange.info/resources/documents/HOPWARentalAssistanceGuidebook.pdf" TargetMode="External"/><Relationship Id="rId8" Type="http://schemas.openxmlformats.org/officeDocument/2006/relationships/image" Target="media/image1.png"/><Relationship Id="rId98" Type="http://schemas.openxmlformats.org/officeDocument/2006/relationships/hyperlink" Target="https://www.hudexchange.info/resource/1974/criteria-and-recordkeeping-requirements-for-definition-of-homeless/" TargetMode="External"/><Relationship Id="rId121" Type="http://schemas.openxmlformats.org/officeDocument/2006/relationships/hyperlink" Target="https://www.huduser.gov/portal/datasets/fmr.html" TargetMode="External"/><Relationship Id="rId142" Type="http://schemas.openxmlformats.org/officeDocument/2006/relationships/hyperlink" Target="https://www.hudexchange.info/programs/hopwa/new-consolidated-apr-caper/" TargetMode="External"/><Relationship Id="rId163" Type="http://schemas.openxmlformats.org/officeDocument/2006/relationships/hyperlink" Target="https://www.ecfr.gov/cgi-bin/retrieveECFR?gp=&amp;SID=bd30a1976e649e5a50a91925ee3abfe8&amp;mc=true&amp;n=pt24.1.35&amp;r=PART&amp;ty=HTML" TargetMode="External"/><Relationship Id="rId184" Type="http://schemas.openxmlformats.org/officeDocument/2006/relationships/hyperlink" Target="https://www.ecfr.gov/cgi-bin/retrieveECFR?gp=&amp;SID=bd30a1976e649e5a50a91925ee3abfe8&amp;mc=true&amp;n=pt24.1.35&amp;r=PART&amp;ty=HTML" TargetMode="External"/><Relationship Id="rId219" Type="http://schemas.openxmlformats.org/officeDocument/2006/relationships/hyperlink" Target="https://www.ecfr.gov/cgi-bin/retrieveECFR?gp=&amp;SID=bd30a1976e649e5a50a91925ee3abfe8&amp;mc=true&amp;n=pt24.1.35&amp;r=PART&amp;ty=HTML" TargetMode="External"/><Relationship Id="rId230" Type="http://schemas.openxmlformats.org/officeDocument/2006/relationships/hyperlink" Target="https://www.ecfr.gov/cgi-bin/retrieveECFR?gp=&amp;SID=bd30a1976e649e5a50a91925ee3abfe8&amp;mc=true&amp;n=pt24.1.35&amp;r=PART&amp;ty=HTML" TargetMode="External"/><Relationship Id="rId251" Type="http://schemas.openxmlformats.org/officeDocument/2006/relationships/diagramQuickStyle" Target="diagrams/quickStyle5.xml"/><Relationship Id="rId25" Type="http://schemas.openxmlformats.org/officeDocument/2006/relationships/hyperlink" Target="https://www.ecfr.gov/current/title-24/subtitle-A/part-5/subpart-L/section-5.2005" TargetMode="External"/><Relationship Id="rId46" Type="http://schemas.openxmlformats.org/officeDocument/2006/relationships/hyperlink" Target="https://www.hudexchange.info/news/hud-issues-notice-cpd-22-15-carbon-monoxide-alarms-or-detectors-in-hopwa-assisted-housing/" TargetMode="External"/><Relationship Id="rId67" Type="http://schemas.openxmlformats.org/officeDocument/2006/relationships/hyperlink" Target="http://portal.hud.gov/hudportal/HUD?src=/program_offices/public_indian_housing/programs/hcv/vash" TargetMode="External"/><Relationship Id="rId88" Type="http://schemas.openxmlformats.org/officeDocument/2006/relationships/hyperlink" Target="https://www.ecfr.gov/current/title-24/subtitle-A/part-5/subpart-F/subject-group-ECFR174c6349abd095d/section-5.611" TargetMode="External"/><Relationship Id="rId111" Type="http://schemas.openxmlformats.org/officeDocument/2006/relationships/hyperlink" Target="mailto:CMSInvoices@dshs.texas.gov" TargetMode="External"/><Relationship Id="rId132" Type="http://schemas.openxmlformats.org/officeDocument/2006/relationships/hyperlink" Target="https://www.hudexchange.info/trainings/hopwa-institute/" TargetMode="External"/><Relationship Id="rId153" Type="http://schemas.openxmlformats.org/officeDocument/2006/relationships/hyperlink" Target="https://vimeo.com/showcase/4066815" TargetMode="External"/><Relationship Id="rId174" Type="http://schemas.openxmlformats.org/officeDocument/2006/relationships/hyperlink" Target="https://www.ecfr.gov/cgi-bin/retrieveECFR?gp=&amp;SID=bd30a1976e649e5a50a91925ee3abfe8&amp;mc=true&amp;n=pt24.1.35&amp;r=PART&amp;ty=HTML" TargetMode="External"/><Relationship Id="rId195" Type="http://schemas.openxmlformats.org/officeDocument/2006/relationships/hyperlink" Target="https://www.epa.gov/lead/renovate-right-important-lead-hazard-information-families-child-care-providers-and-schools" TargetMode="External"/><Relationship Id="rId209" Type="http://schemas.openxmlformats.org/officeDocument/2006/relationships/hyperlink" Target="https://www.hud.gov/states/texas/offices" TargetMode="External"/><Relationship Id="rId220" Type="http://schemas.openxmlformats.org/officeDocument/2006/relationships/hyperlink" Target="https://www.ecfr.gov/cgi-bin/retrieveECFR?gp=&amp;SID=bd30a1976e649e5a50a91925ee3abfe8&amp;mc=true&amp;n=pt24.1.35&amp;r=PART&amp;ty=HTML" TargetMode="External"/><Relationship Id="rId241" Type="http://schemas.openxmlformats.org/officeDocument/2006/relationships/hyperlink" Target="https://www.hudexchange.info/resources/documents/HOPWARentalAssistanceGuidebook.pdf" TargetMode="External"/><Relationship Id="rId15" Type="http://schemas.openxmlformats.org/officeDocument/2006/relationships/hyperlink" Target="https://www.federalregister.gov/documents/2012/02/03/2012-2343/equal-access-to-housing-in-hud-programs-regardless-of-sexual-orientation-or-gender-identity" TargetMode="External"/><Relationship Id="rId36" Type="http://schemas.openxmlformats.org/officeDocument/2006/relationships/hyperlink" Target="https://www.hudexchange.info/programs/fair-housing/?utm_source=HUD+Exchange+Mailing+List&amp;utm_campaign=f7067015af-FHEO-Landing-Page-Announcement-2023&amp;utm_medium=email&amp;utm_term=0_-f7067015af-%5BLIST_EMAIL_ID%5D" TargetMode="External"/><Relationship Id="rId57" Type="http://schemas.openxmlformats.org/officeDocument/2006/relationships/hyperlink" Target="https://www.ecfr.gov/cgi-bin/retrieveECFR?gp=&amp;SID=bd30a1976e649e5a50a91925ee3abfe8&amp;mc=true&amp;n=pt24.1.35&amp;r=PART&amp;ty=HTML" TargetMode="External"/><Relationship Id="rId262" Type="http://schemas.openxmlformats.org/officeDocument/2006/relationships/diagramColors" Target="diagrams/colors7.xml"/><Relationship Id="rId78" Type="http://schemas.openxmlformats.org/officeDocument/2006/relationships/diagramQuickStyle" Target="diagrams/quickStyle1.xml"/><Relationship Id="rId99" Type="http://schemas.openxmlformats.org/officeDocument/2006/relationships/hyperlink" Target="https://www.hudexchange.info/resource/1975/criteria-for-definition-of-at-risk-of-homelessness/" TargetMode="External"/><Relationship Id="rId101" Type="http://schemas.openxmlformats.org/officeDocument/2006/relationships/hyperlink" Target="https://www.huduser.gov/portal/datasets/fmr.html" TargetMode="External"/><Relationship Id="rId122" Type="http://schemas.openxmlformats.org/officeDocument/2006/relationships/hyperlink" Target="https://www.huduser.gov/portal/datasets/fmr.html" TargetMode="External"/><Relationship Id="rId143" Type="http://schemas.openxmlformats.org/officeDocument/2006/relationships/hyperlink" Target="https://www.hudexchange.info/resource/3296/hopwa-confidentiality-user-guide/" TargetMode="External"/><Relationship Id="rId164" Type="http://schemas.openxmlformats.org/officeDocument/2006/relationships/hyperlink" Target="https://www.ecfr.gov/cgi-bin/retrieveECFR?gp=&amp;SID=bd30a1976e649e5a50a91925ee3abfe8&amp;mc=true&amp;n=pt24.1.35&amp;r=PART&amp;ty=HTML" TargetMode="External"/><Relationship Id="rId185" Type="http://schemas.openxmlformats.org/officeDocument/2006/relationships/hyperlink" Target="http://www2.epa.gov/lead/protect-your-family-lead-your-home-real-estate-disclosure" TargetMode="External"/><Relationship Id="rId9" Type="http://schemas.openxmlformats.org/officeDocument/2006/relationships/footer" Target="footer1.xml"/><Relationship Id="rId210" Type="http://schemas.openxmlformats.org/officeDocument/2006/relationships/hyperlink" Target="mailto:LeadRegulations@hud.gov" TargetMode="External"/><Relationship Id="rId26" Type="http://schemas.openxmlformats.org/officeDocument/2006/relationships/hyperlink" Target="https://www.irs.gov/forms-pubs/about-form-w-9" TargetMode="External"/><Relationship Id="rId231" Type="http://schemas.openxmlformats.org/officeDocument/2006/relationships/hyperlink" Target="https://www.ecfr.gov/cgi-bin/retrieveECFR?gp=&amp;SID=bd30a1976e649e5a50a91925ee3abfe8&amp;mc=true&amp;n=pt24.1.35&amp;r=PART&amp;ty=HTML" TargetMode="External"/><Relationship Id="rId252" Type="http://schemas.openxmlformats.org/officeDocument/2006/relationships/diagramColors" Target="diagrams/colors5.xml"/><Relationship Id="rId47" Type="http://schemas.openxmlformats.org/officeDocument/2006/relationships/hyperlink" Target="https://www.ecfr.gov/cgi-bin/retrieveECFR?gp=&amp;SID=bd30a1976e649e5a50a91925ee3abfe8&amp;mc=true&amp;n=pt24.1.35&amp;r=PART&amp;ty=HTML" TargetMode="External"/><Relationship Id="rId68" Type="http://schemas.openxmlformats.org/officeDocument/2006/relationships/hyperlink" Target="https://www.hudexchange.info/programs/coc/" TargetMode="External"/><Relationship Id="rId89" Type="http://schemas.openxmlformats.org/officeDocument/2006/relationships/hyperlink" Target="https://www.ecfr.gov/current/title-24/subtitle-B/chapter-V/subchapter-C/part-574/subpart-F/section-574.500" TargetMode="External"/><Relationship Id="rId112" Type="http://schemas.openxmlformats.org/officeDocument/2006/relationships/hyperlink" Target="mailto:HIVVSF@dshs.texas.gov" TargetMode="External"/><Relationship Id="rId133" Type="http://schemas.openxmlformats.org/officeDocument/2006/relationships/hyperlink" Target="https://www.hudexchange.info/resource/6298/hopwa-factsheets-addressing-changes-in-formula-allocations/" TargetMode="External"/><Relationship Id="rId154" Type="http://schemas.openxmlformats.org/officeDocument/2006/relationships/hyperlink" Target="https://www.hudexchange.info/resource/2269/notice-cpd-03-05-guidance-manufactured-housing-under-home-program/" TargetMode="External"/><Relationship Id="rId175" Type="http://schemas.openxmlformats.org/officeDocument/2006/relationships/hyperlink" Target="https://www.ecfr.gov/cgi-bin/retrieveECFR?gp=&amp;SID=bd30a1976e649e5a50a91925ee3abfe8&amp;mc=true&amp;n=pt24.1.35&amp;r=PART&amp;ty=HTML" TargetMode="External"/><Relationship Id="rId196" Type="http://schemas.openxmlformats.org/officeDocument/2006/relationships/hyperlink" Target="https://www.ecfr.gov/cgi-bin/retrieveECFR?gp=&amp;SID=bd30a1976e649e5a50a91925ee3abfe8&amp;mc=true&amp;n=pt24.1.35&amp;r=PART&amp;ty=HTML" TargetMode="External"/><Relationship Id="rId200" Type="http://schemas.openxmlformats.org/officeDocument/2006/relationships/hyperlink" Target="https://www.ecfr.gov/cgi-bin/retrieveECFR?gp=&amp;SID=bd30a1976e649e5a50a91925ee3abfe8&amp;mc=true&amp;n=pt24.1.35&amp;r=PART&amp;ty=HTML" TargetMode="External"/><Relationship Id="rId16" Type="http://schemas.openxmlformats.org/officeDocument/2006/relationships/hyperlink" Target="https://www.huduser.gov/portal/datasets/fmr.html" TargetMode="External"/><Relationship Id="rId221" Type="http://schemas.openxmlformats.org/officeDocument/2006/relationships/hyperlink" Target="https://www.ecfr.gov/cgi-bin/retrieveECFR?gp=&amp;SID=bd30a1976e649e5a50a91925ee3abfe8&amp;mc=true&amp;n=pt24.1.35&amp;r=PART&amp;ty=HTML" TargetMode="External"/><Relationship Id="rId242" Type="http://schemas.openxmlformats.org/officeDocument/2006/relationships/hyperlink" Target="https://archives.hud.gov/news/2015/pr15-140.cfm" TargetMode="External"/><Relationship Id="rId263" Type="http://schemas.microsoft.com/office/2007/relationships/diagramDrawing" Target="diagrams/drawing7.xml"/><Relationship Id="rId37" Type="http://schemas.openxmlformats.org/officeDocument/2006/relationships/hyperlink" Target="http://portal.hud.gov/hudportal/HUD?src=/program_offices/fair_housing_equal_opp/marketing" TargetMode="External"/><Relationship Id="rId58" Type="http://schemas.openxmlformats.org/officeDocument/2006/relationships/hyperlink" Target="https://www.ecfr.gov/cgi-bin/retrieveECFR?gp=&amp;SID=bd30a1976e649e5a50a91925ee3abfe8&amp;mc=true&amp;n=pt24.1.35&amp;r=PART&amp;ty=HTML" TargetMode="External"/><Relationship Id="rId79" Type="http://schemas.openxmlformats.org/officeDocument/2006/relationships/diagramColors" Target="diagrams/colors1.xml"/><Relationship Id="rId102" Type="http://schemas.openxmlformats.org/officeDocument/2006/relationships/hyperlink" Target="https://www.ecfr.gov/current/title-24/subtitle-A/part-5/subpart-F/subject-group-ECFR174c6349abd095d/section-5.611" TargetMode="External"/><Relationship Id="rId123" Type="http://schemas.openxmlformats.org/officeDocument/2006/relationships/hyperlink" Target="mailto:blade.berkman@dshs.state.tx.us" TargetMode="External"/><Relationship Id="rId144" Type="http://schemas.openxmlformats.org/officeDocument/2006/relationships/hyperlink" Target="https://www.hudexchange.info/resource/2037/hopwa-20-housing-innovations-in-hiv-care/" TargetMode="External"/><Relationship Id="rId90" Type="http://schemas.openxmlformats.org/officeDocument/2006/relationships/diagramData" Target="diagrams/data3.xml"/><Relationship Id="rId165" Type="http://schemas.openxmlformats.org/officeDocument/2006/relationships/hyperlink" Target="https://www.ecfr.gov/cgi-bin/retrieveECFR?gp=&amp;SID=bd30a1976e649e5a50a91925ee3abfe8&amp;mc=true&amp;n=pt24.1.35&amp;r=PART&amp;ty=HTML" TargetMode="External"/><Relationship Id="rId186" Type="http://schemas.openxmlformats.org/officeDocument/2006/relationships/hyperlink" Target="https://www.hud.gov/sites/documents/DOC_12345.PDF" TargetMode="External"/><Relationship Id="rId211" Type="http://schemas.openxmlformats.org/officeDocument/2006/relationships/hyperlink" Target="https://www.dshs.texas.gov/lead/child.shtm" TargetMode="External"/><Relationship Id="rId232" Type="http://schemas.openxmlformats.org/officeDocument/2006/relationships/hyperlink" Target="https://www.ecfr.gov/cgi-bin/retrieveECFR?gp=&amp;SID=bd30a1976e649e5a50a91925ee3abfe8&amp;mc=true&amp;n=pt24.1.35&amp;r=PART&amp;ty=HTML" TargetMode="External"/><Relationship Id="rId253" Type="http://schemas.microsoft.com/office/2007/relationships/diagramDrawing" Target="diagrams/drawing5.xml"/><Relationship Id="rId27" Type="http://schemas.openxmlformats.org/officeDocument/2006/relationships/hyperlink" Target="https://www.irs.gov/forms-pubs/about-form-1099-misc" TargetMode="External"/><Relationship Id="rId48" Type="http://schemas.openxmlformats.org/officeDocument/2006/relationships/hyperlink" Target="https://www.ecfr.gov/cgi-bin/retrieveECFR?gp=&amp;SID=bd30a1976e649e5a50a91925ee3abfe8&amp;mc=true&amp;n=pt24.1.35&amp;r=PART&amp;ty=HTML" TargetMode="External"/><Relationship Id="rId69" Type="http://schemas.openxmlformats.org/officeDocument/2006/relationships/hyperlink" Target="http://portal.hud.gov/hudportal/HUD?src=/program_offices/public_indian_housing/programs/ph" TargetMode="External"/><Relationship Id="rId113" Type="http://schemas.openxmlformats.org/officeDocument/2006/relationships/hyperlink" Target="mailto:FSRGrants@dshs.texas.gov" TargetMode="External"/><Relationship Id="rId134" Type="http://schemas.openxmlformats.org/officeDocument/2006/relationships/hyperlink" Target="https://www.hudexchange.info/resource/2818/hopwa-rental-assistance-guidebook/" TargetMode="External"/><Relationship Id="rId80" Type="http://schemas.microsoft.com/office/2007/relationships/diagramDrawing" Target="diagrams/drawing1.xml"/><Relationship Id="rId155" Type="http://schemas.openxmlformats.org/officeDocument/2006/relationships/hyperlink" Target="https://www.hudexchange.info/programs/lead-based-paint/lshr-toolkit/introduction/?utm_source=HUD+Exchange+Mailing+List&amp;utm_campaign=efb1c21d86-New_Lead_Safe_Housing_Rule_Toolkit&amp;utm_medium=email&amp;utm_term=0_f32b935a5f-efb1c21d86-19342361" TargetMode="External"/><Relationship Id="rId176" Type="http://schemas.openxmlformats.org/officeDocument/2006/relationships/hyperlink" Target="https://www.ecfr.gov/cgi-bin/retrieveECFR?gp=&amp;SID=bd30a1976e649e5a50a91925ee3abfe8&amp;mc=true&amp;n=pt24.1.35&amp;r=PART&amp;ty=HTML" TargetMode="External"/><Relationship Id="rId197" Type="http://schemas.openxmlformats.org/officeDocument/2006/relationships/hyperlink" Target="https://www.ecfr.gov/cgi-bin/retrieveECFR?gp=&amp;SID=bd30a1976e649e5a50a91925ee3abfe8&amp;mc=true&amp;n=pt24.1.35&amp;r=PART&amp;ty=HTML" TargetMode="External"/><Relationship Id="rId201" Type="http://schemas.openxmlformats.org/officeDocument/2006/relationships/hyperlink" Target="https://www.ecfr.gov/cgi-bin/retrieveECFR?gp=&amp;SID=bd30a1976e649e5a50a91925ee3abfe8&amp;mc=true&amp;n=pt24.1.35&amp;r=PART&amp;ty=HTML" TargetMode="External"/><Relationship Id="rId222" Type="http://schemas.openxmlformats.org/officeDocument/2006/relationships/hyperlink" Target="https://www.ecfr.gov/cgi-bin/retrieveECFR?gp=&amp;SID=bd30a1976e649e5a50a91925ee3abfe8&amp;mc=true&amp;n=pt24.1.35&amp;r=PART&amp;ty=HTML" TargetMode="External"/><Relationship Id="rId243" Type="http://schemas.openxmlformats.org/officeDocument/2006/relationships/image" Target="media/image3.png"/><Relationship Id="rId264" Type="http://schemas.openxmlformats.org/officeDocument/2006/relationships/diagramData" Target="diagrams/data8.xml"/><Relationship Id="rId17" Type="http://schemas.openxmlformats.org/officeDocument/2006/relationships/hyperlink" Target="https://www.hudexchange.info/resource/6712/notice-cpd-22-10-clarification-of-rent-standard-requirement-for-the-hopwa-program/" TargetMode="External"/><Relationship Id="rId38" Type="http://schemas.openxmlformats.org/officeDocument/2006/relationships/hyperlink" Target="https://www.hud.gov/program_offices/fair_housing_equal_opp/online-complaint" TargetMode="External"/><Relationship Id="rId59" Type="http://schemas.openxmlformats.org/officeDocument/2006/relationships/hyperlink" Target="https://www.congress.gov/bill/102nd-congress/house-bill/2042/text" TargetMode="External"/><Relationship Id="rId103" Type="http://schemas.openxmlformats.org/officeDocument/2006/relationships/hyperlink" Target="mailto:hivstdreport.tech@dshs.state.tx.us" TargetMode="External"/><Relationship Id="rId124" Type="http://schemas.openxmlformats.org/officeDocument/2006/relationships/hyperlink" Target="http://www.dshs.state.tx.us/hivstd/hopwa/default.shtm" TargetMode="External"/><Relationship Id="rId70" Type="http://schemas.openxmlformats.org/officeDocument/2006/relationships/hyperlink" Target="https://www.hudexchange.info/programs/home/" TargetMode="External"/><Relationship Id="rId91" Type="http://schemas.openxmlformats.org/officeDocument/2006/relationships/diagramLayout" Target="diagrams/layout3.xml"/><Relationship Id="rId145" Type="http://schemas.openxmlformats.org/officeDocument/2006/relationships/hyperlink" Target="https://www.hudexchange.info/programs/idis/guides/hopwa/" TargetMode="External"/><Relationship Id="rId166" Type="http://schemas.openxmlformats.org/officeDocument/2006/relationships/hyperlink" Target="https://www.ecfr.gov/cgi-bin/retrieveECFR?gp=&amp;SID=bd30a1976e649e5a50a91925ee3abfe8&amp;mc=true&amp;n=pt24.1.35&amp;r=PART&amp;ty=HTML" TargetMode="External"/><Relationship Id="rId187" Type="http://schemas.openxmlformats.org/officeDocument/2006/relationships/hyperlink" Target="https://www.hud.gov/sites/documents/DOC_12346.PDF" TargetMode="External"/><Relationship Id="rId1" Type="http://schemas.openxmlformats.org/officeDocument/2006/relationships/customXml" Target="../customXml/item1.xml"/><Relationship Id="rId212" Type="http://schemas.openxmlformats.org/officeDocument/2006/relationships/hyperlink" Target="https://www.ecfr.gov/cgi-bin/retrieveECFR?gp=&amp;SID=bd30a1976e649e5a50a91925ee3abfe8&amp;mc=true&amp;n=pt24.1.35&amp;r=PART&amp;ty=HTML" TargetMode="External"/><Relationship Id="rId233" Type="http://schemas.openxmlformats.org/officeDocument/2006/relationships/hyperlink" Target="https://www.ecfr.gov/cgi-bin/retrieveECFR?gp=&amp;SID=bd30a1976e649e5a50a91925ee3abfe8&amp;mc=true&amp;n=pt24.1.35&amp;r=PART&amp;ty=HTML" TargetMode="External"/><Relationship Id="rId254" Type="http://schemas.openxmlformats.org/officeDocument/2006/relationships/diagramData" Target="diagrams/data6.xml"/><Relationship Id="rId28" Type="http://schemas.openxmlformats.org/officeDocument/2006/relationships/hyperlink" Target="https://www.irs.gov/" TargetMode="External"/><Relationship Id="rId49" Type="http://schemas.openxmlformats.org/officeDocument/2006/relationships/hyperlink" Target="https://www.ecfr.gov/cgi-bin/retrieveECFR?gp=&amp;SID=bd30a1976e649e5a50a91925ee3abfe8&amp;mc=true&amp;n=pt24.1.35&amp;r=PART&amp;ty=HTML" TargetMode="External"/><Relationship Id="rId114" Type="http://schemas.openxmlformats.org/officeDocument/2006/relationships/hyperlink" Target="mailto:HIVSTDReport.tech@dshs.texas.gov" TargetMode="External"/><Relationship Id="rId60" Type="http://schemas.openxmlformats.org/officeDocument/2006/relationships/hyperlink" Target="https://www.nfpa.org/codes-and-standards/all-codes-and-standards/list-of-codes-and-standards/detail?code=72" TargetMode="External"/><Relationship Id="rId81" Type="http://schemas.openxmlformats.org/officeDocument/2006/relationships/diagramData" Target="diagrams/data2.xml"/><Relationship Id="rId135" Type="http://schemas.openxmlformats.org/officeDocument/2006/relationships/hyperlink" Target="https://www.hudexchange.info/news/hopwa-income-and-rent-calculation-curriculum-now-available/" TargetMode="External"/><Relationship Id="rId156" Type="http://schemas.openxmlformats.org/officeDocument/2006/relationships/hyperlink" Target="https://www.hudexchange.info/trainings/courses/lshr-amendment-training-for-hud-funded-recipients-who-administer-tbra-webinar/3022/" TargetMode="External"/><Relationship Id="rId177" Type="http://schemas.openxmlformats.org/officeDocument/2006/relationships/hyperlink" Target="https://www.ecfr.gov/cgi-bin/retrieveECFR?gp=&amp;SID=bd30a1976e649e5a50a91925ee3abfe8&amp;mc=true&amp;n=pt24.1.35&amp;r=PART&amp;ty=HTML" TargetMode="External"/><Relationship Id="rId198" Type="http://schemas.openxmlformats.org/officeDocument/2006/relationships/hyperlink" Target="https://www.ecfr.gov/cgi-bin/retrieveECFR?gp=&amp;SID=bd30a1976e649e5a50a91925ee3abfe8&amp;mc=true&amp;n=pt24.1.35&amp;r=PART&amp;ty=HTML" TargetMode="External"/><Relationship Id="rId202" Type="http://schemas.openxmlformats.org/officeDocument/2006/relationships/hyperlink" Target="https://www.ecfr.gov/cgi-bin/retrieveECFR?gp=&amp;SID=bd30a1976e649e5a50a91925ee3abfe8&amp;mc=true&amp;n=pt24.1.35&amp;r=PART&amp;ty=HTML" TargetMode="External"/><Relationship Id="rId223" Type="http://schemas.openxmlformats.org/officeDocument/2006/relationships/hyperlink" Target="https://www.epa.gov/lead/renovate-right-important-lead-hazard-information-families-child-care-providers-and-schools" TargetMode="External"/><Relationship Id="rId244" Type="http://schemas.openxmlformats.org/officeDocument/2006/relationships/diagramData" Target="diagrams/data4.xml"/><Relationship Id="rId18" Type="http://schemas.openxmlformats.org/officeDocument/2006/relationships/hyperlink" Target="https://www.dshs.texas.gov/hivstd/hopwa/" TargetMode="External"/><Relationship Id="rId39" Type="http://schemas.openxmlformats.org/officeDocument/2006/relationships/hyperlink" Target="https://www.tdhca.state.tx.us/fair-housing/index.htm" TargetMode="External"/><Relationship Id="rId265" Type="http://schemas.openxmlformats.org/officeDocument/2006/relationships/diagramLayout" Target="diagrams/layout8.xml"/><Relationship Id="rId50" Type="http://schemas.openxmlformats.org/officeDocument/2006/relationships/hyperlink" Target="https://www.ecfr.gov/cgi-bin/retrieveECFR?gp=&amp;SID=bd30a1976e649e5a50a91925ee3abfe8&amp;mc=true&amp;n=pt24.1.35&amp;r=PART&amp;ty=HTML" TargetMode="External"/><Relationship Id="rId104" Type="http://schemas.openxmlformats.org/officeDocument/2006/relationships/hyperlink" Target="mailto:hivstdreport.tech@dshs.state.tx.us" TargetMode="External"/><Relationship Id="rId125" Type="http://schemas.openxmlformats.org/officeDocument/2006/relationships/hyperlink" Target="http://www.dshs.state.tx.us/hivstd/default.shtm" TargetMode="External"/><Relationship Id="rId146" Type="http://schemas.openxmlformats.org/officeDocument/2006/relationships/hyperlink" Target="https://www.hud.gov/program_offices/administration/hudclips/handbooks/cpd/6509.2" TargetMode="External"/><Relationship Id="rId167" Type="http://schemas.openxmlformats.org/officeDocument/2006/relationships/hyperlink" Target="https://www.epa.gov/lead/renovate-right-important-lead-hazard-information-families-child-care-providers-and-schools" TargetMode="External"/><Relationship Id="rId188" Type="http://schemas.openxmlformats.org/officeDocument/2006/relationships/hyperlink" Target="https://www.ecfr.gov/cgi-bin/retrieveECFR?gp=&amp;SID=bd30a1976e649e5a50a91925ee3abfe8&amp;mc=true&amp;n=pt24.1.35&amp;r=PART&amp;ty=HTML" TargetMode="External"/><Relationship Id="rId71" Type="http://schemas.openxmlformats.org/officeDocument/2006/relationships/hyperlink" Target="http://portal.hud.gov/hudportal/HUD?src=/program_offices/housing/mfh/grants/section811ptl" TargetMode="External"/><Relationship Id="rId92" Type="http://schemas.openxmlformats.org/officeDocument/2006/relationships/diagramQuickStyle" Target="diagrams/quickStyle3.xml"/><Relationship Id="rId213" Type="http://schemas.openxmlformats.org/officeDocument/2006/relationships/hyperlink" Target="https://www.ecfr.gov/cgi-bin/retrieveECFR?gp=&amp;SID=bd30a1976e649e5a50a91925ee3abfe8&amp;mc=true&amp;n=pt24.1.35&amp;r=PART&amp;ty=HTML" TargetMode="External"/><Relationship Id="rId234" Type="http://schemas.openxmlformats.org/officeDocument/2006/relationships/hyperlink" Target="https://www.ecfr.gov/cgi-bin/retrieveECFR?gp=&amp;SID=bd30a1976e649e5a50a91925ee3abfe8&amp;mc=true&amp;n=pt24.1.35&amp;r=PART&amp;ty=HTML" TargetMode="External"/><Relationship Id="rId2" Type="http://schemas.openxmlformats.org/officeDocument/2006/relationships/numbering" Target="numbering.xml"/><Relationship Id="rId29" Type="http://schemas.openxmlformats.org/officeDocument/2006/relationships/hyperlink" Target="https://www.dshs.texas.gov/hivstd/policy/policies/241-005.shtm" TargetMode="External"/><Relationship Id="rId255" Type="http://schemas.openxmlformats.org/officeDocument/2006/relationships/diagramLayout" Target="diagrams/layout6.xml"/><Relationship Id="rId40" Type="http://schemas.openxmlformats.org/officeDocument/2006/relationships/hyperlink" Target="https://www.ecfr.gov/current/title-24/subtitle-A/part-5/subpart-L/section-5.2003" TargetMode="External"/><Relationship Id="rId115" Type="http://schemas.openxmlformats.org/officeDocument/2006/relationships/hyperlink" Target="https://www.hhs.texas.gov/sites/default/files/documents/laws-regulations/handbooks/contract-manual.pdf" TargetMode="External"/><Relationship Id="rId136" Type="http://schemas.openxmlformats.org/officeDocument/2006/relationships/hyperlink" Target="https://www.hudexchange.info/resource/4843/hopwa-short-term-rent-mortgage-and-utility-assistance/" TargetMode="External"/><Relationship Id="rId157" Type="http://schemas.openxmlformats.org/officeDocument/2006/relationships/hyperlink" Target="https://www.hudexchange.info/trainings/courses/lshr-amendment-training-for-conventional-public-housing-and-pba-programs-webinar/3023/" TargetMode="External"/><Relationship Id="rId178" Type="http://schemas.openxmlformats.org/officeDocument/2006/relationships/hyperlink" Target="https://www.ecfr.gov/cgi-bin/retrieveECFR?gp=&amp;SID=bd30a1976e649e5a50a91925ee3abfe8&amp;mc=true&amp;n=pt24.1.35&amp;r=PART&amp;ty=HTML" TargetMode="External"/><Relationship Id="rId61" Type="http://schemas.openxmlformats.org/officeDocument/2006/relationships/hyperlink" Target="https://www.congress.gov/bill/116th-congress/house-bill/1690/text" TargetMode="External"/><Relationship Id="rId82" Type="http://schemas.openxmlformats.org/officeDocument/2006/relationships/diagramLayout" Target="diagrams/layout2.xml"/><Relationship Id="rId199" Type="http://schemas.openxmlformats.org/officeDocument/2006/relationships/hyperlink" Target="https://www.ecfr.gov/cgi-bin/retrieveECFR?gp=&amp;SID=bd30a1976e649e5a50a91925ee3abfe8&amp;mc=true&amp;n=pt24.1.35&amp;r=PART&amp;ty=HTML" TargetMode="External"/><Relationship Id="rId203" Type="http://schemas.openxmlformats.org/officeDocument/2006/relationships/hyperlink" Target="https://www.ecfr.gov/cgi-bin/retrieveECFR?gp=&amp;SID=bd30a1976e649e5a50a91925ee3abfe8&amp;mc=true&amp;n=pt24.1.35&amp;r=PART&amp;ty=HTML" TargetMode="External"/><Relationship Id="rId19" Type="http://schemas.openxmlformats.org/officeDocument/2006/relationships/hyperlink" Target="https://www.ecfr.gov/current/title-24/subtitle-A/part-5/subpart-A/subject-group-ECFRb064b8192adda7c/section-5.151" TargetMode="External"/><Relationship Id="rId224" Type="http://schemas.openxmlformats.org/officeDocument/2006/relationships/hyperlink" Target="https://www.ecfr.gov/cgi-bin/retrieveECFR?gp=&amp;SID=bd30a1976e649e5a50a91925ee3abfe8&amp;mc=true&amp;n=pt24.1.35&amp;r=PART&amp;ty=HTML" TargetMode="External"/><Relationship Id="rId245" Type="http://schemas.openxmlformats.org/officeDocument/2006/relationships/diagramLayout" Target="diagrams/layout4.xml"/><Relationship Id="rId266" Type="http://schemas.openxmlformats.org/officeDocument/2006/relationships/diagramQuickStyle" Target="diagrams/quickStyle8.xml"/><Relationship Id="rId30" Type="http://schemas.openxmlformats.org/officeDocument/2006/relationships/hyperlink" Target="https://www.hudexchange.info/resource/3296/hopwa-confidentiality-user-guide/" TargetMode="External"/><Relationship Id="rId105" Type="http://schemas.openxmlformats.org/officeDocument/2006/relationships/hyperlink" Target="https://www.hudexchange.info/resource/2818/hopwa-rental-assistance-guidebook/" TargetMode="External"/><Relationship Id="rId126" Type="http://schemas.openxmlformats.org/officeDocument/2006/relationships/hyperlink" Target="https://www.hudexchange.info/trainings/financial-management-curriculum/" TargetMode="External"/><Relationship Id="rId147" Type="http://schemas.openxmlformats.org/officeDocument/2006/relationships/hyperlink" Target="https://www.hudexchange.info/resource/5065/hud-integrity-bulletins/" TargetMode="External"/><Relationship Id="rId168" Type="http://schemas.openxmlformats.org/officeDocument/2006/relationships/hyperlink" Target="https://www.ecfr.gov/cgi-bin/retrieveECFR?gp=&amp;SID=bd30a1976e649e5a50a91925ee3abfe8&amp;mc=true&amp;n=pt24.1.35&amp;r=PART&amp;ty=HTML" TargetMode="External"/><Relationship Id="rId51" Type="http://schemas.openxmlformats.org/officeDocument/2006/relationships/hyperlink" Target="https://www.ecfr.gov/cgi-bin/retrieveECFR?gp=&amp;SID=bd30a1976e649e5a50a91925ee3abfe8&amp;mc=true&amp;n=pt24.1.35&amp;r=PART&amp;ty=HTML" TargetMode="External"/><Relationship Id="rId72" Type="http://schemas.openxmlformats.org/officeDocument/2006/relationships/hyperlink" Target="http://portal.hud.gov/hudportal/HUD?src=/program_offices/housing/mfh/progdesc/eld202" TargetMode="External"/><Relationship Id="rId93" Type="http://schemas.openxmlformats.org/officeDocument/2006/relationships/diagramColors" Target="diagrams/colors3.xml"/><Relationship Id="rId189" Type="http://schemas.openxmlformats.org/officeDocument/2006/relationships/hyperlink" Target="https://www.ecfr.gov/cgi-bin/retrieveECFR?gp=&amp;SID=bd30a1976e649e5a50a91925ee3abfe8&amp;mc=true&amp;n=pt24.1.35&amp;r=PART&amp;ty=HTML" TargetMode="External"/><Relationship Id="rId3" Type="http://schemas.openxmlformats.org/officeDocument/2006/relationships/styles" Target="styles.xml"/><Relationship Id="rId214" Type="http://schemas.openxmlformats.org/officeDocument/2006/relationships/hyperlink" Target="https://www.ecfr.gov/cgi-bin/retrieveECFR?gp=&amp;SID=bd30a1976e649e5a50a91925ee3abfe8&amp;mc=true&amp;n=pt24.1.35&amp;r=PART&amp;ty=HTML" TargetMode="External"/><Relationship Id="rId235" Type="http://schemas.openxmlformats.org/officeDocument/2006/relationships/image" Target="media/image2.jpeg"/><Relationship Id="rId256" Type="http://schemas.openxmlformats.org/officeDocument/2006/relationships/diagramQuickStyle" Target="diagrams/quickStyle6.xml"/><Relationship Id="rId116" Type="http://schemas.openxmlformats.org/officeDocument/2006/relationships/hyperlink" Target="https://www.dshs.texas.gov/hivstd/policy/policies/090-010.shtm" TargetMode="External"/><Relationship Id="rId137" Type="http://schemas.openxmlformats.org/officeDocument/2006/relationships/hyperlink" Target="https://www.hudexchange.info/resource/1040/hopwa-best-practices-training-series/" TargetMode="External"/><Relationship Id="rId158" Type="http://schemas.openxmlformats.org/officeDocument/2006/relationships/hyperlink" Target="https://www.hudexchange.info/trainings/courses/lead-safe-housing-rule-webinar-series-subparts-j-and-k/3921/" TargetMode="External"/><Relationship Id="rId20" Type="http://schemas.openxmlformats.org/officeDocument/2006/relationships/hyperlink" Target="https://www.ecfr.gov/current/title-24/subtitle-A/part-5/subpart-A/subject-group-ECFRb064b8192adda7c/section-5.152" TargetMode="External"/><Relationship Id="rId41" Type="http://schemas.openxmlformats.org/officeDocument/2006/relationships/hyperlink" Target="https://www.ecfr.gov/current/title-24/subtitle-A/part-5/subpart-L/section-5.2003" TargetMode="External"/><Relationship Id="rId62" Type="http://schemas.openxmlformats.org/officeDocument/2006/relationships/hyperlink" Target="https://codes.iccsafe.org/content/IFC2018P6/chapter-9-fire-protection-and-life-safety-systems" TargetMode="External"/><Relationship Id="rId83" Type="http://schemas.openxmlformats.org/officeDocument/2006/relationships/diagramQuickStyle" Target="diagrams/quickStyle2.xml"/><Relationship Id="rId179" Type="http://schemas.openxmlformats.org/officeDocument/2006/relationships/hyperlink" Target="https://www.ecfr.gov/cgi-bin/retrieveECFR?gp=&amp;SID=bd30a1976e649e5a50a91925ee3abfe8&amp;mc=true&amp;n=pt24.1.35&amp;r=PART&amp;ty=HTML" TargetMode="External"/><Relationship Id="rId190" Type="http://schemas.openxmlformats.org/officeDocument/2006/relationships/hyperlink" Target="https://www.ecfr.gov/cgi-bin/retrieveECFR?gp=&amp;SID=bd30a1976e649e5a50a91925ee3abfe8&amp;mc=true&amp;n=pt24.1.35&amp;r=PART&amp;ty=HTML" TargetMode="External"/><Relationship Id="rId204" Type="http://schemas.openxmlformats.org/officeDocument/2006/relationships/hyperlink" Target="https://www.ecfr.gov/cgi-bin/retrieveECFR?gp=&amp;SID=bd30a1976e649e5a50a91925ee3abfe8&amp;mc=true&amp;n=pt24.1.35&amp;r=PART&amp;ty=HTML" TargetMode="External"/><Relationship Id="rId225" Type="http://schemas.openxmlformats.org/officeDocument/2006/relationships/hyperlink" Target="https://www.ecfr.gov/cgi-bin/retrieveECFR?gp=&amp;SID=bd30a1976e649e5a50a91925ee3abfe8&amp;mc=true&amp;n=pt24.1.35&amp;r=PART&amp;ty=HTML" TargetMode="External"/><Relationship Id="rId246" Type="http://schemas.openxmlformats.org/officeDocument/2006/relationships/diagramQuickStyle" Target="diagrams/quickStyle4.xml"/><Relationship Id="rId267" Type="http://schemas.openxmlformats.org/officeDocument/2006/relationships/diagramColors" Target="diagrams/colors8.xml"/><Relationship Id="rId106" Type="http://schemas.openxmlformats.org/officeDocument/2006/relationships/hyperlink" Target="https://www.dshs.state.tx.us/hivstd/taxonomy/default.shtm" TargetMode="External"/><Relationship Id="rId127" Type="http://schemas.openxmlformats.org/officeDocument/2006/relationships/hyperlink" Target="https://www.hudexchange.info/training-events/hopwa-oversight-training/" TargetMode="External"/><Relationship Id="rId10" Type="http://schemas.openxmlformats.org/officeDocument/2006/relationships/footer" Target="footer2.xml"/><Relationship Id="rId31" Type="http://schemas.openxmlformats.org/officeDocument/2006/relationships/hyperlink" Target="https://www.dshs.texas.gov/hivstd/policy/security.shtm" TargetMode="External"/><Relationship Id="rId52" Type="http://schemas.openxmlformats.org/officeDocument/2006/relationships/hyperlink" Target="https://www.ecfr.gov/cgi-bin/retrieveECFR?gp=&amp;SID=bd30a1976e649e5a50a91925ee3abfe8&amp;mc=true&amp;n=pt24.1.35&amp;r=PART&amp;ty=HTML" TargetMode="External"/><Relationship Id="rId73" Type="http://schemas.openxmlformats.org/officeDocument/2006/relationships/hyperlink" Target="http://lihtc.huduser.gov/agency_list.htm" TargetMode="External"/><Relationship Id="rId94" Type="http://schemas.microsoft.com/office/2007/relationships/diagramDrawing" Target="diagrams/drawing3.xml"/><Relationship Id="rId148" Type="http://schemas.openxmlformats.org/officeDocument/2006/relationships/hyperlink" Target="https://www.hudexchange.info/programs/lead-based-paint/lshr-toolkit/introduction/?utm_source=HUD+Exchange+Mailing+List&amp;utm_campaign=efb1c21d86-New_Lead_Safe_Housing_Rule_Toolkit&amp;utm_medium=email&amp;utm_term=0_f32b935a5f-efb1c21d86-19342361" TargetMode="External"/><Relationship Id="rId169" Type="http://schemas.openxmlformats.org/officeDocument/2006/relationships/hyperlink" Target="https://www.ecfr.gov/cgi-bin/retrieveECFR?gp=&amp;SID=bd30a1976e649e5a50a91925ee3abfe8&amp;mc=true&amp;n=pt24.1.35&amp;r=PART&amp;ty=HTML" TargetMode="External"/><Relationship Id="rId4" Type="http://schemas.openxmlformats.org/officeDocument/2006/relationships/settings" Target="settings.xml"/><Relationship Id="rId180" Type="http://schemas.openxmlformats.org/officeDocument/2006/relationships/hyperlink" Target="https://www.hud.gov/states/texas/offices" TargetMode="External"/><Relationship Id="rId215" Type="http://schemas.openxmlformats.org/officeDocument/2006/relationships/hyperlink" Target="http://www2.epa.gov/lead/protect-your-family-lead-your-home-real-estate-disclosure" TargetMode="External"/><Relationship Id="rId236" Type="http://schemas.openxmlformats.org/officeDocument/2006/relationships/hyperlink" Target="https://comptroller.texas.gov/purchasing/grant-management/" TargetMode="External"/><Relationship Id="rId257" Type="http://schemas.openxmlformats.org/officeDocument/2006/relationships/diagramColors" Target="diagrams/colors6.xml"/><Relationship Id="rId42" Type="http://schemas.openxmlformats.org/officeDocument/2006/relationships/hyperlink" Target="https://www.ecfr.gov/current/title-24/subtitle-A/part-5/subpart-L/section-5.2003" TargetMode="External"/><Relationship Id="rId84" Type="http://schemas.openxmlformats.org/officeDocument/2006/relationships/diagramColors" Target="diagrams/colors2.xml"/><Relationship Id="rId138" Type="http://schemas.openxmlformats.org/officeDocument/2006/relationships/hyperlink" Target="https://www.hudexchange.info/trainings/courses/hud-hopwa-financial-management-online-training/" TargetMode="External"/><Relationship Id="rId191" Type="http://schemas.openxmlformats.org/officeDocument/2006/relationships/hyperlink" Target="https://www.ecfr.gov/cgi-bin/retrieveECFR?gp=&amp;SID=bd30a1976e649e5a50a91925ee3abfe8&amp;mc=true&amp;n=pt24.1.35&amp;r=PART&amp;ty=HTML" TargetMode="External"/><Relationship Id="rId205" Type="http://schemas.openxmlformats.org/officeDocument/2006/relationships/hyperlink" Target="https://www.ecfr.gov/cgi-bin/retrieveECFR?gp=&amp;SID=bd30a1976e649e5a50a91925ee3abfe8&amp;mc=true&amp;n=pt24.1.35&amp;r=PART&amp;ty=HTML" TargetMode="External"/><Relationship Id="rId247" Type="http://schemas.openxmlformats.org/officeDocument/2006/relationships/diagramColors" Target="diagrams/colors4.xml"/><Relationship Id="rId107" Type="http://schemas.openxmlformats.org/officeDocument/2006/relationships/hyperlink" Target="https://www.hudexchange.info/resource/1844/absence-from-unit-policy-hopwa-program-draft-sample/"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E8F498-0D0B-442A-A951-4D7C1624012A}" type="doc">
      <dgm:prSet loTypeId="urn:microsoft.com/office/officeart/2005/8/layout/chevron2" loCatId="process" qsTypeId="urn:microsoft.com/office/officeart/2005/8/quickstyle/simple1" qsCatId="simple" csTypeId="urn:microsoft.com/office/officeart/2005/8/colors/colorful2" csCatId="colorful" phldr="1"/>
      <dgm:spPr/>
      <dgm:t>
        <a:bodyPr/>
        <a:lstStyle/>
        <a:p>
          <a:endParaRPr lang="en-US"/>
        </a:p>
      </dgm:t>
    </dgm:pt>
    <dgm:pt modelId="{F5DEE33B-A2EF-458E-A453-179421EC1E12}">
      <dgm:prSet phldrT="[Text]" custT="1"/>
      <dgm:spPr/>
      <dgm:t>
        <a:bodyPr vert="horz"/>
        <a:lstStyle/>
        <a:p>
          <a:r>
            <a:rPr lang="en-US" sz="1000" dirty="0"/>
            <a:t>Criteria</a:t>
          </a:r>
        </a:p>
      </dgm:t>
    </dgm:pt>
    <dgm:pt modelId="{44DEB1EF-1F28-4BBB-A8BA-B03BA5F8510E}" type="parTrans" cxnId="{3C87EA74-C5F3-4489-83DA-BF27F5BEC91E}">
      <dgm:prSet/>
      <dgm:spPr/>
      <dgm:t>
        <a:bodyPr/>
        <a:lstStyle/>
        <a:p>
          <a:endParaRPr lang="en-US"/>
        </a:p>
      </dgm:t>
    </dgm:pt>
    <dgm:pt modelId="{B0587EFA-B7A1-4DF1-9484-5A52640DC79A}" type="sibTrans" cxnId="{3C87EA74-C5F3-4489-83DA-BF27F5BEC91E}">
      <dgm:prSet/>
      <dgm:spPr/>
      <dgm:t>
        <a:bodyPr/>
        <a:lstStyle/>
        <a:p>
          <a:endParaRPr lang="en-US"/>
        </a:p>
      </dgm:t>
    </dgm:pt>
    <dgm:pt modelId="{5891282D-7DAF-4409-BF48-8C118269BADE}">
      <dgm:prSet phldrT="[Text]" custT="1"/>
      <dgm:spPr/>
      <dgm:t>
        <a:bodyPr vert="horz"/>
        <a:lstStyle/>
        <a:p>
          <a:r>
            <a:rPr lang="en-US" sz="1000" dirty="0"/>
            <a:t>Proof</a:t>
          </a:r>
        </a:p>
      </dgm:t>
    </dgm:pt>
    <dgm:pt modelId="{2E1A4C1D-43EE-4F30-BB36-23682FABE7FC}" type="parTrans" cxnId="{90360BC9-A12C-4048-B9D2-5D79D33312D1}">
      <dgm:prSet/>
      <dgm:spPr/>
      <dgm:t>
        <a:bodyPr/>
        <a:lstStyle/>
        <a:p>
          <a:endParaRPr lang="en-US"/>
        </a:p>
      </dgm:t>
    </dgm:pt>
    <dgm:pt modelId="{B60D4621-8183-4609-8CC2-AFC40217245B}" type="sibTrans" cxnId="{90360BC9-A12C-4048-B9D2-5D79D33312D1}">
      <dgm:prSet/>
      <dgm:spPr/>
      <dgm:t>
        <a:bodyPr/>
        <a:lstStyle/>
        <a:p>
          <a:endParaRPr lang="en-US"/>
        </a:p>
      </dgm:t>
    </dgm:pt>
    <dgm:pt modelId="{065FC56E-E60C-4562-BD57-4845AA86728B}">
      <dgm:prSet phldrT="[Text]" custT="1"/>
      <dgm:spPr/>
      <dgm:t>
        <a:bodyPr/>
        <a:lstStyle/>
        <a:p>
          <a:pPr>
            <a:lnSpc>
              <a:spcPct val="80000"/>
            </a:lnSpc>
          </a:pPr>
          <a:r>
            <a:rPr lang="en-US" sz="800" dirty="0"/>
            <a:t>Proof of HIV </a:t>
          </a:r>
          <a:r>
            <a:rPr lang="en-US" sz="800" dirty="0" err="1"/>
            <a:t>seropositivity</a:t>
          </a:r>
          <a:r>
            <a:rPr lang="en-US" sz="800" dirty="0"/>
            <a:t> for at least one household member</a:t>
          </a:r>
        </a:p>
      </dgm:t>
    </dgm:pt>
    <dgm:pt modelId="{50B66177-FFEC-4BD8-96D2-FB41CA3AA2E5}" type="parTrans" cxnId="{CEE3BA24-C96C-4BDD-B6FE-E0F3AC5083F8}">
      <dgm:prSet/>
      <dgm:spPr/>
      <dgm:t>
        <a:bodyPr/>
        <a:lstStyle/>
        <a:p>
          <a:endParaRPr lang="en-US"/>
        </a:p>
      </dgm:t>
    </dgm:pt>
    <dgm:pt modelId="{D78198F9-A3CE-4A29-8D7D-C697D817A854}" type="sibTrans" cxnId="{CEE3BA24-C96C-4BDD-B6FE-E0F3AC5083F8}">
      <dgm:prSet/>
      <dgm:spPr/>
      <dgm:t>
        <a:bodyPr/>
        <a:lstStyle/>
        <a:p>
          <a:endParaRPr lang="en-US"/>
        </a:p>
      </dgm:t>
    </dgm:pt>
    <dgm:pt modelId="{C8CFA525-8A1C-477D-A561-52F21DD1C3C3}">
      <dgm:prSet phldrT="[Text]" custT="1"/>
      <dgm:spPr/>
      <dgm:t>
        <a:bodyPr/>
        <a:lstStyle/>
        <a:p>
          <a:pPr>
            <a:lnSpc>
              <a:spcPct val="80000"/>
            </a:lnSpc>
          </a:pPr>
          <a:r>
            <a:rPr lang="en-US" sz="800" dirty="0"/>
            <a:t>Proof of income for all household members aged 18 years old or older</a:t>
          </a:r>
        </a:p>
      </dgm:t>
    </dgm:pt>
    <dgm:pt modelId="{56B34CAB-019C-4F31-AA48-E551C5A092AB}" type="parTrans" cxnId="{3EBB0565-C381-4B9E-BBC2-2A1FD2554C1D}">
      <dgm:prSet/>
      <dgm:spPr/>
      <dgm:t>
        <a:bodyPr/>
        <a:lstStyle/>
        <a:p>
          <a:endParaRPr lang="en-US"/>
        </a:p>
      </dgm:t>
    </dgm:pt>
    <dgm:pt modelId="{F3093846-35D2-4232-A8C3-81A851EBC8F9}" type="sibTrans" cxnId="{3EBB0565-C381-4B9E-BBC2-2A1FD2554C1D}">
      <dgm:prSet/>
      <dgm:spPr/>
      <dgm:t>
        <a:bodyPr/>
        <a:lstStyle/>
        <a:p>
          <a:endParaRPr lang="en-US"/>
        </a:p>
      </dgm:t>
    </dgm:pt>
    <dgm:pt modelId="{AB05265A-FB28-4CAC-9939-BF7749A0FFCC}">
      <dgm:prSet phldrT="[Text]" custT="1"/>
      <dgm:spPr/>
      <dgm:t>
        <a:bodyPr/>
        <a:lstStyle/>
        <a:p>
          <a:pPr>
            <a:lnSpc>
              <a:spcPct val="80000"/>
            </a:lnSpc>
          </a:pPr>
          <a:r>
            <a:rPr lang="en-US" sz="800" dirty="0"/>
            <a:t>At least one household member must live with HIV.</a:t>
          </a:r>
        </a:p>
      </dgm:t>
    </dgm:pt>
    <dgm:pt modelId="{C4065894-1FCA-4AD9-86CC-762923A8A42E}" type="parTrans" cxnId="{AFBD49A8-8191-423B-B739-490C2989B69A}">
      <dgm:prSet/>
      <dgm:spPr/>
      <dgm:t>
        <a:bodyPr/>
        <a:lstStyle/>
        <a:p>
          <a:endParaRPr lang="en-US"/>
        </a:p>
      </dgm:t>
    </dgm:pt>
    <dgm:pt modelId="{F21B098B-D11D-4DD7-A988-CF9297EEAA6C}" type="sibTrans" cxnId="{AFBD49A8-8191-423B-B739-490C2989B69A}">
      <dgm:prSet/>
      <dgm:spPr/>
      <dgm:t>
        <a:bodyPr/>
        <a:lstStyle/>
        <a:p>
          <a:endParaRPr lang="en-US"/>
        </a:p>
      </dgm:t>
    </dgm:pt>
    <dgm:pt modelId="{32EB4973-9095-43A8-9884-46F6D33912E9}">
      <dgm:prSet phldrT="[Text]" custT="1"/>
      <dgm:spPr/>
      <dgm:t>
        <a:bodyPr/>
        <a:lstStyle/>
        <a:p>
          <a:pPr>
            <a:lnSpc>
              <a:spcPct val="80000"/>
            </a:lnSpc>
          </a:pPr>
          <a:r>
            <a:rPr lang="en-US" sz="800" dirty="0"/>
            <a:t>Proof of current residency for all household members aged 18 years old or older</a:t>
          </a:r>
        </a:p>
      </dgm:t>
    </dgm:pt>
    <dgm:pt modelId="{AE546AA3-1338-430A-89FD-E1CCA0AAC85D}" type="parTrans" cxnId="{694393BC-D019-4323-B53F-946C86343DE1}">
      <dgm:prSet/>
      <dgm:spPr/>
      <dgm:t>
        <a:bodyPr/>
        <a:lstStyle/>
        <a:p>
          <a:endParaRPr lang="en-US"/>
        </a:p>
      </dgm:t>
    </dgm:pt>
    <dgm:pt modelId="{DF8D0B6E-16F9-4B7F-9847-C50137D06982}" type="sibTrans" cxnId="{694393BC-D019-4323-B53F-946C86343DE1}">
      <dgm:prSet/>
      <dgm:spPr/>
      <dgm:t>
        <a:bodyPr/>
        <a:lstStyle/>
        <a:p>
          <a:endParaRPr lang="en-US"/>
        </a:p>
      </dgm:t>
    </dgm:pt>
    <dgm:pt modelId="{67F0ACD0-7219-4FCA-8785-3545EB92B122}">
      <dgm:prSet phldrT="[Text]" custT="1"/>
      <dgm:spPr/>
      <dgm:t>
        <a:bodyPr/>
        <a:lstStyle/>
        <a:p>
          <a:pPr>
            <a:lnSpc>
              <a:spcPct val="80000"/>
            </a:lnSpc>
          </a:pPr>
          <a:r>
            <a:rPr lang="en-US" sz="800" dirty="0"/>
            <a:t>The household must reside in the Project Sponsor's HSDA.</a:t>
          </a:r>
        </a:p>
      </dgm:t>
    </dgm:pt>
    <dgm:pt modelId="{08644E35-80B0-4E67-81F3-513F22095EB7}" type="sibTrans" cxnId="{29DA2B83-A1F1-4ED9-B716-6CE600BE773D}">
      <dgm:prSet/>
      <dgm:spPr/>
      <dgm:t>
        <a:bodyPr/>
        <a:lstStyle/>
        <a:p>
          <a:endParaRPr lang="en-US"/>
        </a:p>
      </dgm:t>
    </dgm:pt>
    <dgm:pt modelId="{C0B66944-DAE8-4552-8EB8-A75A243E8311}" type="parTrans" cxnId="{29DA2B83-A1F1-4ED9-B716-6CE600BE773D}">
      <dgm:prSet/>
      <dgm:spPr/>
      <dgm:t>
        <a:bodyPr/>
        <a:lstStyle/>
        <a:p>
          <a:endParaRPr lang="en-US"/>
        </a:p>
      </dgm:t>
    </dgm:pt>
    <dgm:pt modelId="{14450F2F-2ACC-4990-A99D-243F2875D3D1}">
      <dgm:prSet phldrT="[Text]" custT="1"/>
      <dgm:spPr/>
      <dgm:t>
        <a:bodyPr/>
        <a:lstStyle/>
        <a:p>
          <a:pPr>
            <a:lnSpc>
              <a:spcPct val="80000"/>
            </a:lnSpc>
          </a:pPr>
          <a:r>
            <a:rPr lang="en-US" sz="800" dirty="0"/>
            <a:t>Household annual income cannot exceed 80 percent of area median income per the household's county of residence.</a:t>
          </a:r>
        </a:p>
      </dgm:t>
    </dgm:pt>
    <dgm:pt modelId="{F8A55DE1-3E81-49DC-B8FB-7D92CCEA7787}" type="sibTrans" cxnId="{68FA8530-EAD2-4E12-B6A0-3E398BF5763E}">
      <dgm:prSet/>
      <dgm:spPr/>
      <dgm:t>
        <a:bodyPr/>
        <a:lstStyle/>
        <a:p>
          <a:endParaRPr lang="en-US"/>
        </a:p>
      </dgm:t>
    </dgm:pt>
    <dgm:pt modelId="{065CEAD0-EC17-45D2-A7FD-E57382C8D852}" type="parTrans" cxnId="{68FA8530-EAD2-4E12-B6A0-3E398BF5763E}">
      <dgm:prSet/>
      <dgm:spPr/>
      <dgm:t>
        <a:bodyPr/>
        <a:lstStyle/>
        <a:p>
          <a:endParaRPr lang="en-US"/>
        </a:p>
      </dgm:t>
    </dgm:pt>
    <dgm:pt modelId="{C4129FED-DBD0-4562-BE09-4630A0142BB7}">
      <dgm:prSet phldrT="[Text]" custT="1"/>
      <dgm:spPr/>
      <dgm:t>
        <a:bodyPr vert="horz"/>
        <a:lstStyle/>
        <a:p>
          <a:r>
            <a:rPr lang="en-US" sz="1000" dirty="0"/>
            <a:t>Documentation</a:t>
          </a:r>
        </a:p>
      </dgm:t>
    </dgm:pt>
    <dgm:pt modelId="{CB9EC7C7-8834-4C9A-A902-28103D5B4AA6}" type="parTrans" cxnId="{F0F82350-2486-45FC-BEA8-F7815D01727B}">
      <dgm:prSet/>
      <dgm:spPr/>
      <dgm:t>
        <a:bodyPr/>
        <a:lstStyle/>
        <a:p>
          <a:endParaRPr lang="en-US"/>
        </a:p>
      </dgm:t>
    </dgm:pt>
    <dgm:pt modelId="{AF2A2045-ACA8-4DD4-AD4C-C44279323790}" type="sibTrans" cxnId="{F0F82350-2486-45FC-BEA8-F7815D01727B}">
      <dgm:prSet/>
      <dgm:spPr/>
      <dgm:t>
        <a:bodyPr/>
        <a:lstStyle/>
        <a:p>
          <a:endParaRPr lang="en-US"/>
        </a:p>
      </dgm:t>
    </dgm:pt>
    <dgm:pt modelId="{BE4879B7-D3B2-407C-96E6-131FF3D88B48}">
      <dgm:prSet phldrT="[Text]" custT="1"/>
      <dgm:spPr/>
      <dgm:t>
        <a:bodyPr/>
        <a:lstStyle/>
        <a:p>
          <a:pPr>
            <a:lnSpc>
              <a:spcPct val="80000"/>
            </a:lnSpc>
          </a:pPr>
          <a:r>
            <a:rPr lang="en-US" sz="800" dirty="0"/>
            <a:t>Proof of HIV: Documentation must predate the initial eligibility certification date.</a:t>
          </a:r>
        </a:p>
      </dgm:t>
    </dgm:pt>
    <dgm:pt modelId="{737EE04E-2D3B-4E1E-9FF1-634C5F7E0A5C}" type="parTrans" cxnId="{ADCDCC42-5A8F-4C5C-A35B-7DCDF99B19C4}">
      <dgm:prSet/>
      <dgm:spPr/>
      <dgm:t>
        <a:bodyPr/>
        <a:lstStyle/>
        <a:p>
          <a:endParaRPr lang="en-US"/>
        </a:p>
      </dgm:t>
    </dgm:pt>
    <dgm:pt modelId="{BA1F3E39-03EB-4235-BE90-8CFC4951539A}" type="sibTrans" cxnId="{ADCDCC42-5A8F-4C5C-A35B-7DCDF99B19C4}">
      <dgm:prSet/>
      <dgm:spPr/>
      <dgm:t>
        <a:bodyPr/>
        <a:lstStyle/>
        <a:p>
          <a:endParaRPr lang="en-US"/>
        </a:p>
      </dgm:t>
    </dgm:pt>
    <dgm:pt modelId="{22DC20C8-53B9-4609-BAD0-9F8954D69241}">
      <dgm:prSet phldrT="[Text]" custT="1"/>
      <dgm:spPr/>
      <dgm:t>
        <a:bodyPr/>
        <a:lstStyle/>
        <a:p>
          <a:pPr>
            <a:lnSpc>
              <a:spcPct val="80000"/>
            </a:lnSpc>
          </a:pPr>
          <a:r>
            <a:rPr lang="en-US" sz="800" dirty="0"/>
            <a:t>Proof of Income: The DSHS HOPWA Determining Household Annual Income Guide outlines acceptable forms of documentation, whose income counts, and income inclusions and exclusions. This documentation must be complete and cover the 30 days immediately preceding the eligibility certification or recertification date.</a:t>
          </a:r>
        </a:p>
      </dgm:t>
    </dgm:pt>
    <dgm:pt modelId="{D83F3B59-8E70-4F7A-A4B6-F9D02C1C0EF7}" type="parTrans" cxnId="{9DC9ED65-B1E4-4132-BA19-9A392482621F}">
      <dgm:prSet/>
      <dgm:spPr/>
      <dgm:t>
        <a:bodyPr/>
        <a:lstStyle/>
        <a:p>
          <a:endParaRPr lang="en-US"/>
        </a:p>
      </dgm:t>
    </dgm:pt>
    <dgm:pt modelId="{042632F4-B134-4B20-AF57-E0CF0BA3D543}" type="sibTrans" cxnId="{9DC9ED65-B1E4-4132-BA19-9A392482621F}">
      <dgm:prSet/>
      <dgm:spPr/>
      <dgm:t>
        <a:bodyPr/>
        <a:lstStyle/>
        <a:p>
          <a:endParaRPr lang="en-US"/>
        </a:p>
      </dgm:t>
    </dgm:pt>
    <dgm:pt modelId="{14758315-8C96-440E-B45A-CF0CEFA0AD80}">
      <dgm:prSet phldrT="[Text]" custT="1"/>
      <dgm:spPr/>
      <dgm:t>
        <a:bodyPr/>
        <a:lstStyle/>
        <a:p>
          <a:pPr>
            <a:lnSpc>
              <a:spcPct val="80000"/>
            </a:lnSpc>
          </a:pPr>
          <a:r>
            <a:rPr lang="en-US" sz="800" dirty="0"/>
            <a:t>Proof of Residency: The household must reside in the Project Sponsor’s HSDA. This documentation must be current as of the eligibility certification or recertification date.</a:t>
          </a:r>
        </a:p>
      </dgm:t>
    </dgm:pt>
    <dgm:pt modelId="{29817B22-D213-4F7D-AA1C-8934426CB6F9}" type="parTrans" cxnId="{F20E1336-3A36-42D4-8814-AEDD8ACF72F1}">
      <dgm:prSet/>
      <dgm:spPr/>
      <dgm:t>
        <a:bodyPr/>
        <a:lstStyle/>
        <a:p>
          <a:endParaRPr lang="en-US"/>
        </a:p>
      </dgm:t>
    </dgm:pt>
    <dgm:pt modelId="{40D24E9C-DD5B-424A-9673-2F3167BB2607}" type="sibTrans" cxnId="{F20E1336-3A36-42D4-8814-AEDD8ACF72F1}">
      <dgm:prSet/>
      <dgm:spPr/>
      <dgm:t>
        <a:bodyPr/>
        <a:lstStyle/>
        <a:p>
          <a:endParaRPr lang="en-US"/>
        </a:p>
      </dgm:t>
    </dgm:pt>
    <dgm:pt modelId="{705CD005-1A40-4CC6-9864-4F2BA4CBB94B}" type="pres">
      <dgm:prSet presAssocID="{B1E8F498-0D0B-442A-A951-4D7C1624012A}" presName="linearFlow" presStyleCnt="0">
        <dgm:presLayoutVars>
          <dgm:dir/>
          <dgm:animLvl val="lvl"/>
          <dgm:resizeHandles val="exact"/>
        </dgm:presLayoutVars>
      </dgm:prSet>
      <dgm:spPr/>
    </dgm:pt>
    <dgm:pt modelId="{1BA9BD0E-733D-4D83-90AD-76F380011B13}" type="pres">
      <dgm:prSet presAssocID="{F5DEE33B-A2EF-458E-A453-179421EC1E12}" presName="composite" presStyleCnt="0"/>
      <dgm:spPr/>
    </dgm:pt>
    <dgm:pt modelId="{6C8F0B95-888A-4FB3-8935-C450C424E3C8}" type="pres">
      <dgm:prSet presAssocID="{F5DEE33B-A2EF-458E-A453-179421EC1E12}" presName="parentText" presStyleLbl="alignNode1" presStyleIdx="0" presStyleCnt="3">
        <dgm:presLayoutVars>
          <dgm:chMax val="1"/>
          <dgm:bulletEnabled val="1"/>
        </dgm:presLayoutVars>
      </dgm:prSet>
      <dgm:spPr/>
    </dgm:pt>
    <dgm:pt modelId="{2C38800E-CDE9-4963-BD5C-3C9C44067D79}" type="pres">
      <dgm:prSet presAssocID="{F5DEE33B-A2EF-458E-A453-179421EC1E12}" presName="descendantText" presStyleLbl="alignAcc1" presStyleIdx="0" presStyleCnt="3">
        <dgm:presLayoutVars>
          <dgm:bulletEnabled val="1"/>
        </dgm:presLayoutVars>
      </dgm:prSet>
      <dgm:spPr>
        <a:prstGeom prst="rect">
          <a:avLst/>
        </a:prstGeom>
      </dgm:spPr>
    </dgm:pt>
    <dgm:pt modelId="{60F106A6-A256-451A-BF29-A0B8365E9227}" type="pres">
      <dgm:prSet presAssocID="{B0587EFA-B7A1-4DF1-9484-5A52640DC79A}" presName="sp" presStyleCnt="0"/>
      <dgm:spPr/>
    </dgm:pt>
    <dgm:pt modelId="{D6D941AA-C1C9-471B-846B-F7134C67B6A1}" type="pres">
      <dgm:prSet presAssocID="{5891282D-7DAF-4409-BF48-8C118269BADE}" presName="composite" presStyleCnt="0"/>
      <dgm:spPr/>
    </dgm:pt>
    <dgm:pt modelId="{21A802FF-5D6D-40F0-A9B1-C5BD7DD33537}" type="pres">
      <dgm:prSet presAssocID="{5891282D-7DAF-4409-BF48-8C118269BADE}" presName="parentText" presStyleLbl="alignNode1" presStyleIdx="1" presStyleCnt="3">
        <dgm:presLayoutVars>
          <dgm:chMax val="1"/>
          <dgm:bulletEnabled val="1"/>
        </dgm:presLayoutVars>
      </dgm:prSet>
      <dgm:spPr/>
    </dgm:pt>
    <dgm:pt modelId="{B25D9B16-7BA3-461E-9B5A-337C20791BE2}" type="pres">
      <dgm:prSet presAssocID="{5891282D-7DAF-4409-BF48-8C118269BADE}" presName="descendantText" presStyleLbl="alignAcc1" presStyleIdx="1" presStyleCnt="3">
        <dgm:presLayoutVars>
          <dgm:bulletEnabled val="1"/>
        </dgm:presLayoutVars>
      </dgm:prSet>
      <dgm:spPr>
        <a:prstGeom prst="rect">
          <a:avLst/>
        </a:prstGeom>
      </dgm:spPr>
    </dgm:pt>
    <dgm:pt modelId="{10D04ABE-54FC-4AA2-8C24-98ADDDECBC6F}" type="pres">
      <dgm:prSet presAssocID="{B60D4621-8183-4609-8CC2-AFC40217245B}" presName="sp" presStyleCnt="0"/>
      <dgm:spPr/>
    </dgm:pt>
    <dgm:pt modelId="{A7EBE6F2-B266-4DEC-8F77-49996B1126F0}" type="pres">
      <dgm:prSet presAssocID="{C4129FED-DBD0-4562-BE09-4630A0142BB7}" presName="composite" presStyleCnt="0"/>
      <dgm:spPr/>
    </dgm:pt>
    <dgm:pt modelId="{F56A1D89-7E5D-4C47-82A8-544F2A5E5956}" type="pres">
      <dgm:prSet presAssocID="{C4129FED-DBD0-4562-BE09-4630A0142BB7}" presName="parentText" presStyleLbl="alignNode1" presStyleIdx="2" presStyleCnt="3">
        <dgm:presLayoutVars>
          <dgm:chMax val="1"/>
          <dgm:bulletEnabled val="1"/>
        </dgm:presLayoutVars>
      </dgm:prSet>
      <dgm:spPr/>
    </dgm:pt>
    <dgm:pt modelId="{E5072402-C8D8-4B36-AE7B-23F3884E984A}" type="pres">
      <dgm:prSet presAssocID="{C4129FED-DBD0-4562-BE09-4630A0142BB7}" presName="descendantText" presStyleLbl="alignAcc1" presStyleIdx="2" presStyleCnt="3">
        <dgm:presLayoutVars>
          <dgm:bulletEnabled val="1"/>
        </dgm:presLayoutVars>
      </dgm:prSet>
      <dgm:spPr>
        <a:prstGeom prst="rect">
          <a:avLst/>
        </a:prstGeom>
      </dgm:spPr>
    </dgm:pt>
  </dgm:ptLst>
  <dgm:cxnLst>
    <dgm:cxn modelId="{8BE43410-AC0F-4766-B859-1A2605E18A50}" type="presOf" srcId="{F5DEE33B-A2EF-458E-A453-179421EC1E12}" destId="{6C8F0B95-888A-4FB3-8935-C450C424E3C8}" srcOrd="0" destOrd="0" presId="urn:microsoft.com/office/officeart/2005/8/layout/chevron2"/>
    <dgm:cxn modelId="{CEE3BA24-C96C-4BDD-B6FE-E0F3AC5083F8}" srcId="{5891282D-7DAF-4409-BF48-8C118269BADE}" destId="{065FC56E-E60C-4562-BD57-4845AA86728B}" srcOrd="0" destOrd="0" parTransId="{50B66177-FFEC-4BD8-96D2-FB41CA3AA2E5}" sibTransId="{D78198F9-A3CE-4A29-8D7D-C697D817A854}"/>
    <dgm:cxn modelId="{3B19F625-EFFE-4E81-AE37-1A85F78EF2AE}" type="presOf" srcId="{67F0ACD0-7219-4FCA-8785-3545EB92B122}" destId="{2C38800E-CDE9-4963-BD5C-3C9C44067D79}" srcOrd="0" destOrd="2" presId="urn:microsoft.com/office/officeart/2005/8/layout/chevron2"/>
    <dgm:cxn modelId="{B59DD828-D107-424C-A402-D0C4DE8F1DCC}" type="presOf" srcId="{AB05265A-FB28-4CAC-9939-BF7749A0FFCC}" destId="{2C38800E-CDE9-4963-BD5C-3C9C44067D79}" srcOrd="0" destOrd="0" presId="urn:microsoft.com/office/officeart/2005/8/layout/chevron2"/>
    <dgm:cxn modelId="{68FA8530-EAD2-4E12-B6A0-3E398BF5763E}" srcId="{F5DEE33B-A2EF-458E-A453-179421EC1E12}" destId="{14450F2F-2ACC-4990-A99D-243F2875D3D1}" srcOrd="1" destOrd="0" parTransId="{065CEAD0-EC17-45D2-A7FD-E57382C8D852}" sibTransId="{F8A55DE1-3E81-49DC-B8FB-7D92CCEA7787}"/>
    <dgm:cxn modelId="{F20E1336-3A36-42D4-8814-AEDD8ACF72F1}" srcId="{C4129FED-DBD0-4562-BE09-4630A0142BB7}" destId="{14758315-8C96-440E-B45A-CF0CEFA0AD80}" srcOrd="2" destOrd="0" parTransId="{29817B22-D213-4F7D-AA1C-8934426CB6F9}" sibTransId="{40D24E9C-DD5B-424A-9673-2F3167BB2607}"/>
    <dgm:cxn modelId="{C99EB55B-ADEE-4C2D-AED8-804C1FE2CB35}" type="presOf" srcId="{BE4879B7-D3B2-407C-96E6-131FF3D88B48}" destId="{E5072402-C8D8-4B36-AE7B-23F3884E984A}" srcOrd="0" destOrd="0" presId="urn:microsoft.com/office/officeart/2005/8/layout/chevron2"/>
    <dgm:cxn modelId="{D2C08262-88FB-447C-A68C-C9EEDA2EEA57}" type="presOf" srcId="{C4129FED-DBD0-4562-BE09-4630A0142BB7}" destId="{F56A1D89-7E5D-4C47-82A8-544F2A5E5956}" srcOrd="0" destOrd="0" presId="urn:microsoft.com/office/officeart/2005/8/layout/chevron2"/>
    <dgm:cxn modelId="{ADCDCC42-5A8F-4C5C-A35B-7DCDF99B19C4}" srcId="{C4129FED-DBD0-4562-BE09-4630A0142BB7}" destId="{BE4879B7-D3B2-407C-96E6-131FF3D88B48}" srcOrd="0" destOrd="0" parTransId="{737EE04E-2D3B-4E1E-9FF1-634C5F7E0A5C}" sibTransId="{BA1F3E39-03EB-4235-BE90-8CFC4951539A}"/>
    <dgm:cxn modelId="{3EBB0565-C381-4B9E-BBC2-2A1FD2554C1D}" srcId="{5891282D-7DAF-4409-BF48-8C118269BADE}" destId="{C8CFA525-8A1C-477D-A561-52F21DD1C3C3}" srcOrd="1" destOrd="0" parTransId="{56B34CAB-019C-4F31-AA48-E551C5A092AB}" sibTransId="{F3093846-35D2-4232-A8C3-81A851EBC8F9}"/>
    <dgm:cxn modelId="{9DC9ED65-B1E4-4132-BA19-9A392482621F}" srcId="{C4129FED-DBD0-4562-BE09-4630A0142BB7}" destId="{22DC20C8-53B9-4609-BAD0-9F8954D69241}" srcOrd="1" destOrd="0" parTransId="{D83F3B59-8E70-4F7A-A4B6-F9D02C1C0EF7}" sibTransId="{042632F4-B134-4B20-AF57-E0CF0BA3D543}"/>
    <dgm:cxn modelId="{C4E9324F-CC31-477A-B11E-2F4FA38E8405}" type="presOf" srcId="{32EB4973-9095-43A8-9884-46F6D33912E9}" destId="{B25D9B16-7BA3-461E-9B5A-337C20791BE2}" srcOrd="0" destOrd="2" presId="urn:microsoft.com/office/officeart/2005/8/layout/chevron2"/>
    <dgm:cxn modelId="{F0F82350-2486-45FC-BEA8-F7815D01727B}" srcId="{B1E8F498-0D0B-442A-A951-4D7C1624012A}" destId="{C4129FED-DBD0-4562-BE09-4630A0142BB7}" srcOrd="2" destOrd="0" parTransId="{CB9EC7C7-8834-4C9A-A902-28103D5B4AA6}" sibTransId="{AF2A2045-ACA8-4DD4-AD4C-C44279323790}"/>
    <dgm:cxn modelId="{3C87EA74-C5F3-4489-83DA-BF27F5BEC91E}" srcId="{B1E8F498-0D0B-442A-A951-4D7C1624012A}" destId="{F5DEE33B-A2EF-458E-A453-179421EC1E12}" srcOrd="0" destOrd="0" parTransId="{44DEB1EF-1F28-4BBB-A8BA-B03BA5F8510E}" sibTransId="{B0587EFA-B7A1-4DF1-9484-5A52640DC79A}"/>
    <dgm:cxn modelId="{FD8BDE55-A9CF-4433-BFAD-1556BC2F496E}" type="presOf" srcId="{5891282D-7DAF-4409-BF48-8C118269BADE}" destId="{21A802FF-5D6D-40F0-A9B1-C5BD7DD33537}" srcOrd="0" destOrd="0" presId="urn:microsoft.com/office/officeart/2005/8/layout/chevron2"/>
    <dgm:cxn modelId="{F75B7C76-7AF8-4E58-9684-7036B81CD71F}" type="presOf" srcId="{065FC56E-E60C-4562-BD57-4845AA86728B}" destId="{B25D9B16-7BA3-461E-9B5A-337C20791BE2}" srcOrd="0" destOrd="0" presId="urn:microsoft.com/office/officeart/2005/8/layout/chevron2"/>
    <dgm:cxn modelId="{1129B57E-FCCA-470A-BB1F-159FB805CA95}" type="presOf" srcId="{14758315-8C96-440E-B45A-CF0CEFA0AD80}" destId="{E5072402-C8D8-4B36-AE7B-23F3884E984A}" srcOrd="0" destOrd="2" presId="urn:microsoft.com/office/officeart/2005/8/layout/chevron2"/>
    <dgm:cxn modelId="{29DA2B83-A1F1-4ED9-B716-6CE600BE773D}" srcId="{F5DEE33B-A2EF-458E-A453-179421EC1E12}" destId="{67F0ACD0-7219-4FCA-8785-3545EB92B122}" srcOrd="2" destOrd="0" parTransId="{C0B66944-DAE8-4552-8EB8-A75A243E8311}" sibTransId="{08644E35-80B0-4E67-81F3-513F22095EB7}"/>
    <dgm:cxn modelId="{437D6483-B0C1-4623-8F0B-771DA7B406E8}" type="presOf" srcId="{C8CFA525-8A1C-477D-A561-52F21DD1C3C3}" destId="{B25D9B16-7BA3-461E-9B5A-337C20791BE2}" srcOrd="0" destOrd="1" presId="urn:microsoft.com/office/officeart/2005/8/layout/chevron2"/>
    <dgm:cxn modelId="{5F3A43A6-67BE-47E2-AA8A-E7D1EE6A95C1}" type="presOf" srcId="{14450F2F-2ACC-4990-A99D-243F2875D3D1}" destId="{2C38800E-CDE9-4963-BD5C-3C9C44067D79}" srcOrd="0" destOrd="1" presId="urn:microsoft.com/office/officeart/2005/8/layout/chevron2"/>
    <dgm:cxn modelId="{AFBD49A8-8191-423B-B739-490C2989B69A}" srcId="{F5DEE33B-A2EF-458E-A453-179421EC1E12}" destId="{AB05265A-FB28-4CAC-9939-BF7749A0FFCC}" srcOrd="0" destOrd="0" parTransId="{C4065894-1FCA-4AD9-86CC-762923A8A42E}" sibTransId="{F21B098B-D11D-4DD7-A988-CF9297EEAA6C}"/>
    <dgm:cxn modelId="{694393BC-D019-4323-B53F-946C86343DE1}" srcId="{5891282D-7DAF-4409-BF48-8C118269BADE}" destId="{32EB4973-9095-43A8-9884-46F6D33912E9}" srcOrd="2" destOrd="0" parTransId="{AE546AA3-1338-430A-89FD-E1CCA0AAC85D}" sibTransId="{DF8D0B6E-16F9-4B7F-9847-C50137D06982}"/>
    <dgm:cxn modelId="{90360BC9-A12C-4048-B9D2-5D79D33312D1}" srcId="{B1E8F498-0D0B-442A-A951-4D7C1624012A}" destId="{5891282D-7DAF-4409-BF48-8C118269BADE}" srcOrd="1" destOrd="0" parTransId="{2E1A4C1D-43EE-4F30-BB36-23682FABE7FC}" sibTransId="{B60D4621-8183-4609-8CC2-AFC40217245B}"/>
    <dgm:cxn modelId="{642244CD-1789-4110-B47E-4666E7F9DF6E}" type="presOf" srcId="{22DC20C8-53B9-4609-BAD0-9F8954D69241}" destId="{E5072402-C8D8-4B36-AE7B-23F3884E984A}" srcOrd="0" destOrd="1" presId="urn:microsoft.com/office/officeart/2005/8/layout/chevron2"/>
    <dgm:cxn modelId="{DA0B7AE1-93D7-42C0-8EB2-2D16485175EA}" type="presOf" srcId="{B1E8F498-0D0B-442A-A951-4D7C1624012A}" destId="{705CD005-1A40-4CC6-9864-4F2BA4CBB94B}" srcOrd="0" destOrd="0" presId="urn:microsoft.com/office/officeart/2005/8/layout/chevron2"/>
    <dgm:cxn modelId="{B70F17F4-8AB3-451B-97C1-D0BA198B59A1}" type="presParOf" srcId="{705CD005-1A40-4CC6-9864-4F2BA4CBB94B}" destId="{1BA9BD0E-733D-4D83-90AD-76F380011B13}" srcOrd="0" destOrd="0" presId="urn:microsoft.com/office/officeart/2005/8/layout/chevron2"/>
    <dgm:cxn modelId="{C06B9E76-5926-4936-B610-936F4230D2B4}" type="presParOf" srcId="{1BA9BD0E-733D-4D83-90AD-76F380011B13}" destId="{6C8F0B95-888A-4FB3-8935-C450C424E3C8}" srcOrd="0" destOrd="0" presId="urn:microsoft.com/office/officeart/2005/8/layout/chevron2"/>
    <dgm:cxn modelId="{601D9761-ADFB-4F69-B822-95C12565501C}" type="presParOf" srcId="{1BA9BD0E-733D-4D83-90AD-76F380011B13}" destId="{2C38800E-CDE9-4963-BD5C-3C9C44067D79}" srcOrd="1" destOrd="0" presId="urn:microsoft.com/office/officeart/2005/8/layout/chevron2"/>
    <dgm:cxn modelId="{AEFAC1E3-1484-44E6-A55E-EEB82C184413}" type="presParOf" srcId="{705CD005-1A40-4CC6-9864-4F2BA4CBB94B}" destId="{60F106A6-A256-451A-BF29-A0B8365E9227}" srcOrd="1" destOrd="0" presId="urn:microsoft.com/office/officeart/2005/8/layout/chevron2"/>
    <dgm:cxn modelId="{8182557C-FBBA-482D-A8DF-DAA0F3397AB0}" type="presParOf" srcId="{705CD005-1A40-4CC6-9864-4F2BA4CBB94B}" destId="{D6D941AA-C1C9-471B-846B-F7134C67B6A1}" srcOrd="2" destOrd="0" presId="urn:microsoft.com/office/officeart/2005/8/layout/chevron2"/>
    <dgm:cxn modelId="{E20685EA-AF59-4EFD-BF4A-6AE528737FBE}" type="presParOf" srcId="{D6D941AA-C1C9-471B-846B-F7134C67B6A1}" destId="{21A802FF-5D6D-40F0-A9B1-C5BD7DD33537}" srcOrd="0" destOrd="0" presId="urn:microsoft.com/office/officeart/2005/8/layout/chevron2"/>
    <dgm:cxn modelId="{4E30D25E-CC37-4BD5-AEE5-74579C2F53AA}" type="presParOf" srcId="{D6D941AA-C1C9-471B-846B-F7134C67B6A1}" destId="{B25D9B16-7BA3-461E-9B5A-337C20791BE2}" srcOrd="1" destOrd="0" presId="urn:microsoft.com/office/officeart/2005/8/layout/chevron2"/>
    <dgm:cxn modelId="{8F4B4CD6-1185-408C-ADD0-9F2569546842}" type="presParOf" srcId="{705CD005-1A40-4CC6-9864-4F2BA4CBB94B}" destId="{10D04ABE-54FC-4AA2-8C24-98ADDDECBC6F}" srcOrd="3" destOrd="0" presId="urn:microsoft.com/office/officeart/2005/8/layout/chevron2"/>
    <dgm:cxn modelId="{8E58485C-1C1E-4C80-8FD6-0599EA9D967C}" type="presParOf" srcId="{705CD005-1A40-4CC6-9864-4F2BA4CBB94B}" destId="{A7EBE6F2-B266-4DEC-8F77-49996B1126F0}" srcOrd="4" destOrd="0" presId="urn:microsoft.com/office/officeart/2005/8/layout/chevron2"/>
    <dgm:cxn modelId="{F1DA8466-4A25-44B9-B12A-A8F068A8C2DE}" type="presParOf" srcId="{A7EBE6F2-B266-4DEC-8F77-49996B1126F0}" destId="{F56A1D89-7E5D-4C47-82A8-544F2A5E5956}" srcOrd="0" destOrd="0" presId="urn:microsoft.com/office/officeart/2005/8/layout/chevron2"/>
    <dgm:cxn modelId="{84F5BD70-9276-458C-940F-6FA2E301CF5F}" type="presParOf" srcId="{A7EBE6F2-B266-4DEC-8F77-49996B1126F0}" destId="{E5072402-C8D8-4B36-AE7B-23F3884E984A}" srcOrd="1" destOrd="0" presId="urn:microsoft.com/office/officeart/2005/8/layout/chevron2"/>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1E8F498-0D0B-442A-A951-4D7C1624012A}" type="doc">
      <dgm:prSet loTypeId="urn:microsoft.com/office/officeart/2005/8/layout/lProcess1" loCatId="process" qsTypeId="urn:microsoft.com/office/officeart/2005/8/quickstyle/simple1" qsCatId="simple" csTypeId="urn:microsoft.com/office/officeart/2005/8/colors/colorful5" csCatId="colorful" phldr="1"/>
      <dgm:spPr/>
      <dgm:t>
        <a:bodyPr/>
        <a:lstStyle/>
        <a:p>
          <a:endParaRPr lang="en-US"/>
        </a:p>
      </dgm:t>
    </dgm:pt>
    <dgm:pt modelId="{F5DEE33B-A2EF-458E-A453-179421EC1E12}">
      <dgm:prSet phldrT="[Text]" custT="1"/>
      <dgm:spPr/>
      <dgm:t>
        <a:bodyPr/>
        <a:lstStyle/>
        <a:p>
          <a:pPr algn="ctr"/>
          <a:r>
            <a:rPr lang="en-US" sz="1000" dirty="0"/>
            <a:t>TBRA</a:t>
          </a:r>
        </a:p>
      </dgm:t>
    </dgm:pt>
    <dgm:pt modelId="{44DEB1EF-1F28-4BBB-A8BA-B03BA5F8510E}" type="parTrans" cxnId="{3C87EA74-C5F3-4489-83DA-BF27F5BEC91E}">
      <dgm:prSet/>
      <dgm:spPr/>
      <dgm:t>
        <a:bodyPr/>
        <a:lstStyle/>
        <a:p>
          <a:pPr algn="ctr"/>
          <a:endParaRPr lang="en-US" sz="800"/>
        </a:p>
      </dgm:t>
    </dgm:pt>
    <dgm:pt modelId="{B0587EFA-B7A1-4DF1-9484-5A52640DC79A}" type="sibTrans" cxnId="{3C87EA74-C5F3-4489-83DA-BF27F5BEC91E}">
      <dgm:prSet/>
      <dgm:spPr/>
      <dgm:t>
        <a:bodyPr/>
        <a:lstStyle/>
        <a:p>
          <a:pPr algn="ctr"/>
          <a:endParaRPr lang="en-US" sz="800"/>
        </a:p>
      </dgm:t>
    </dgm:pt>
    <dgm:pt modelId="{5891282D-7DAF-4409-BF48-8C118269BADE}">
      <dgm:prSet phldrT="[Text]" custT="1"/>
      <dgm:spPr/>
      <dgm:t>
        <a:bodyPr/>
        <a:lstStyle/>
        <a:p>
          <a:pPr algn="ctr"/>
          <a:r>
            <a:rPr lang="en-US" sz="1000" dirty="0"/>
            <a:t>STRMU</a:t>
          </a:r>
        </a:p>
      </dgm:t>
    </dgm:pt>
    <dgm:pt modelId="{2E1A4C1D-43EE-4F30-BB36-23682FABE7FC}" type="parTrans" cxnId="{90360BC9-A12C-4048-B9D2-5D79D33312D1}">
      <dgm:prSet/>
      <dgm:spPr/>
      <dgm:t>
        <a:bodyPr/>
        <a:lstStyle/>
        <a:p>
          <a:pPr algn="ctr"/>
          <a:endParaRPr lang="en-US" sz="800"/>
        </a:p>
      </dgm:t>
    </dgm:pt>
    <dgm:pt modelId="{B60D4621-8183-4609-8CC2-AFC40217245B}" type="sibTrans" cxnId="{90360BC9-A12C-4048-B9D2-5D79D33312D1}">
      <dgm:prSet/>
      <dgm:spPr/>
      <dgm:t>
        <a:bodyPr/>
        <a:lstStyle/>
        <a:p>
          <a:pPr algn="ctr"/>
          <a:endParaRPr lang="en-US" sz="800"/>
        </a:p>
      </dgm:t>
    </dgm:pt>
    <dgm:pt modelId="{4AD2A121-F574-4353-B878-6DC6B2C784F0}">
      <dgm:prSet phldrT="[Text]" custT="1"/>
      <dgm:spPr/>
      <dgm:t>
        <a:bodyPr/>
        <a:lstStyle/>
        <a:p>
          <a:pPr algn="ctr"/>
          <a:r>
            <a:rPr lang="en-US" sz="1000" dirty="0"/>
            <a:t>PHP</a:t>
          </a:r>
        </a:p>
      </dgm:t>
    </dgm:pt>
    <dgm:pt modelId="{300AD1A0-2B89-4EEC-B746-FA44734E3508}" type="parTrans" cxnId="{17B9CC4B-E474-431E-A265-F64709072614}">
      <dgm:prSet/>
      <dgm:spPr/>
      <dgm:t>
        <a:bodyPr/>
        <a:lstStyle/>
        <a:p>
          <a:pPr algn="ctr"/>
          <a:endParaRPr lang="en-US" sz="800"/>
        </a:p>
      </dgm:t>
    </dgm:pt>
    <dgm:pt modelId="{78518540-929A-488C-84A3-74887E3A1102}" type="sibTrans" cxnId="{17B9CC4B-E474-431E-A265-F64709072614}">
      <dgm:prSet/>
      <dgm:spPr/>
      <dgm:t>
        <a:bodyPr/>
        <a:lstStyle/>
        <a:p>
          <a:pPr algn="ctr"/>
          <a:endParaRPr lang="en-US" sz="800"/>
        </a:p>
      </dgm:t>
    </dgm:pt>
    <dgm:pt modelId="{43D56692-CE7C-40C0-852E-19720E003566}">
      <dgm:prSet phldrT="[Text]" custT="1"/>
      <dgm:spPr/>
      <dgm:t>
        <a:bodyPr/>
        <a:lstStyle/>
        <a:p>
          <a:pPr algn="ctr"/>
          <a:r>
            <a:rPr lang="en-US" sz="1000" dirty="0"/>
            <a:t>HCM</a:t>
          </a:r>
        </a:p>
      </dgm:t>
    </dgm:pt>
    <dgm:pt modelId="{635161EE-8A81-420A-9960-F66F31CAD220}" type="parTrans" cxnId="{B4FF81C2-D5C8-494F-9195-93453B664B2A}">
      <dgm:prSet/>
      <dgm:spPr/>
      <dgm:t>
        <a:bodyPr/>
        <a:lstStyle/>
        <a:p>
          <a:pPr algn="ctr"/>
          <a:endParaRPr lang="en-US" sz="800"/>
        </a:p>
      </dgm:t>
    </dgm:pt>
    <dgm:pt modelId="{FC502540-EE20-4E7B-995B-94C969AB7847}" type="sibTrans" cxnId="{B4FF81C2-D5C8-494F-9195-93453B664B2A}">
      <dgm:prSet/>
      <dgm:spPr/>
      <dgm:t>
        <a:bodyPr/>
        <a:lstStyle/>
        <a:p>
          <a:pPr algn="ctr"/>
          <a:endParaRPr lang="en-US" sz="800"/>
        </a:p>
      </dgm:t>
    </dgm:pt>
    <dgm:pt modelId="{358F8D62-827B-4E08-A946-0EAEB763AAA6}">
      <dgm:prSet phldrT="[Text]" custT="1"/>
      <dgm:spPr/>
      <dgm:t>
        <a:bodyPr/>
        <a:lstStyle/>
        <a:p>
          <a:pPr algn="ctr"/>
          <a:r>
            <a:rPr lang="en-US" sz="800" dirty="0"/>
            <a:t>Housing Quality Standards Certification</a:t>
          </a:r>
        </a:p>
      </dgm:t>
    </dgm:pt>
    <dgm:pt modelId="{B601FC8E-A6C3-4741-B0BE-A14474D1FF8E}" type="parTrans" cxnId="{232D92FA-439A-448E-AB66-F622629B07F7}">
      <dgm:prSet/>
      <dgm:spPr/>
      <dgm:t>
        <a:bodyPr/>
        <a:lstStyle/>
        <a:p>
          <a:pPr algn="ctr"/>
          <a:endParaRPr lang="en-US" sz="800"/>
        </a:p>
      </dgm:t>
    </dgm:pt>
    <dgm:pt modelId="{840954EE-85E6-4DB8-BA45-E26DD884822D}" type="sibTrans" cxnId="{232D92FA-439A-448E-AB66-F622629B07F7}">
      <dgm:prSet/>
      <dgm:spPr/>
      <dgm:t>
        <a:bodyPr/>
        <a:lstStyle/>
        <a:p>
          <a:pPr algn="ctr"/>
          <a:endParaRPr lang="en-US" sz="800"/>
        </a:p>
      </dgm:t>
    </dgm:pt>
    <dgm:pt modelId="{B5E77AA5-69D0-43EC-A5F0-D264B0C68FAC}">
      <dgm:prSet phldrT="[Text]" custT="1"/>
      <dgm:spPr/>
      <dgm:t>
        <a:bodyPr/>
        <a:lstStyle/>
        <a:p>
          <a:pPr algn="ctr"/>
          <a:r>
            <a:rPr lang="en-US" sz="800" dirty="0"/>
            <a:t>Housing Quality Standards Certification</a:t>
          </a:r>
        </a:p>
      </dgm:t>
    </dgm:pt>
    <dgm:pt modelId="{8543A8EF-B9FB-427F-8A27-974A5083E1EF}" type="parTrans" cxnId="{495D2A9B-C138-47B1-BD27-09EC5D8DE607}">
      <dgm:prSet/>
      <dgm:spPr/>
      <dgm:t>
        <a:bodyPr/>
        <a:lstStyle/>
        <a:p>
          <a:pPr algn="ctr"/>
          <a:endParaRPr lang="en-US" sz="800"/>
        </a:p>
      </dgm:t>
    </dgm:pt>
    <dgm:pt modelId="{8DFABE2D-271C-4EA5-AB3E-CB73E4FBA19F}" type="sibTrans" cxnId="{495D2A9B-C138-47B1-BD27-09EC5D8DE607}">
      <dgm:prSet/>
      <dgm:spPr/>
      <dgm:t>
        <a:bodyPr/>
        <a:lstStyle/>
        <a:p>
          <a:pPr algn="ctr"/>
          <a:endParaRPr lang="en-US" sz="800"/>
        </a:p>
      </dgm:t>
    </dgm:pt>
    <dgm:pt modelId="{96AF2DC5-DDAA-415A-9011-57D65F75513D}">
      <dgm:prSet phldrT="[Text]" custT="1"/>
      <dgm:spPr/>
      <dgm:t>
        <a:bodyPr/>
        <a:lstStyle/>
        <a:p>
          <a:pPr algn="ctr"/>
          <a:r>
            <a:rPr lang="en-US" sz="800" dirty="0"/>
            <a:t>Rent Standard &amp; Rent Reasonableness Examination</a:t>
          </a:r>
        </a:p>
      </dgm:t>
    </dgm:pt>
    <dgm:pt modelId="{501BD997-D773-47AB-BBCB-1DA00DE26A61}" type="parTrans" cxnId="{D6AEA50B-1D16-4551-BAE2-66F775ED0746}">
      <dgm:prSet/>
      <dgm:spPr/>
      <dgm:t>
        <a:bodyPr/>
        <a:lstStyle/>
        <a:p>
          <a:pPr algn="ctr"/>
          <a:endParaRPr lang="en-US" sz="800"/>
        </a:p>
      </dgm:t>
    </dgm:pt>
    <dgm:pt modelId="{95C898E4-7912-4248-BA5C-973BB3BFF4D8}" type="sibTrans" cxnId="{D6AEA50B-1D16-4551-BAE2-66F775ED0746}">
      <dgm:prSet/>
      <dgm:spPr/>
      <dgm:t>
        <a:bodyPr/>
        <a:lstStyle/>
        <a:p>
          <a:pPr algn="ctr"/>
          <a:endParaRPr lang="en-US" sz="800"/>
        </a:p>
      </dgm:t>
    </dgm:pt>
    <dgm:pt modelId="{E5477D11-6DEE-4B07-A2EC-E37D2385042C}">
      <dgm:prSet phldrT="[Text]" custT="1"/>
      <dgm:spPr/>
      <dgm:t>
        <a:bodyPr/>
        <a:lstStyle/>
        <a:p>
          <a:pPr algn="ctr"/>
          <a:r>
            <a:rPr lang="en-US" sz="800" dirty="0"/>
            <a:t>Rental assistance calculation</a:t>
          </a:r>
        </a:p>
      </dgm:t>
    </dgm:pt>
    <dgm:pt modelId="{AC6C9B45-DE13-43F6-AE92-0823D23A1362}" type="parTrans" cxnId="{8D37C2DA-8930-4330-B191-55D31C2193DA}">
      <dgm:prSet/>
      <dgm:spPr/>
      <dgm:t>
        <a:bodyPr/>
        <a:lstStyle/>
        <a:p>
          <a:pPr algn="ctr"/>
          <a:endParaRPr lang="en-US" sz="800"/>
        </a:p>
      </dgm:t>
    </dgm:pt>
    <dgm:pt modelId="{7E5C75F6-C486-4980-B37D-459D5D37F6B0}" type="sibTrans" cxnId="{8D37C2DA-8930-4330-B191-55D31C2193DA}">
      <dgm:prSet/>
      <dgm:spPr/>
      <dgm:t>
        <a:bodyPr/>
        <a:lstStyle/>
        <a:p>
          <a:pPr algn="ctr"/>
          <a:endParaRPr lang="en-US" sz="800"/>
        </a:p>
      </dgm:t>
    </dgm:pt>
    <dgm:pt modelId="{9DA6403B-45CC-4ACD-84E7-B3CD559E5BF3}">
      <dgm:prSet phldrT="[Text]" custT="1"/>
      <dgm:spPr/>
      <dgm:t>
        <a:bodyPr/>
        <a:lstStyle/>
        <a:p>
          <a:pPr algn="ctr"/>
          <a:r>
            <a:rPr lang="en-US" sz="800" dirty="0"/>
            <a:t>Pays subsidy for current rent (sometimes utilities)</a:t>
          </a:r>
        </a:p>
      </dgm:t>
    </dgm:pt>
    <dgm:pt modelId="{6B1A4A85-85A3-43B3-AF29-B4FE8A6311B9}" type="parTrans" cxnId="{E2AEBC1D-424C-4B0E-AB06-4C03220FED2E}">
      <dgm:prSet/>
      <dgm:spPr/>
      <dgm:t>
        <a:bodyPr/>
        <a:lstStyle/>
        <a:p>
          <a:pPr algn="ctr"/>
          <a:endParaRPr lang="en-US" sz="800"/>
        </a:p>
      </dgm:t>
    </dgm:pt>
    <dgm:pt modelId="{096996C8-D5AE-48E5-951B-C066130AB1C8}" type="sibTrans" cxnId="{E2AEBC1D-424C-4B0E-AB06-4C03220FED2E}">
      <dgm:prSet/>
      <dgm:spPr/>
      <dgm:t>
        <a:bodyPr/>
        <a:lstStyle/>
        <a:p>
          <a:pPr algn="ctr"/>
          <a:endParaRPr lang="en-US" sz="800"/>
        </a:p>
      </dgm:t>
    </dgm:pt>
    <dgm:pt modelId="{B74C45F9-6521-4EB3-B6A7-33C4811A1224}">
      <dgm:prSet phldrT="[Text]" custT="1"/>
      <dgm:spPr/>
      <dgm:t>
        <a:bodyPr/>
        <a:lstStyle/>
        <a:p>
          <a:pPr algn="ctr"/>
          <a:r>
            <a:rPr lang="en-US" sz="800" dirty="0"/>
            <a:t>Service starts</a:t>
          </a:r>
        </a:p>
      </dgm:t>
    </dgm:pt>
    <dgm:pt modelId="{CCD70855-ABD5-4F0D-87E5-B772A885DFAE}" type="parTrans" cxnId="{4B1BE729-90B4-45EC-8731-6277E099D541}">
      <dgm:prSet/>
      <dgm:spPr/>
      <dgm:t>
        <a:bodyPr/>
        <a:lstStyle/>
        <a:p>
          <a:pPr algn="ctr"/>
          <a:endParaRPr lang="en-US" sz="800"/>
        </a:p>
      </dgm:t>
    </dgm:pt>
    <dgm:pt modelId="{DDD74B13-CF51-45F3-9A4A-3CC9FB05A47A}" type="sibTrans" cxnId="{4B1BE729-90B4-45EC-8731-6277E099D541}">
      <dgm:prSet/>
      <dgm:spPr/>
      <dgm:t>
        <a:bodyPr/>
        <a:lstStyle/>
        <a:p>
          <a:pPr algn="ctr"/>
          <a:endParaRPr lang="en-US" sz="800"/>
        </a:p>
      </dgm:t>
    </dgm:pt>
    <dgm:pt modelId="{7633D330-4C98-4FEB-A85E-6E9676E81260}">
      <dgm:prSet phldrT="[Text]" custT="1"/>
      <dgm:spPr/>
      <dgm:t>
        <a:bodyPr/>
        <a:lstStyle/>
        <a:p>
          <a:pPr algn="ctr"/>
          <a:r>
            <a:rPr lang="en-US" sz="800" dirty="0"/>
            <a:t>Interim/annual recertification</a:t>
          </a:r>
        </a:p>
      </dgm:t>
    </dgm:pt>
    <dgm:pt modelId="{FD76B2B8-3AD1-4412-9C57-E390983A385F}" type="parTrans" cxnId="{B52E55CB-1EB5-4D33-B677-ED7BCFE983A5}">
      <dgm:prSet/>
      <dgm:spPr/>
      <dgm:t>
        <a:bodyPr/>
        <a:lstStyle/>
        <a:p>
          <a:pPr algn="ctr"/>
          <a:endParaRPr lang="en-US" sz="800"/>
        </a:p>
      </dgm:t>
    </dgm:pt>
    <dgm:pt modelId="{7DADB3EF-07CA-4BBC-B55D-C537BC045020}" type="sibTrans" cxnId="{B52E55CB-1EB5-4D33-B677-ED7BCFE983A5}">
      <dgm:prSet/>
      <dgm:spPr/>
      <dgm:t>
        <a:bodyPr/>
        <a:lstStyle/>
        <a:p>
          <a:pPr algn="ctr"/>
          <a:endParaRPr lang="en-US" sz="800"/>
        </a:p>
      </dgm:t>
    </dgm:pt>
    <dgm:pt modelId="{331A0F3E-813A-4C46-8AB3-F3E08999D631}">
      <dgm:prSet phldrT="[Text]" custT="1"/>
      <dgm:spPr/>
      <dgm:t>
        <a:bodyPr/>
        <a:lstStyle/>
        <a:p>
          <a:pPr algn="ctr"/>
          <a:r>
            <a:rPr lang="en-US" sz="800" dirty="0"/>
            <a:t>Household can be housed or homeless</a:t>
          </a:r>
        </a:p>
      </dgm:t>
    </dgm:pt>
    <dgm:pt modelId="{0D66C2E1-CD47-41C5-87AD-69ED1061D91E}" type="parTrans" cxnId="{0F9C630A-AA79-4CE0-9FF5-6701025B3BA3}">
      <dgm:prSet/>
      <dgm:spPr/>
      <dgm:t>
        <a:bodyPr/>
        <a:lstStyle/>
        <a:p>
          <a:pPr algn="ctr"/>
          <a:endParaRPr lang="en-US" sz="800"/>
        </a:p>
      </dgm:t>
    </dgm:pt>
    <dgm:pt modelId="{7C902DFE-9CA5-40C3-A3B2-6A43F6798A4E}" type="sibTrans" cxnId="{0F9C630A-AA79-4CE0-9FF5-6701025B3BA3}">
      <dgm:prSet/>
      <dgm:spPr/>
      <dgm:t>
        <a:bodyPr/>
        <a:lstStyle/>
        <a:p>
          <a:pPr algn="ctr"/>
          <a:endParaRPr lang="en-US" sz="800"/>
        </a:p>
      </dgm:t>
    </dgm:pt>
    <dgm:pt modelId="{257FD0CC-2094-4C0C-90D0-7AB676A6FFF9}">
      <dgm:prSet phldrT="[Text]" custT="1"/>
      <dgm:spPr/>
      <dgm:t>
        <a:bodyPr/>
        <a:lstStyle/>
        <a:p>
          <a:pPr algn="ctr"/>
          <a:r>
            <a:rPr lang="en-US" sz="800" dirty="0"/>
            <a:t>Household needs housing first (Obtain current lease/mortgage) </a:t>
          </a:r>
        </a:p>
      </dgm:t>
    </dgm:pt>
    <dgm:pt modelId="{AE2966D5-50DB-4297-9B42-D90EF1B8E0FF}" type="parTrans" cxnId="{55E8D6A2-D673-4892-9AD7-D98E0A7A60D2}">
      <dgm:prSet/>
      <dgm:spPr/>
      <dgm:t>
        <a:bodyPr/>
        <a:lstStyle/>
        <a:p>
          <a:pPr algn="ctr"/>
          <a:endParaRPr lang="en-US" sz="800"/>
        </a:p>
      </dgm:t>
    </dgm:pt>
    <dgm:pt modelId="{64B7AA5B-7C21-4DAA-BA8B-F0EA3C918D70}" type="sibTrans" cxnId="{55E8D6A2-D673-4892-9AD7-D98E0A7A60D2}">
      <dgm:prSet/>
      <dgm:spPr/>
      <dgm:t>
        <a:bodyPr/>
        <a:lstStyle/>
        <a:p>
          <a:pPr algn="ctr"/>
          <a:endParaRPr lang="en-US" sz="800"/>
        </a:p>
      </dgm:t>
    </dgm:pt>
    <dgm:pt modelId="{BA4CC05C-721D-4485-9D89-B21311815FEC}">
      <dgm:prSet phldrT="[Text]" custT="1"/>
      <dgm:spPr/>
      <dgm:t>
        <a:bodyPr/>
        <a:lstStyle/>
        <a:p>
          <a:pPr algn="ctr"/>
          <a:r>
            <a:rPr lang="en-US" sz="800" dirty="0"/>
            <a:t>Household can be housed or homeless</a:t>
          </a:r>
        </a:p>
      </dgm:t>
    </dgm:pt>
    <dgm:pt modelId="{403C8236-411F-4A47-AEF3-8F291BAA0666}" type="parTrans" cxnId="{86D551C0-A61F-478C-8CD1-C3712BF3403E}">
      <dgm:prSet/>
      <dgm:spPr/>
      <dgm:t>
        <a:bodyPr/>
        <a:lstStyle/>
        <a:p>
          <a:pPr algn="ctr"/>
          <a:endParaRPr lang="en-US" sz="800"/>
        </a:p>
      </dgm:t>
    </dgm:pt>
    <dgm:pt modelId="{9BCD709B-6DDB-4EE8-ADAB-3BCAE549DD19}" type="sibTrans" cxnId="{86D551C0-A61F-478C-8CD1-C3712BF3403E}">
      <dgm:prSet/>
      <dgm:spPr/>
      <dgm:t>
        <a:bodyPr/>
        <a:lstStyle/>
        <a:p>
          <a:pPr algn="ctr"/>
          <a:endParaRPr lang="en-US" sz="800"/>
        </a:p>
      </dgm:t>
    </dgm:pt>
    <dgm:pt modelId="{9EFD9B21-335E-4B2D-9908-7B74E0001BE3}">
      <dgm:prSet phldrT="[Text]" custT="1"/>
      <dgm:spPr/>
      <dgm:t>
        <a:bodyPr/>
        <a:lstStyle/>
        <a:p>
          <a:pPr algn="ctr"/>
          <a:r>
            <a:rPr lang="en-US" sz="800" dirty="0"/>
            <a:t>Accept Housing Choice Voucher/other affordable housing</a:t>
          </a:r>
        </a:p>
      </dgm:t>
    </dgm:pt>
    <dgm:pt modelId="{583D64A2-7097-4E90-97CE-63A36AC42521}" type="parTrans" cxnId="{6272CFC2-6C8F-4ADD-8F3E-BC86E759A78B}">
      <dgm:prSet/>
      <dgm:spPr/>
      <dgm:t>
        <a:bodyPr/>
        <a:lstStyle/>
        <a:p>
          <a:pPr algn="ctr"/>
          <a:endParaRPr lang="en-US" sz="800"/>
        </a:p>
      </dgm:t>
    </dgm:pt>
    <dgm:pt modelId="{99F415F0-002A-45D1-9FE3-2385F3E35B20}" type="sibTrans" cxnId="{6272CFC2-6C8F-4ADD-8F3E-BC86E759A78B}">
      <dgm:prSet/>
      <dgm:spPr/>
      <dgm:t>
        <a:bodyPr/>
        <a:lstStyle/>
        <a:p>
          <a:pPr algn="ctr"/>
          <a:endParaRPr lang="en-US" sz="800"/>
        </a:p>
      </dgm:t>
    </dgm:pt>
    <dgm:pt modelId="{C62D9145-ED1C-4F8F-998C-708F8BEEBEBA}">
      <dgm:prSet phldrT="[Text]" custT="1"/>
      <dgm:spPr/>
      <dgm:t>
        <a:bodyPr/>
        <a:lstStyle/>
        <a:p>
          <a:pPr algn="ctr"/>
          <a:r>
            <a:rPr lang="en-US" sz="800" dirty="0"/>
            <a:t>Service ends/service outcome recorded</a:t>
          </a:r>
        </a:p>
      </dgm:t>
    </dgm:pt>
    <dgm:pt modelId="{C0BCD699-1560-49DE-941E-737FDFD22B64}" type="parTrans" cxnId="{18EDF0E6-1195-4E68-B6C3-D8A057B25D03}">
      <dgm:prSet/>
      <dgm:spPr/>
      <dgm:t>
        <a:bodyPr/>
        <a:lstStyle/>
        <a:p>
          <a:pPr algn="ctr"/>
          <a:endParaRPr lang="en-US" sz="800"/>
        </a:p>
      </dgm:t>
    </dgm:pt>
    <dgm:pt modelId="{4B10A7FA-6194-467A-A114-D51F604A272E}" type="sibTrans" cxnId="{18EDF0E6-1195-4E68-B6C3-D8A057B25D03}">
      <dgm:prSet/>
      <dgm:spPr/>
      <dgm:t>
        <a:bodyPr/>
        <a:lstStyle/>
        <a:p>
          <a:pPr algn="ctr"/>
          <a:endParaRPr lang="en-US" sz="800"/>
        </a:p>
      </dgm:t>
    </dgm:pt>
    <dgm:pt modelId="{84ABAB43-6707-475C-B541-128FAD655FE8}">
      <dgm:prSet phldrT="[Text]" custT="1"/>
      <dgm:spPr/>
      <dgm:t>
        <a:bodyPr/>
        <a:lstStyle/>
        <a:p>
          <a:pPr algn="ctr"/>
          <a:r>
            <a:rPr lang="en-US" sz="800" dirty="0"/>
            <a:t>Household can be housed or homeless</a:t>
          </a:r>
        </a:p>
      </dgm:t>
    </dgm:pt>
    <dgm:pt modelId="{95212E55-2D63-411B-9E21-0EFF6F3FCFFE}" type="parTrans" cxnId="{5A25457D-C1A2-469C-B72E-F283784747CF}">
      <dgm:prSet/>
      <dgm:spPr/>
      <dgm:t>
        <a:bodyPr/>
        <a:lstStyle/>
        <a:p>
          <a:pPr algn="ctr"/>
          <a:endParaRPr lang="en-US" sz="800"/>
        </a:p>
      </dgm:t>
    </dgm:pt>
    <dgm:pt modelId="{BCC6241F-E41F-4B12-BE86-D29D49854151}" type="sibTrans" cxnId="{5A25457D-C1A2-469C-B72E-F283784747CF}">
      <dgm:prSet/>
      <dgm:spPr/>
      <dgm:t>
        <a:bodyPr/>
        <a:lstStyle/>
        <a:p>
          <a:pPr algn="ctr"/>
          <a:endParaRPr lang="en-US" sz="800"/>
        </a:p>
      </dgm:t>
    </dgm:pt>
    <dgm:pt modelId="{3E5B4D09-EE45-4EE8-B17F-081932612478}">
      <dgm:prSet phldrT="[Text]" custT="1"/>
      <dgm:spPr/>
      <dgm:t>
        <a:bodyPr/>
        <a:lstStyle/>
        <a:p>
          <a:pPr algn="ctr"/>
          <a:r>
            <a:rPr lang="en-US" sz="800" dirty="0"/>
            <a:t>Service starts</a:t>
          </a:r>
        </a:p>
      </dgm:t>
    </dgm:pt>
    <dgm:pt modelId="{23DB5706-C6FE-4A5D-BD4C-3F6129D3EE63}" type="parTrans" cxnId="{85E876D6-4167-4B73-B4A6-E523F2DD89A8}">
      <dgm:prSet/>
      <dgm:spPr/>
      <dgm:t>
        <a:bodyPr/>
        <a:lstStyle/>
        <a:p>
          <a:pPr algn="ctr"/>
          <a:endParaRPr lang="en-US" sz="800"/>
        </a:p>
      </dgm:t>
    </dgm:pt>
    <dgm:pt modelId="{9020122D-AD46-4803-A731-A46C2A03EE44}" type="sibTrans" cxnId="{85E876D6-4167-4B73-B4A6-E523F2DD89A8}">
      <dgm:prSet/>
      <dgm:spPr/>
      <dgm:t>
        <a:bodyPr/>
        <a:lstStyle/>
        <a:p>
          <a:pPr algn="ctr"/>
          <a:endParaRPr lang="en-US" sz="800"/>
        </a:p>
      </dgm:t>
    </dgm:pt>
    <dgm:pt modelId="{7595BE5D-4B71-457B-ABCA-20C074D7B2E7}">
      <dgm:prSet phldrT="[Text]" custT="1"/>
      <dgm:spPr/>
      <dgm:t>
        <a:bodyPr/>
        <a:lstStyle/>
        <a:p>
          <a:pPr algn="ctr"/>
          <a:r>
            <a:rPr lang="en-US" sz="800" dirty="0"/>
            <a:t>Individualized budgeting and planning</a:t>
          </a:r>
        </a:p>
      </dgm:t>
    </dgm:pt>
    <dgm:pt modelId="{B959C27C-B9C2-4EB6-9518-72D1A4331369}" type="parTrans" cxnId="{B1119678-4AD7-476B-AC0F-DFDED0E874C8}">
      <dgm:prSet/>
      <dgm:spPr/>
      <dgm:t>
        <a:bodyPr/>
        <a:lstStyle/>
        <a:p>
          <a:pPr algn="ctr"/>
          <a:endParaRPr lang="en-US" sz="800"/>
        </a:p>
      </dgm:t>
    </dgm:pt>
    <dgm:pt modelId="{A2CCCC0F-FBF6-45BA-9821-34FC5594F474}" type="sibTrans" cxnId="{B1119678-4AD7-476B-AC0F-DFDED0E874C8}">
      <dgm:prSet/>
      <dgm:spPr/>
      <dgm:t>
        <a:bodyPr/>
        <a:lstStyle/>
        <a:p>
          <a:pPr algn="ctr"/>
          <a:endParaRPr lang="en-US" sz="800"/>
        </a:p>
      </dgm:t>
    </dgm:pt>
    <dgm:pt modelId="{D5AAFEA2-E4BC-43C1-A238-224F4B86C7F1}">
      <dgm:prSet phldrT="[Text]" custT="1"/>
      <dgm:spPr/>
      <dgm:t>
        <a:bodyPr/>
        <a:lstStyle/>
        <a:p>
          <a:pPr algn="ctr"/>
          <a:r>
            <a:rPr lang="en-US" sz="800" dirty="0"/>
            <a:t>Service ends/service outcome recorded</a:t>
          </a:r>
        </a:p>
      </dgm:t>
    </dgm:pt>
    <dgm:pt modelId="{42B2B66B-EDAD-4C64-88A2-DD9D1E042612}" type="parTrans" cxnId="{7A91A1D9-F235-4261-88E5-8F4B73E98F70}">
      <dgm:prSet/>
      <dgm:spPr/>
      <dgm:t>
        <a:bodyPr/>
        <a:lstStyle/>
        <a:p>
          <a:pPr algn="ctr"/>
          <a:endParaRPr lang="en-US" sz="800"/>
        </a:p>
      </dgm:t>
    </dgm:pt>
    <dgm:pt modelId="{2006FC6E-C772-415A-B766-CDDE5DF05A41}" type="sibTrans" cxnId="{7A91A1D9-F235-4261-88E5-8F4B73E98F70}">
      <dgm:prSet/>
      <dgm:spPr/>
      <dgm:t>
        <a:bodyPr/>
        <a:lstStyle/>
        <a:p>
          <a:pPr algn="ctr"/>
          <a:endParaRPr lang="en-US" sz="800"/>
        </a:p>
      </dgm:t>
    </dgm:pt>
    <dgm:pt modelId="{51CEC828-66FE-4A7C-A6C4-5682336E2E57}">
      <dgm:prSet phldrT="[Text]" custT="1"/>
      <dgm:spPr/>
      <dgm:t>
        <a:bodyPr/>
        <a:lstStyle/>
        <a:p>
          <a:pPr algn="ctr"/>
          <a:r>
            <a:rPr lang="en-US" sz="800" dirty="0"/>
            <a:t>Household presents documentation of recent emergency</a:t>
          </a:r>
        </a:p>
      </dgm:t>
    </dgm:pt>
    <dgm:pt modelId="{7E7D8AB3-E3F3-476A-B3DC-7DCE4D75FB21}" type="parTrans" cxnId="{FCF48DB7-3333-4B8D-B5FB-433598DE0A03}">
      <dgm:prSet/>
      <dgm:spPr/>
      <dgm:t>
        <a:bodyPr/>
        <a:lstStyle/>
        <a:p>
          <a:pPr algn="ctr"/>
          <a:endParaRPr lang="en-US" sz="800"/>
        </a:p>
      </dgm:t>
    </dgm:pt>
    <dgm:pt modelId="{8B56D27C-6961-4FA6-98C2-5FA0F9F4562E}" type="sibTrans" cxnId="{FCF48DB7-3333-4B8D-B5FB-433598DE0A03}">
      <dgm:prSet/>
      <dgm:spPr/>
      <dgm:t>
        <a:bodyPr/>
        <a:lstStyle/>
        <a:p>
          <a:pPr algn="ctr"/>
          <a:endParaRPr lang="en-US" sz="800"/>
        </a:p>
      </dgm:t>
    </dgm:pt>
    <dgm:pt modelId="{B2CA66E9-7A51-48B6-9ED9-C046BBDACE75}">
      <dgm:prSet phldrT="[Text]" custT="1"/>
      <dgm:spPr/>
      <dgm:t>
        <a:bodyPr/>
        <a:lstStyle/>
        <a:p>
          <a:pPr algn="ctr"/>
          <a:r>
            <a:rPr lang="en-US" sz="800" dirty="0"/>
            <a:t>Service starts</a:t>
          </a:r>
        </a:p>
      </dgm:t>
    </dgm:pt>
    <dgm:pt modelId="{D969E522-EC88-45A8-9498-67F85EBF2C70}" type="parTrans" cxnId="{9B28DC2A-AAE6-46CB-98D5-BFBDC99693CC}">
      <dgm:prSet/>
      <dgm:spPr/>
      <dgm:t>
        <a:bodyPr/>
        <a:lstStyle/>
        <a:p>
          <a:pPr algn="ctr"/>
          <a:endParaRPr lang="en-US" sz="800"/>
        </a:p>
      </dgm:t>
    </dgm:pt>
    <dgm:pt modelId="{B8C598C9-5D8F-453A-9772-08EC704E932D}" type="sibTrans" cxnId="{9B28DC2A-AAE6-46CB-98D5-BFBDC99693CC}">
      <dgm:prSet/>
      <dgm:spPr/>
      <dgm:t>
        <a:bodyPr/>
        <a:lstStyle/>
        <a:p>
          <a:pPr algn="ctr"/>
          <a:endParaRPr lang="en-US" sz="800"/>
        </a:p>
      </dgm:t>
    </dgm:pt>
    <dgm:pt modelId="{4C7259D1-98B4-47FE-AD33-74D8F26F6A30}">
      <dgm:prSet phldrT="[Text]" custT="1"/>
      <dgm:spPr/>
      <dgm:t>
        <a:bodyPr/>
        <a:lstStyle/>
        <a:p>
          <a:pPr algn="ctr"/>
          <a:r>
            <a:rPr lang="en-US" sz="800" dirty="0"/>
            <a:t>Pays rent, mortgage, and utility debts and dues (late fees, too)</a:t>
          </a:r>
        </a:p>
      </dgm:t>
    </dgm:pt>
    <dgm:pt modelId="{9CDDDC8A-563D-4D87-A817-58AFA16FBFFB}" type="parTrans" cxnId="{47250E46-F132-4928-B61F-F3372C6729F4}">
      <dgm:prSet/>
      <dgm:spPr/>
      <dgm:t>
        <a:bodyPr/>
        <a:lstStyle/>
        <a:p>
          <a:pPr algn="ctr"/>
          <a:endParaRPr lang="en-US" sz="800"/>
        </a:p>
      </dgm:t>
    </dgm:pt>
    <dgm:pt modelId="{1ACED670-CABE-4901-8EEA-71C2FC9A973D}" type="sibTrans" cxnId="{47250E46-F132-4928-B61F-F3372C6729F4}">
      <dgm:prSet/>
      <dgm:spPr/>
      <dgm:t>
        <a:bodyPr/>
        <a:lstStyle/>
        <a:p>
          <a:pPr algn="ctr"/>
          <a:endParaRPr lang="en-US" sz="800"/>
        </a:p>
      </dgm:t>
    </dgm:pt>
    <dgm:pt modelId="{C8511575-CAD2-478D-AE23-AD9A6DB288D7}">
      <dgm:prSet phldrT="[Text]" custT="1"/>
      <dgm:spPr/>
      <dgm:t>
        <a:bodyPr/>
        <a:lstStyle/>
        <a:p>
          <a:pPr algn="ctr"/>
          <a:r>
            <a:rPr lang="en-US" sz="800" dirty="0"/>
            <a:t>147-day/52-week assistance cap tracking</a:t>
          </a:r>
        </a:p>
      </dgm:t>
    </dgm:pt>
    <dgm:pt modelId="{CB2B6AA1-C7EF-4D3F-BC9B-9A1CF570F1EE}" type="parTrans" cxnId="{272381DF-864A-4817-B18F-5560480A2707}">
      <dgm:prSet/>
      <dgm:spPr/>
      <dgm:t>
        <a:bodyPr/>
        <a:lstStyle/>
        <a:p>
          <a:pPr algn="ctr"/>
          <a:endParaRPr lang="en-US" sz="800"/>
        </a:p>
      </dgm:t>
    </dgm:pt>
    <dgm:pt modelId="{45886A70-0D23-4366-9CC7-51A5F435098C}" type="sibTrans" cxnId="{272381DF-864A-4817-B18F-5560480A2707}">
      <dgm:prSet/>
      <dgm:spPr/>
      <dgm:t>
        <a:bodyPr/>
        <a:lstStyle/>
        <a:p>
          <a:pPr algn="ctr"/>
          <a:endParaRPr lang="en-US" sz="800"/>
        </a:p>
      </dgm:t>
    </dgm:pt>
    <dgm:pt modelId="{30463371-B4A1-46F2-A385-9510BDF74762}">
      <dgm:prSet phldrT="[Text]" custT="1"/>
      <dgm:spPr/>
      <dgm:t>
        <a:bodyPr/>
        <a:lstStyle/>
        <a:p>
          <a:pPr algn="ctr"/>
          <a:r>
            <a:rPr lang="en-US" sz="800" dirty="0"/>
            <a:t>Interim recertification (if necessary)</a:t>
          </a:r>
        </a:p>
      </dgm:t>
    </dgm:pt>
    <dgm:pt modelId="{B431CC53-F5C3-4363-A979-750A2B6CF4DB}" type="parTrans" cxnId="{EC788855-2F9E-4CD9-A637-A1A17C627C0D}">
      <dgm:prSet/>
      <dgm:spPr/>
      <dgm:t>
        <a:bodyPr/>
        <a:lstStyle/>
        <a:p>
          <a:pPr algn="ctr"/>
          <a:endParaRPr lang="en-US" sz="800"/>
        </a:p>
      </dgm:t>
    </dgm:pt>
    <dgm:pt modelId="{D9D76D0F-0E4C-403F-B106-BDC170E1A3FF}" type="sibTrans" cxnId="{EC788855-2F9E-4CD9-A637-A1A17C627C0D}">
      <dgm:prSet/>
      <dgm:spPr/>
      <dgm:t>
        <a:bodyPr/>
        <a:lstStyle/>
        <a:p>
          <a:pPr algn="ctr"/>
          <a:endParaRPr lang="en-US" sz="800"/>
        </a:p>
      </dgm:t>
    </dgm:pt>
    <dgm:pt modelId="{B009A43B-1F2C-4366-93DB-C2C7C2352679}">
      <dgm:prSet phldrT="[Text]" custT="1"/>
      <dgm:spPr/>
      <dgm:t>
        <a:bodyPr/>
        <a:lstStyle/>
        <a:p>
          <a:pPr algn="ctr"/>
          <a:r>
            <a:rPr lang="en-US" sz="800" dirty="0"/>
            <a:t>Emergency resolved/cap reached</a:t>
          </a:r>
        </a:p>
      </dgm:t>
    </dgm:pt>
    <dgm:pt modelId="{685FE7BB-2171-469E-A084-D573315F2ED5}" type="parTrans" cxnId="{8647F58B-B029-41D0-8154-D7B7E089E57F}">
      <dgm:prSet/>
      <dgm:spPr/>
      <dgm:t>
        <a:bodyPr/>
        <a:lstStyle/>
        <a:p>
          <a:pPr algn="ctr"/>
          <a:endParaRPr lang="en-US" sz="800"/>
        </a:p>
      </dgm:t>
    </dgm:pt>
    <dgm:pt modelId="{765C8B18-D0D2-42D8-9B8E-68EA0C5555B2}" type="sibTrans" cxnId="{8647F58B-B029-41D0-8154-D7B7E089E57F}">
      <dgm:prSet/>
      <dgm:spPr/>
      <dgm:t>
        <a:bodyPr/>
        <a:lstStyle/>
        <a:p>
          <a:pPr algn="ctr"/>
          <a:endParaRPr lang="en-US" sz="800"/>
        </a:p>
      </dgm:t>
    </dgm:pt>
    <dgm:pt modelId="{6645D17C-6C61-425A-A8A6-B200FB548A9B}">
      <dgm:prSet phldrT="[Text]" custT="1"/>
      <dgm:spPr/>
      <dgm:t>
        <a:bodyPr/>
        <a:lstStyle/>
        <a:p>
          <a:pPr algn="ctr"/>
          <a:r>
            <a:rPr lang="en-US" sz="800" dirty="0"/>
            <a:t>Service ends/service outcome recorded</a:t>
          </a:r>
        </a:p>
      </dgm:t>
    </dgm:pt>
    <dgm:pt modelId="{66A948B8-F04E-4935-B282-92C55E767BF8}" type="parTrans" cxnId="{06D9BC9C-F75E-4730-A649-9908304CA119}">
      <dgm:prSet/>
      <dgm:spPr/>
      <dgm:t>
        <a:bodyPr/>
        <a:lstStyle/>
        <a:p>
          <a:pPr algn="ctr"/>
          <a:endParaRPr lang="en-US" sz="800"/>
        </a:p>
      </dgm:t>
    </dgm:pt>
    <dgm:pt modelId="{825EA462-B793-4408-B85B-6B035174A6C1}" type="sibTrans" cxnId="{06D9BC9C-F75E-4730-A649-9908304CA119}">
      <dgm:prSet/>
      <dgm:spPr/>
      <dgm:t>
        <a:bodyPr/>
        <a:lstStyle/>
        <a:p>
          <a:pPr algn="ctr"/>
          <a:endParaRPr lang="en-US" sz="800"/>
        </a:p>
      </dgm:t>
    </dgm:pt>
    <dgm:pt modelId="{4010AAD0-0C8A-4E19-A44D-9B3CC654E876}">
      <dgm:prSet phldrT="[Text]" custT="1"/>
      <dgm:spPr/>
      <dgm:t>
        <a:bodyPr/>
        <a:lstStyle/>
        <a:p>
          <a:pPr algn="ctr"/>
          <a:r>
            <a:rPr lang="en-US" sz="800" dirty="0"/>
            <a:t>Housing Quality Standards Certification</a:t>
          </a:r>
        </a:p>
      </dgm:t>
    </dgm:pt>
    <dgm:pt modelId="{8B69F440-F9DB-4DD0-BDE1-04292358F09C}" type="parTrans" cxnId="{00B50439-C0AE-4DCE-B365-77FA554264C6}">
      <dgm:prSet/>
      <dgm:spPr/>
      <dgm:t>
        <a:bodyPr/>
        <a:lstStyle/>
        <a:p>
          <a:pPr algn="ctr"/>
          <a:endParaRPr lang="en-US" sz="800"/>
        </a:p>
      </dgm:t>
    </dgm:pt>
    <dgm:pt modelId="{C23B7FDB-3324-49C6-9421-4586B04F5C27}" type="sibTrans" cxnId="{00B50439-C0AE-4DCE-B365-77FA554264C6}">
      <dgm:prSet/>
      <dgm:spPr/>
      <dgm:t>
        <a:bodyPr/>
        <a:lstStyle/>
        <a:p>
          <a:pPr algn="ctr"/>
          <a:endParaRPr lang="en-US" sz="800"/>
        </a:p>
      </dgm:t>
    </dgm:pt>
    <dgm:pt modelId="{028E8847-8B02-478A-AF78-0A3247E18071}">
      <dgm:prSet phldrT="[Text]" custT="1"/>
      <dgm:spPr/>
      <dgm:t>
        <a:bodyPr/>
        <a:lstStyle/>
        <a:p>
          <a:pPr algn="ctr"/>
          <a:r>
            <a:rPr lang="en-US" sz="800" dirty="0"/>
            <a:t>Obtain documentation of what you pay for and who you pay</a:t>
          </a:r>
        </a:p>
      </dgm:t>
    </dgm:pt>
    <dgm:pt modelId="{2E29E8D1-8ECA-4A8D-9CB0-AF95704B1FDF}" type="parTrans" cxnId="{1CBAED17-B303-4142-836F-1746235833A2}">
      <dgm:prSet/>
      <dgm:spPr/>
      <dgm:t>
        <a:bodyPr/>
        <a:lstStyle/>
        <a:p>
          <a:pPr algn="ctr"/>
          <a:endParaRPr lang="en-US" sz="800"/>
        </a:p>
      </dgm:t>
    </dgm:pt>
    <dgm:pt modelId="{063D1CFF-A048-4559-8DE7-9CE7A75EA101}" type="sibTrans" cxnId="{1CBAED17-B303-4142-836F-1746235833A2}">
      <dgm:prSet/>
      <dgm:spPr/>
      <dgm:t>
        <a:bodyPr/>
        <a:lstStyle/>
        <a:p>
          <a:pPr algn="ctr"/>
          <a:endParaRPr lang="en-US" sz="800"/>
        </a:p>
      </dgm:t>
    </dgm:pt>
    <dgm:pt modelId="{2AE38D7E-CA0A-42F6-A975-54B23633AB8F}">
      <dgm:prSet phldrT="[Text]" custT="1"/>
      <dgm:spPr/>
      <dgm:t>
        <a:bodyPr/>
        <a:lstStyle/>
        <a:p>
          <a:pPr algn="ctr"/>
          <a:r>
            <a:rPr lang="en-US" sz="800" dirty="0"/>
            <a:t>Obtain documentation of what you pay for and who you pay</a:t>
          </a:r>
        </a:p>
      </dgm:t>
    </dgm:pt>
    <dgm:pt modelId="{C26D0F36-FC4D-43C4-ADEE-348BD4420390}" type="parTrans" cxnId="{9964EDE8-D7E9-41CB-996E-7F369647AD65}">
      <dgm:prSet/>
      <dgm:spPr/>
      <dgm:t>
        <a:bodyPr/>
        <a:lstStyle/>
        <a:p>
          <a:pPr algn="ctr"/>
          <a:endParaRPr lang="en-US" sz="800"/>
        </a:p>
      </dgm:t>
    </dgm:pt>
    <dgm:pt modelId="{BE2AA24A-A347-4C81-836D-7162B377B7E7}" type="sibTrans" cxnId="{9964EDE8-D7E9-41CB-996E-7F369647AD65}">
      <dgm:prSet/>
      <dgm:spPr/>
      <dgm:t>
        <a:bodyPr/>
        <a:lstStyle/>
        <a:p>
          <a:pPr algn="ctr"/>
          <a:endParaRPr lang="en-US" sz="800"/>
        </a:p>
      </dgm:t>
    </dgm:pt>
    <dgm:pt modelId="{809772AF-E1A6-4196-8CA1-9870B4A7EDBC}">
      <dgm:prSet phldrT="[Text]" custT="1"/>
      <dgm:spPr/>
      <dgm:t>
        <a:bodyPr/>
        <a:lstStyle/>
        <a:p>
          <a:pPr algn="ctr"/>
          <a:r>
            <a:rPr lang="en-US" sz="800" dirty="0"/>
            <a:t>Household locates housing</a:t>
          </a:r>
        </a:p>
      </dgm:t>
    </dgm:pt>
    <dgm:pt modelId="{4CCB2E2A-0ADB-48E5-9AC8-59A7167FCF0B}" type="parTrans" cxnId="{59DD28E5-1F87-4303-B117-90D9EC8A7070}">
      <dgm:prSet/>
      <dgm:spPr/>
      <dgm:t>
        <a:bodyPr/>
        <a:lstStyle/>
        <a:p>
          <a:pPr algn="ctr"/>
          <a:endParaRPr lang="en-US" sz="800"/>
        </a:p>
      </dgm:t>
    </dgm:pt>
    <dgm:pt modelId="{E9E08DE7-ABA3-498C-8285-5C9BADED8328}" type="sibTrans" cxnId="{59DD28E5-1F87-4303-B117-90D9EC8A7070}">
      <dgm:prSet/>
      <dgm:spPr/>
      <dgm:t>
        <a:bodyPr/>
        <a:lstStyle/>
        <a:p>
          <a:pPr algn="ctr"/>
          <a:endParaRPr lang="en-US" sz="800"/>
        </a:p>
      </dgm:t>
    </dgm:pt>
    <dgm:pt modelId="{354D3B35-17A1-4985-9047-D97314E26413}">
      <dgm:prSet phldrT="[Text]" custT="1"/>
      <dgm:spPr/>
      <dgm:t>
        <a:bodyPr/>
        <a:lstStyle/>
        <a:p>
          <a:pPr algn="ctr"/>
          <a:r>
            <a:rPr lang="en-US" sz="800" dirty="0"/>
            <a:t>Obtain documentation of what you pay for and who you pay (Form L for units)</a:t>
          </a:r>
        </a:p>
      </dgm:t>
    </dgm:pt>
    <dgm:pt modelId="{A95DA89D-F74D-4291-8A38-333A84466779}" type="parTrans" cxnId="{FA19BF5D-5FB6-4901-96B6-5E10665CEB1A}">
      <dgm:prSet/>
      <dgm:spPr/>
      <dgm:t>
        <a:bodyPr/>
        <a:lstStyle/>
        <a:p>
          <a:pPr algn="ctr"/>
          <a:endParaRPr lang="en-US" sz="800"/>
        </a:p>
      </dgm:t>
    </dgm:pt>
    <dgm:pt modelId="{BC2904F3-0FE6-4952-BB40-361C5A32D3C0}" type="sibTrans" cxnId="{FA19BF5D-5FB6-4901-96B6-5E10665CEB1A}">
      <dgm:prSet/>
      <dgm:spPr/>
      <dgm:t>
        <a:bodyPr/>
        <a:lstStyle/>
        <a:p>
          <a:pPr algn="ctr"/>
          <a:endParaRPr lang="en-US" sz="800"/>
        </a:p>
      </dgm:t>
    </dgm:pt>
    <dgm:pt modelId="{CD2FDDAC-6FA9-4BC1-8679-B577B3134EDC}">
      <dgm:prSet phldrT="[Text]" custT="1"/>
      <dgm:spPr/>
      <dgm:t>
        <a:bodyPr/>
        <a:lstStyle/>
        <a:p>
          <a:pPr algn="ctr"/>
          <a:r>
            <a:rPr lang="en-US" sz="800" dirty="0"/>
            <a:t>Service starts</a:t>
          </a:r>
        </a:p>
      </dgm:t>
    </dgm:pt>
    <dgm:pt modelId="{12DA7321-9811-46D4-B7FA-27EF48880F66}" type="parTrans" cxnId="{9F5B6927-987F-4A8C-9832-19EA9A78F6F3}">
      <dgm:prSet/>
      <dgm:spPr/>
      <dgm:t>
        <a:bodyPr/>
        <a:lstStyle/>
        <a:p>
          <a:pPr algn="ctr"/>
          <a:endParaRPr lang="en-US" sz="800"/>
        </a:p>
      </dgm:t>
    </dgm:pt>
    <dgm:pt modelId="{A65562B1-9595-4DE2-80C0-2B8497079E54}" type="sibTrans" cxnId="{9F5B6927-987F-4A8C-9832-19EA9A78F6F3}">
      <dgm:prSet/>
      <dgm:spPr/>
      <dgm:t>
        <a:bodyPr/>
        <a:lstStyle/>
        <a:p>
          <a:pPr algn="ctr"/>
          <a:endParaRPr lang="en-US" sz="800"/>
        </a:p>
      </dgm:t>
    </dgm:pt>
    <dgm:pt modelId="{CDB70C27-2FB7-46E6-B9E2-821A9A1B111E}">
      <dgm:prSet phldrT="[Text]" custT="1"/>
      <dgm:spPr/>
      <dgm:t>
        <a:bodyPr/>
        <a:lstStyle/>
        <a:p>
          <a:pPr algn="ctr"/>
          <a:r>
            <a:rPr lang="en-US" sz="800" dirty="0"/>
            <a:t>Pays application/administrative fees, security/utility deposits, &amp; more (see PHP eligible costs)</a:t>
          </a:r>
        </a:p>
      </dgm:t>
    </dgm:pt>
    <dgm:pt modelId="{8E57D477-5DE4-4563-B0BC-A6BC8CDF3EFA}" type="parTrans" cxnId="{777C057D-AF68-4CA9-A997-20DECCD2FC44}">
      <dgm:prSet/>
      <dgm:spPr/>
      <dgm:t>
        <a:bodyPr/>
        <a:lstStyle/>
        <a:p>
          <a:pPr algn="ctr"/>
          <a:endParaRPr lang="en-US" sz="800"/>
        </a:p>
      </dgm:t>
    </dgm:pt>
    <dgm:pt modelId="{434A3773-D591-467D-B74C-5C95FB2E68E0}" type="sibTrans" cxnId="{777C057D-AF68-4CA9-A997-20DECCD2FC44}">
      <dgm:prSet/>
      <dgm:spPr/>
      <dgm:t>
        <a:bodyPr/>
        <a:lstStyle/>
        <a:p>
          <a:pPr algn="ctr"/>
          <a:endParaRPr lang="en-US" sz="800"/>
        </a:p>
      </dgm:t>
    </dgm:pt>
    <dgm:pt modelId="{37E73D4C-F189-4EF4-B24D-706BCD62866A}">
      <dgm:prSet phldrT="[Text]" custT="1"/>
      <dgm:spPr/>
      <dgm:t>
        <a:bodyPr/>
        <a:lstStyle/>
        <a:p>
          <a:pPr algn="ctr"/>
          <a:r>
            <a:rPr lang="en-US" sz="800" dirty="0"/>
            <a:t>Service ends/no outcome data collected at this time</a:t>
          </a:r>
        </a:p>
      </dgm:t>
    </dgm:pt>
    <dgm:pt modelId="{01478200-2C12-4DC1-82D8-48268DBCAF75}" type="parTrans" cxnId="{B8E52F04-9D7C-4B92-B6B8-8A40B2DCEC1D}">
      <dgm:prSet/>
      <dgm:spPr/>
      <dgm:t>
        <a:bodyPr/>
        <a:lstStyle/>
        <a:p>
          <a:pPr algn="ctr"/>
          <a:endParaRPr lang="en-US" sz="800"/>
        </a:p>
      </dgm:t>
    </dgm:pt>
    <dgm:pt modelId="{3ADFB2B5-5358-4BA9-8905-DAE1248C48D0}" type="sibTrans" cxnId="{B8E52F04-9D7C-4B92-B6B8-8A40B2DCEC1D}">
      <dgm:prSet/>
      <dgm:spPr/>
      <dgm:t>
        <a:bodyPr/>
        <a:lstStyle/>
        <a:p>
          <a:pPr algn="ctr"/>
          <a:endParaRPr lang="en-US" sz="800"/>
        </a:p>
      </dgm:t>
    </dgm:pt>
    <dgm:pt modelId="{F03BB87B-9FB8-4A77-AAD2-04D18BB46CC3}">
      <dgm:prSet phldrT="[Text]" custT="1"/>
      <dgm:spPr/>
      <dgm:t>
        <a:bodyPr/>
        <a:lstStyle/>
        <a:p>
          <a:pPr algn="ctr"/>
          <a:r>
            <a:rPr lang="en-US" sz="800" dirty="0"/>
            <a:t>Total rent costs are capped at two months of proposed rent. </a:t>
          </a:r>
        </a:p>
      </dgm:t>
    </dgm:pt>
    <dgm:pt modelId="{6475B0E2-82B8-4B6B-95D6-ABFFDA75D008}" type="parTrans" cxnId="{E73C9871-CA9F-4E5B-A834-2B3BA28FD907}">
      <dgm:prSet/>
      <dgm:spPr/>
      <dgm:t>
        <a:bodyPr/>
        <a:lstStyle/>
        <a:p>
          <a:pPr algn="ctr"/>
          <a:endParaRPr lang="en-US" sz="800"/>
        </a:p>
      </dgm:t>
    </dgm:pt>
    <dgm:pt modelId="{768355E1-12EF-45A7-8908-F6C5BE82135C}" type="sibTrans" cxnId="{E73C9871-CA9F-4E5B-A834-2B3BA28FD907}">
      <dgm:prSet/>
      <dgm:spPr/>
      <dgm:t>
        <a:bodyPr/>
        <a:lstStyle/>
        <a:p>
          <a:pPr algn="ctr"/>
          <a:endParaRPr lang="en-US" sz="800"/>
        </a:p>
      </dgm:t>
    </dgm:pt>
    <dgm:pt modelId="{96DDC1EE-2F29-4750-8CF8-3C87F9098F21}">
      <dgm:prSet phldrT="[Text]" custT="1"/>
      <dgm:spPr/>
      <dgm:t>
        <a:bodyPr/>
        <a:lstStyle/>
        <a:p>
          <a:pPr algn="ctr"/>
          <a:r>
            <a:rPr lang="en-US" sz="1000" dirty="0"/>
            <a:t>STSH</a:t>
          </a:r>
        </a:p>
      </dgm:t>
    </dgm:pt>
    <dgm:pt modelId="{B320AAC0-B3C5-415B-B182-3A847F399C92}" type="parTrans" cxnId="{A8F0CE07-7346-4402-BD28-22731DABFC38}">
      <dgm:prSet/>
      <dgm:spPr/>
      <dgm:t>
        <a:bodyPr/>
        <a:lstStyle/>
        <a:p>
          <a:pPr algn="ctr"/>
          <a:endParaRPr lang="en-US" sz="800"/>
        </a:p>
      </dgm:t>
    </dgm:pt>
    <dgm:pt modelId="{1411CAF2-AF2D-47FF-9AD9-4566BF6E4E32}" type="sibTrans" cxnId="{A8F0CE07-7346-4402-BD28-22731DABFC38}">
      <dgm:prSet/>
      <dgm:spPr/>
      <dgm:t>
        <a:bodyPr/>
        <a:lstStyle/>
        <a:p>
          <a:pPr algn="ctr"/>
          <a:endParaRPr lang="en-US" sz="800"/>
        </a:p>
      </dgm:t>
    </dgm:pt>
    <dgm:pt modelId="{4901AB79-DE82-473F-8979-974C30D4BD28}">
      <dgm:prSet phldrT="[Text]" custT="1"/>
      <dgm:spPr/>
      <dgm:t>
        <a:bodyPr/>
        <a:lstStyle/>
        <a:p>
          <a:pPr algn="ctr"/>
          <a:r>
            <a:rPr lang="en-US" sz="1000" dirty="0"/>
            <a:t>TSH</a:t>
          </a:r>
        </a:p>
      </dgm:t>
    </dgm:pt>
    <dgm:pt modelId="{48450107-7CC7-432C-B55F-691CCD163565}" type="parTrans" cxnId="{3C2BB10C-E923-4008-A3F0-0954941BB4E9}">
      <dgm:prSet/>
      <dgm:spPr/>
      <dgm:t>
        <a:bodyPr/>
        <a:lstStyle/>
        <a:p>
          <a:pPr algn="ctr"/>
          <a:endParaRPr lang="en-US" sz="800"/>
        </a:p>
      </dgm:t>
    </dgm:pt>
    <dgm:pt modelId="{37B21571-F276-42E1-9A4B-5D8874CC735A}" type="sibTrans" cxnId="{3C2BB10C-E923-4008-A3F0-0954941BB4E9}">
      <dgm:prSet/>
      <dgm:spPr/>
      <dgm:t>
        <a:bodyPr/>
        <a:lstStyle/>
        <a:p>
          <a:pPr algn="ctr"/>
          <a:endParaRPr lang="en-US" sz="800"/>
        </a:p>
      </dgm:t>
    </dgm:pt>
    <dgm:pt modelId="{826A8DB9-4866-4E1B-906D-95118E57A75E}">
      <dgm:prSet phldrT="[Text]" custT="1"/>
      <dgm:spPr/>
      <dgm:t>
        <a:bodyPr/>
        <a:lstStyle/>
        <a:p>
          <a:pPr algn="ctr"/>
          <a:r>
            <a:rPr lang="en-US" sz="800" dirty="0"/>
            <a:t>Deposits must return to the Project Sponsor</a:t>
          </a:r>
        </a:p>
      </dgm:t>
    </dgm:pt>
    <dgm:pt modelId="{B86D9702-139C-44CC-89AE-525E44ACC15D}" type="parTrans" cxnId="{BD1AD4BB-A9B8-4502-83AC-F84B47AF8EAE}">
      <dgm:prSet/>
      <dgm:spPr/>
      <dgm:t>
        <a:bodyPr/>
        <a:lstStyle/>
        <a:p>
          <a:endParaRPr lang="en-US"/>
        </a:p>
      </dgm:t>
    </dgm:pt>
    <dgm:pt modelId="{E65CB6B7-D593-49AF-BDD0-142429BF4383}" type="sibTrans" cxnId="{BD1AD4BB-A9B8-4502-83AC-F84B47AF8EAE}">
      <dgm:prSet/>
      <dgm:spPr/>
      <dgm:t>
        <a:bodyPr/>
        <a:lstStyle/>
        <a:p>
          <a:endParaRPr lang="en-US"/>
        </a:p>
      </dgm:t>
    </dgm:pt>
    <dgm:pt modelId="{2AE8792B-C169-4FC2-859B-80ED1B9517F4}">
      <dgm:prSet phldrT="[Text]" custT="1"/>
      <dgm:spPr/>
      <dgm:t>
        <a:bodyPr/>
        <a:lstStyle/>
        <a:p>
          <a:pPr algn="ctr"/>
          <a:r>
            <a:rPr lang="en-US" sz="800" dirty="0"/>
            <a:t>Household must be homeless</a:t>
          </a:r>
        </a:p>
      </dgm:t>
    </dgm:pt>
    <dgm:pt modelId="{E0C896D4-113C-440B-B2FF-A46B5FE5A156}" type="parTrans" cxnId="{55A49C78-E9F8-44FD-BF51-DC6DF24EC40B}">
      <dgm:prSet/>
      <dgm:spPr/>
      <dgm:t>
        <a:bodyPr/>
        <a:lstStyle/>
        <a:p>
          <a:endParaRPr lang="en-US"/>
        </a:p>
      </dgm:t>
    </dgm:pt>
    <dgm:pt modelId="{4C17C88E-7B5D-476D-8C8D-932CEE3F0D0E}" type="sibTrans" cxnId="{55A49C78-E9F8-44FD-BF51-DC6DF24EC40B}">
      <dgm:prSet/>
      <dgm:spPr/>
      <dgm:t>
        <a:bodyPr/>
        <a:lstStyle/>
        <a:p>
          <a:endParaRPr lang="en-US"/>
        </a:p>
      </dgm:t>
    </dgm:pt>
    <dgm:pt modelId="{4DE585C3-D624-4D6B-965D-B1E708DA3F61}">
      <dgm:prSet phldrT="[Text]" custT="1"/>
      <dgm:spPr/>
      <dgm:t>
        <a:bodyPr/>
        <a:lstStyle/>
        <a:p>
          <a:pPr algn="ctr"/>
          <a:r>
            <a:rPr lang="en-US" sz="800" dirty="0"/>
            <a:t>Household must be homeless or at risk of homelessness</a:t>
          </a:r>
        </a:p>
      </dgm:t>
    </dgm:pt>
    <dgm:pt modelId="{5C0BF541-7DF8-4DAC-8BD7-91049CE61D4D}" type="parTrans" cxnId="{77713829-EA0C-4215-9EC9-DBB008D197B8}">
      <dgm:prSet/>
      <dgm:spPr/>
      <dgm:t>
        <a:bodyPr/>
        <a:lstStyle/>
        <a:p>
          <a:endParaRPr lang="en-US"/>
        </a:p>
      </dgm:t>
    </dgm:pt>
    <dgm:pt modelId="{868CF8FB-21EB-4C84-8A1B-3CF155D0E297}" type="sibTrans" cxnId="{77713829-EA0C-4215-9EC9-DBB008D197B8}">
      <dgm:prSet/>
      <dgm:spPr/>
      <dgm:t>
        <a:bodyPr/>
        <a:lstStyle/>
        <a:p>
          <a:endParaRPr lang="en-US"/>
        </a:p>
      </dgm:t>
    </dgm:pt>
    <dgm:pt modelId="{20BC0861-7DE7-4269-A065-06B8EAE46FF1}">
      <dgm:prSet phldrT="[Text]" custT="1"/>
      <dgm:spPr/>
      <dgm:t>
        <a:bodyPr/>
        <a:lstStyle/>
        <a:p>
          <a:pPr algn="ctr"/>
          <a:r>
            <a:rPr lang="en-US" sz="800" dirty="0"/>
            <a:t>Obtain documentation of what you pay for and who you pay</a:t>
          </a:r>
        </a:p>
      </dgm:t>
    </dgm:pt>
    <dgm:pt modelId="{F792F064-A11D-45EC-AD5F-9600A1FE08AF}" type="parTrans" cxnId="{4D42F89B-DD4D-4BAE-B0D2-3FBCC6D5BE40}">
      <dgm:prSet/>
      <dgm:spPr/>
      <dgm:t>
        <a:bodyPr/>
        <a:lstStyle/>
        <a:p>
          <a:endParaRPr lang="en-US"/>
        </a:p>
      </dgm:t>
    </dgm:pt>
    <dgm:pt modelId="{9F711D50-EA8C-4344-8558-65DDD2E8D2A2}" type="sibTrans" cxnId="{4D42F89B-DD4D-4BAE-B0D2-3FBCC6D5BE40}">
      <dgm:prSet/>
      <dgm:spPr/>
      <dgm:t>
        <a:bodyPr/>
        <a:lstStyle/>
        <a:p>
          <a:endParaRPr lang="en-US"/>
        </a:p>
      </dgm:t>
    </dgm:pt>
    <dgm:pt modelId="{42043DA4-6594-4066-9411-C3FE6D7E1634}">
      <dgm:prSet phldrT="[Text]" custT="1"/>
      <dgm:spPr/>
      <dgm:t>
        <a:bodyPr/>
        <a:lstStyle/>
        <a:p>
          <a:pPr algn="ctr"/>
          <a:r>
            <a:rPr lang="en-US" sz="800" dirty="0"/>
            <a:t>Housing Quality Standards Certification</a:t>
          </a:r>
        </a:p>
      </dgm:t>
    </dgm:pt>
    <dgm:pt modelId="{C25CB97A-3AE1-429E-BBD2-A5003D85798D}" type="parTrans" cxnId="{A3C26139-37C4-4518-AF86-0B9B1B01F6CD}">
      <dgm:prSet/>
      <dgm:spPr/>
      <dgm:t>
        <a:bodyPr/>
        <a:lstStyle/>
        <a:p>
          <a:endParaRPr lang="en-US"/>
        </a:p>
      </dgm:t>
    </dgm:pt>
    <dgm:pt modelId="{64A74406-6CB7-45F2-8695-CFF68CBADD39}" type="sibTrans" cxnId="{A3C26139-37C4-4518-AF86-0B9B1B01F6CD}">
      <dgm:prSet/>
      <dgm:spPr/>
      <dgm:t>
        <a:bodyPr/>
        <a:lstStyle/>
        <a:p>
          <a:endParaRPr lang="en-US"/>
        </a:p>
      </dgm:t>
    </dgm:pt>
    <dgm:pt modelId="{A9C3C88C-5AA3-4EE0-921A-3B40CB9B2CEE}">
      <dgm:prSet phldrT="[Text]" custT="1"/>
      <dgm:spPr/>
      <dgm:t>
        <a:bodyPr/>
        <a:lstStyle/>
        <a:p>
          <a:pPr algn="ctr"/>
          <a:r>
            <a:rPr lang="en-US" sz="800" dirty="0"/>
            <a:t>Rent Standard &amp; Rent Reasonableness Examination</a:t>
          </a:r>
        </a:p>
      </dgm:t>
    </dgm:pt>
    <dgm:pt modelId="{29E2594D-DB85-44FB-B666-4FE94DA99E9E}" type="parTrans" cxnId="{AFA78E68-CE0B-4694-897A-D17CC5BC6D33}">
      <dgm:prSet/>
      <dgm:spPr/>
      <dgm:t>
        <a:bodyPr/>
        <a:lstStyle/>
        <a:p>
          <a:endParaRPr lang="en-US"/>
        </a:p>
      </dgm:t>
    </dgm:pt>
    <dgm:pt modelId="{9724C280-6D3C-4BEC-86F4-28619E5FF2DB}" type="sibTrans" cxnId="{AFA78E68-CE0B-4694-897A-D17CC5BC6D33}">
      <dgm:prSet/>
      <dgm:spPr/>
      <dgm:t>
        <a:bodyPr/>
        <a:lstStyle/>
        <a:p>
          <a:endParaRPr lang="en-US"/>
        </a:p>
      </dgm:t>
    </dgm:pt>
    <dgm:pt modelId="{B2CC6CCA-9AF6-4758-8D03-F6E75D9DAD9D}">
      <dgm:prSet phldrT="[Text]" custT="1"/>
      <dgm:spPr/>
      <dgm:t>
        <a:bodyPr/>
        <a:lstStyle/>
        <a:p>
          <a:pPr algn="ctr"/>
          <a:r>
            <a:rPr lang="en-US" sz="800" dirty="0"/>
            <a:t>Rental assistance calculation</a:t>
          </a:r>
        </a:p>
      </dgm:t>
    </dgm:pt>
    <dgm:pt modelId="{6909C7F9-E975-40D3-8427-A8740EE59D75}" type="parTrans" cxnId="{CFB694D2-868A-4A76-BFA2-C0DE57E64DF2}">
      <dgm:prSet/>
      <dgm:spPr/>
      <dgm:t>
        <a:bodyPr/>
        <a:lstStyle/>
        <a:p>
          <a:endParaRPr lang="en-US"/>
        </a:p>
      </dgm:t>
    </dgm:pt>
    <dgm:pt modelId="{FDAA824B-B643-40F8-BDD8-AA40114A77CA}" type="sibTrans" cxnId="{CFB694D2-868A-4A76-BFA2-C0DE57E64DF2}">
      <dgm:prSet/>
      <dgm:spPr/>
      <dgm:t>
        <a:bodyPr/>
        <a:lstStyle/>
        <a:p>
          <a:endParaRPr lang="en-US"/>
        </a:p>
      </dgm:t>
    </dgm:pt>
    <dgm:pt modelId="{EF2D9657-01A3-408C-B38F-9C6E5196B7F2}">
      <dgm:prSet phldrT="[Text]" custT="1"/>
      <dgm:spPr/>
      <dgm:t>
        <a:bodyPr/>
        <a:lstStyle/>
        <a:p>
          <a:pPr algn="ctr"/>
          <a:r>
            <a:rPr lang="en-US" sz="800" dirty="0"/>
            <a:t>Facility-based service starts</a:t>
          </a:r>
        </a:p>
      </dgm:t>
    </dgm:pt>
    <dgm:pt modelId="{01EE31DB-996F-4D68-989B-A773733A8329}" type="parTrans" cxnId="{872D6E17-77BE-4B5D-9710-C4216711B8DB}">
      <dgm:prSet/>
      <dgm:spPr/>
      <dgm:t>
        <a:bodyPr/>
        <a:lstStyle/>
        <a:p>
          <a:endParaRPr lang="en-US"/>
        </a:p>
      </dgm:t>
    </dgm:pt>
    <dgm:pt modelId="{20FCDC14-FB71-4E97-979A-1D30BF3EEB91}" type="sibTrans" cxnId="{872D6E17-77BE-4B5D-9710-C4216711B8DB}">
      <dgm:prSet/>
      <dgm:spPr/>
      <dgm:t>
        <a:bodyPr/>
        <a:lstStyle/>
        <a:p>
          <a:endParaRPr lang="en-US"/>
        </a:p>
      </dgm:t>
    </dgm:pt>
    <dgm:pt modelId="{B94ACF42-043A-4D2F-8250-E0B90B27D28E}">
      <dgm:prSet phldrT="[Text]" custT="1"/>
      <dgm:spPr/>
      <dgm:t>
        <a:bodyPr/>
        <a:lstStyle/>
        <a:p>
          <a:pPr algn="ctr"/>
          <a:r>
            <a:rPr lang="en-US" sz="800" dirty="0"/>
            <a:t>Pays subsidy for current rent (sometimes utilities)</a:t>
          </a:r>
        </a:p>
      </dgm:t>
    </dgm:pt>
    <dgm:pt modelId="{044B36B3-2BC4-4520-A5B5-2A4444944512}" type="parTrans" cxnId="{781C7D5D-399D-4C44-B64E-6D160405FC46}">
      <dgm:prSet/>
      <dgm:spPr/>
      <dgm:t>
        <a:bodyPr/>
        <a:lstStyle/>
        <a:p>
          <a:endParaRPr lang="en-US"/>
        </a:p>
      </dgm:t>
    </dgm:pt>
    <dgm:pt modelId="{8C3255AA-0127-4C10-946D-4DDCF5799F3D}" type="sibTrans" cxnId="{781C7D5D-399D-4C44-B64E-6D160405FC46}">
      <dgm:prSet/>
      <dgm:spPr/>
      <dgm:t>
        <a:bodyPr/>
        <a:lstStyle/>
        <a:p>
          <a:endParaRPr lang="en-US"/>
        </a:p>
      </dgm:t>
    </dgm:pt>
    <dgm:pt modelId="{F87E713A-5ED6-4CA3-90BA-141C37114844}">
      <dgm:prSet phldrT="[Text]" custT="1"/>
      <dgm:spPr/>
      <dgm:t>
        <a:bodyPr/>
        <a:lstStyle/>
        <a:p>
          <a:pPr algn="ctr"/>
          <a:r>
            <a:rPr lang="en-US" sz="800" dirty="0"/>
            <a:t>Interim/annual recertification</a:t>
          </a:r>
        </a:p>
      </dgm:t>
    </dgm:pt>
    <dgm:pt modelId="{F96376B3-0828-42E7-A946-DFB30AD13876}" type="parTrans" cxnId="{057ADDC6-8F1D-452F-A42B-2D6B9B6E98BB}">
      <dgm:prSet/>
      <dgm:spPr/>
      <dgm:t>
        <a:bodyPr/>
        <a:lstStyle/>
        <a:p>
          <a:endParaRPr lang="en-US"/>
        </a:p>
      </dgm:t>
    </dgm:pt>
    <dgm:pt modelId="{657EF765-D86B-49A9-8B26-17F739A5F718}" type="sibTrans" cxnId="{057ADDC6-8F1D-452F-A42B-2D6B9B6E98BB}">
      <dgm:prSet/>
      <dgm:spPr/>
      <dgm:t>
        <a:bodyPr/>
        <a:lstStyle/>
        <a:p>
          <a:endParaRPr lang="en-US"/>
        </a:p>
      </dgm:t>
    </dgm:pt>
    <dgm:pt modelId="{2E5444F0-9BBD-4F53-A20C-8D148585DAD5}">
      <dgm:prSet phldrT="[Text]" custT="1"/>
      <dgm:spPr/>
      <dgm:t>
        <a:bodyPr/>
        <a:lstStyle/>
        <a:p>
          <a:pPr algn="ctr"/>
          <a:r>
            <a:rPr lang="en-US" sz="800" dirty="0"/>
            <a:t>Accept Housing Choice Voucher/other affordable housing</a:t>
          </a:r>
        </a:p>
      </dgm:t>
    </dgm:pt>
    <dgm:pt modelId="{E2799C0B-B6CF-49DF-9096-A9160EA74A4F}" type="parTrans" cxnId="{FFADF58B-4821-461C-A7AB-AD79DD39DB35}">
      <dgm:prSet/>
      <dgm:spPr/>
      <dgm:t>
        <a:bodyPr/>
        <a:lstStyle/>
        <a:p>
          <a:endParaRPr lang="en-US"/>
        </a:p>
      </dgm:t>
    </dgm:pt>
    <dgm:pt modelId="{1D1E23BC-7F54-4C1D-ACAA-94F820D2A7E9}" type="sibTrans" cxnId="{FFADF58B-4821-461C-A7AB-AD79DD39DB35}">
      <dgm:prSet/>
      <dgm:spPr/>
      <dgm:t>
        <a:bodyPr/>
        <a:lstStyle/>
        <a:p>
          <a:endParaRPr lang="en-US"/>
        </a:p>
      </dgm:t>
    </dgm:pt>
    <dgm:pt modelId="{6D6DAFCF-2C99-41E5-9CE6-B8C76D6850D6}">
      <dgm:prSet phldrT="[Text]" custT="1"/>
      <dgm:spPr/>
      <dgm:t>
        <a:bodyPr/>
        <a:lstStyle/>
        <a:p>
          <a:pPr algn="ctr"/>
          <a:r>
            <a:rPr lang="en-US" sz="800" dirty="0"/>
            <a:t>Service ends/service outcome recorded</a:t>
          </a:r>
        </a:p>
      </dgm:t>
    </dgm:pt>
    <dgm:pt modelId="{7CF7F01B-7B71-49A1-8DE8-8D3207C912E4}" type="parTrans" cxnId="{9F8C9A65-A83E-411F-8E45-B68ECB66DA76}">
      <dgm:prSet/>
      <dgm:spPr/>
      <dgm:t>
        <a:bodyPr/>
        <a:lstStyle/>
        <a:p>
          <a:endParaRPr lang="en-US"/>
        </a:p>
      </dgm:t>
    </dgm:pt>
    <dgm:pt modelId="{74786D0A-0ACE-4A00-85A0-73098C7F3481}" type="sibTrans" cxnId="{9F8C9A65-A83E-411F-8E45-B68ECB66DA76}">
      <dgm:prSet/>
      <dgm:spPr/>
      <dgm:t>
        <a:bodyPr/>
        <a:lstStyle/>
        <a:p>
          <a:endParaRPr lang="en-US"/>
        </a:p>
      </dgm:t>
    </dgm:pt>
    <dgm:pt modelId="{A5B4C3EC-B341-4D3A-822F-5ACB8475B994}">
      <dgm:prSet phldrT="[Text]" custT="1"/>
      <dgm:spPr/>
      <dgm:t>
        <a:bodyPr/>
        <a:lstStyle/>
        <a:p>
          <a:pPr algn="ctr"/>
          <a:r>
            <a:rPr lang="en-US" sz="800" dirty="0"/>
            <a:t>24-month assistance cap tracking</a:t>
          </a:r>
        </a:p>
      </dgm:t>
    </dgm:pt>
    <dgm:pt modelId="{727226BA-BE76-47EC-A0F1-4992402B30C7}" type="parTrans" cxnId="{A2F0E413-99E7-4972-A50B-53557975F3A4}">
      <dgm:prSet/>
      <dgm:spPr/>
      <dgm:t>
        <a:bodyPr/>
        <a:lstStyle/>
        <a:p>
          <a:endParaRPr lang="en-US"/>
        </a:p>
      </dgm:t>
    </dgm:pt>
    <dgm:pt modelId="{CACA9728-2E63-48C4-AA13-F8534A6B0B41}" type="sibTrans" cxnId="{A2F0E413-99E7-4972-A50B-53557975F3A4}">
      <dgm:prSet/>
      <dgm:spPr/>
      <dgm:t>
        <a:bodyPr/>
        <a:lstStyle/>
        <a:p>
          <a:endParaRPr lang="en-US"/>
        </a:p>
      </dgm:t>
    </dgm:pt>
    <dgm:pt modelId="{8B6C7953-1A4B-4039-8DA8-54CD00D6C7AA}">
      <dgm:prSet phldrT="[Text]" custT="1"/>
      <dgm:spPr/>
      <dgm:t>
        <a:bodyPr/>
        <a:lstStyle/>
        <a:p>
          <a:pPr algn="ctr"/>
          <a:r>
            <a:rPr lang="en-US" sz="800" dirty="0"/>
            <a:t>Obtain documentation of what you pay for and who you pay</a:t>
          </a:r>
        </a:p>
      </dgm:t>
    </dgm:pt>
    <dgm:pt modelId="{76F1A528-D732-4B1F-B513-E7A545846479}" type="parTrans" cxnId="{149EB8AF-4640-4A8D-96A6-B39B391CEBFC}">
      <dgm:prSet/>
      <dgm:spPr/>
      <dgm:t>
        <a:bodyPr/>
        <a:lstStyle/>
        <a:p>
          <a:endParaRPr lang="en-US"/>
        </a:p>
      </dgm:t>
    </dgm:pt>
    <dgm:pt modelId="{38348976-BE55-475B-91F8-F235211B50C0}" type="sibTrans" cxnId="{149EB8AF-4640-4A8D-96A6-B39B391CEBFC}">
      <dgm:prSet/>
      <dgm:spPr/>
      <dgm:t>
        <a:bodyPr/>
        <a:lstStyle/>
        <a:p>
          <a:endParaRPr lang="en-US"/>
        </a:p>
      </dgm:t>
    </dgm:pt>
    <dgm:pt modelId="{CCAF0E25-E57F-4B5D-9EDE-4D5AA8BB70CE}">
      <dgm:prSet phldrT="[Text]" custT="1"/>
      <dgm:spPr/>
      <dgm:t>
        <a:bodyPr/>
        <a:lstStyle/>
        <a:p>
          <a:pPr algn="ctr"/>
          <a:r>
            <a:rPr lang="en-US" sz="800" dirty="0"/>
            <a:t>Housing Quality Standards Certification</a:t>
          </a:r>
        </a:p>
      </dgm:t>
    </dgm:pt>
    <dgm:pt modelId="{3694176D-F422-4077-AD55-A8335BE4356C}" type="parTrans" cxnId="{6DD77345-54EB-4B2B-832E-BF6212D04DF8}">
      <dgm:prSet/>
      <dgm:spPr/>
      <dgm:t>
        <a:bodyPr/>
        <a:lstStyle/>
        <a:p>
          <a:endParaRPr lang="en-US"/>
        </a:p>
      </dgm:t>
    </dgm:pt>
    <dgm:pt modelId="{E7EFBF97-3EFE-4FF6-BE38-250625B066D6}" type="sibTrans" cxnId="{6DD77345-54EB-4B2B-832E-BF6212D04DF8}">
      <dgm:prSet/>
      <dgm:spPr/>
      <dgm:t>
        <a:bodyPr/>
        <a:lstStyle/>
        <a:p>
          <a:endParaRPr lang="en-US"/>
        </a:p>
      </dgm:t>
    </dgm:pt>
    <dgm:pt modelId="{EA9D367E-F200-4A44-999C-E499B048A244}">
      <dgm:prSet phldrT="[Text]" custT="1"/>
      <dgm:spPr/>
      <dgm:t>
        <a:bodyPr/>
        <a:lstStyle/>
        <a:p>
          <a:pPr algn="ctr"/>
          <a:r>
            <a:rPr lang="en-US" sz="800" dirty="0"/>
            <a:t>Facility-based service starts</a:t>
          </a:r>
        </a:p>
      </dgm:t>
    </dgm:pt>
    <dgm:pt modelId="{1991C06D-CB0B-4934-9A40-A88C9FD830DB}" type="parTrans" cxnId="{1D3897EB-8951-45B6-A228-FF9EEEE12AD2}">
      <dgm:prSet/>
      <dgm:spPr/>
      <dgm:t>
        <a:bodyPr/>
        <a:lstStyle/>
        <a:p>
          <a:endParaRPr lang="en-US"/>
        </a:p>
      </dgm:t>
    </dgm:pt>
    <dgm:pt modelId="{90DB5037-7F49-439A-AE36-FEAEF1299099}" type="sibTrans" cxnId="{1D3897EB-8951-45B6-A228-FF9EEEE12AD2}">
      <dgm:prSet/>
      <dgm:spPr/>
      <dgm:t>
        <a:bodyPr/>
        <a:lstStyle/>
        <a:p>
          <a:endParaRPr lang="en-US"/>
        </a:p>
      </dgm:t>
    </dgm:pt>
    <dgm:pt modelId="{54356B57-D40A-49E1-95CB-D19DA293C623}">
      <dgm:prSet phldrT="[Text]" custT="1"/>
      <dgm:spPr/>
      <dgm:t>
        <a:bodyPr/>
        <a:lstStyle/>
        <a:p>
          <a:pPr algn="ctr"/>
          <a:r>
            <a:rPr lang="en-US" sz="800" dirty="0"/>
            <a:t>Pays necessary minimum costs for temporary shelters (hotels and motels, too)</a:t>
          </a:r>
        </a:p>
      </dgm:t>
    </dgm:pt>
    <dgm:pt modelId="{D03F45BA-404B-4B13-921A-B5E3D0E13567}" type="parTrans" cxnId="{190A16EC-EB5B-44B0-B63F-3AF058790FAF}">
      <dgm:prSet/>
      <dgm:spPr/>
      <dgm:t>
        <a:bodyPr/>
        <a:lstStyle/>
        <a:p>
          <a:endParaRPr lang="en-US"/>
        </a:p>
      </dgm:t>
    </dgm:pt>
    <dgm:pt modelId="{1C88A94A-F0B6-4132-B2F7-EDA92571CEE9}" type="sibTrans" cxnId="{190A16EC-EB5B-44B0-B63F-3AF058790FAF}">
      <dgm:prSet/>
      <dgm:spPr/>
      <dgm:t>
        <a:bodyPr/>
        <a:lstStyle/>
        <a:p>
          <a:endParaRPr lang="en-US"/>
        </a:p>
      </dgm:t>
    </dgm:pt>
    <dgm:pt modelId="{F71633AF-AAE9-4F68-8232-A9077D2580EE}">
      <dgm:prSet phldrT="[Text]" custT="1"/>
      <dgm:spPr/>
      <dgm:t>
        <a:bodyPr/>
        <a:lstStyle/>
        <a:p>
          <a:pPr algn="ctr"/>
          <a:r>
            <a:rPr lang="en-US" sz="800" dirty="0"/>
            <a:t>60-night/6-month assistance cap tracking</a:t>
          </a:r>
        </a:p>
      </dgm:t>
    </dgm:pt>
    <dgm:pt modelId="{E195D411-860A-4544-B9CF-300F4018E180}" type="parTrans" cxnId="{6A8E1D34-73AC-4171-BF71-C70C1CD79001}">
      <dgm:prSet/>
      <dgm:spPr/>
      <dgm:t>
        <a:bodyPr/>
        <a:lstStyle/>
        <a:p>
          <a:endParaRPr lang="en-US"/>
        </a:p>
      </dgm:t>
    </dgm:pt>
    <dgm:pt modelId="{4FC8DF53-5DB3-4D25-8872-4C2FDE465246}" type="sibTrans" cxnId="{6A8E1D34-73AC-4171-BF71-C70C1CD79001}">
      <dgm:prSet/>
      <dgm:spPr/>
      <dgm:t>
        <a:bodyPr/>
        <a:lstStyle/>
        <a:p>
          <a:endParaRPr lang="en-US"/>
        </a:p>
      </dgm:t>
    </dgm:pt>
    <dgm:pt modelId="{C2BA604B-66A6-4A25-8999-7EB34CFD0C1D}">
      <dgm:prSet phldrT="[Text]" custT="1"/>
      <dgm:spPr/>
      <dgm:t>
        <a:bodyPr/>
        <a:lstStyle/>
        <a:p>
          <a:pPr algn="ctr"/>
          <a:r>
            <a:rPr lang="en-US" sz="800" dirty="0"/>
            <a:t>Interim recertification (if necessary)</a:t>
          </a:r>
        </a:p>
      </dgm:t>
    </dgm:pt>
    <dgm:pt modelId="{DD2174E7-A213-480A-8FE7-BCEC8610FE26}" type="parTrans" cxnId="{2DF0D2C3-7C6C-49B3-90FC-80C26C92D4D6}">
      <dgm:prSet/>
      <dgm:spPr/>
      <dgm:t>
        <a:bodyPr/>
        <a:lstStyle/>
        <a:p>
          <a:endParaRPr lang="en-US"/>
        </a:p>
      </dgm:t>
    </dgm:pt>
    <dgm:pt modelId="{5A2921BA-AF83-44CA-B086-38000579128E}" type="sibTrans" cxnId="{2DF0D2C3-7C6C-49B3-90FC-80C26C92D4D6}">
      <dgm:prSet/>
      <dgm:spPr/>
      <dgm:t>
        <a:bodyPr/>
        <a:lstStyle/>
        <a:p>
          <a:endParaRPr lang="en-US"/>
        </a:p>
      </dgm:t>
    </dgm:pt>
    <dgm:pt modelId="{33F50398-40C7-4C6B-8CC9-81226E3DA2C5}">
      <dgm:prSet phldrT="[Text]" custT="1"/>
      <dgm:spPr/>
      <dgm:t>
        <a:bodyPr/>
        <a:lstStyle/>
        <a:p>
          <a:pPr algn="ctr"/>
          <a:r>
            <a:rPr lang="en-US" sz="800" dirty="0"/>
            <a:t>Move to permanant or transitional housing/cap reached</a:t>
          </a:r>
        </a:p>
      </dgm:t>
    </dgm:pt>
    <dgm:pt modelId="{AD0FD8AF-0B29-4F7E-BFE8-6686A88F7DEB}" type="parTrans" cxnId="{CDF877F0-48A7-45D8-AD85-78400E28BC9F}">
      <dgm:prSet/>
      <dgm:spPr/>
      <dgm:t>
        <a:bodyPr/>
        <a:lstStyle/>
        <a:p>
          <a:endParaRPr lang="en-US"/>
        </a:p>
      </dgm:t>
    </dgm:pt>
    <dgm:pt modelId="{F5BA43D8-6E58-4456-AC71-ADAC124CD820}" type="sibTrans" cxnId="{CDF877F0-48A7-45D8-AD85-78400E28BC9F}">
      <dgm:prSet/>
      <dgm:spPr/>
      <dgm:t>
        <a:bodyPr/>
        <a:lstStyle/>
        <a:p>
          <a:endParaRPr lang="en-US"/>
        </a:p>
      </dgm:t>
    </dgm:pt>
    <dgm:pt modelId="{58454D82-80C7-4C8B-AAA0-F90AB111D795}">
      <dgm:prSet phldrT="[Text]" custT="1"/>
      <dgm:spPr/>
      <dgm:t>
        <a:bodyPr/>
        <a:lstStyle/>
        <a:p>
          <a:pPr algn="ctr"/>
          <a:r>
            <a:rPr lang="en-US" sz="800" dirty="0"/>
            <a:t>Service ends/service outcome recorded</a:t>
          </a:r>
        </a:p>
      </dgm:t>
    </dgm:pt>
    <dgm:pt modelId="{A9CECC5A-EDDD-46D5-9362-0C186D0018E8}" type="parTrans" cxnId="{0E3F4398-BD4A-4151-B8CC-9A3815319283}">
      <dgm:prSet/>
      <dgm:spPr/>
      <dgm:t>
        <a:bodyPr/>
        <a:lstStyle/>
        <a:p>
          <a:endParaRPr lang="en-US"/>
        </a:p>
      </dgm:t>
    </dgm:pt>
    <dgm:pt modelId="{0B4207A4-4F90-49CC-95F2-6B8CAC71BD23}" type="sibTrans" cxnId="{0E3F4398-BD4A-4151-B8CC-9A3815319283}">
      <dgm:prSet/>
      <dgm:spPr/>
      <dgm:t>
        <a:bodyPr/>
        <a:lstStyle/>
        <a:p>
          <a:endParaRPr lang="en-US"/>
        </a:p>
      </dgm:t>
    </dgm:pt>
    <dgm:pt modelId="{187581DA-7762-490B-AB0F-BD0F9FFFEB86}" type="pres">
      <dgm:prSet presAssocID="{B1E8F498-0D0B-442A-A951-4D7C1624012A}" presName="Name0" presStyleCnt="0">
        <dgm:presLayoutVars>
          <dgm:dir/>
          <dgm:animLvl val="lvl"/>
          <dgm:resizeHandles val="exact"/>
        </dgm:presLayoutVars>
      </dgm:prSet>
      <dgm:spPr/>
    </dgm:pt>
    <dgm:pt modelId="{BFA91545-77B4-4A20-8920-712223076692}" type="pres">
      <dgm:prSet presAssocID="{F5DEE33B-A2EF-458E-A453-179421EC1E12}" presName="vertFlow" presStyleCnt="0"/>
      <dgm:spPr/>
    </dgm:pt>
    <dgm:pt modelId="{29076BE2-BD08-4E15-8CE9-7DDE33FE6768}" type="pres">
      <dgm:prSet presAssocID="{F5DEE33B-A2EF-458E-A453-179421EC1E12}" presName="header" presStyleLbl="node1" presStyleIdx="0" presStyleCnt="6"/>
      <dgm:spPr/>
    </dgm:pt>
    <dgm:pt modelId="{888C2F89-B251-48F6-89B6-27BDD7DE78FE}" type="pres">
      <dgm:prSet presAssocID="{0D66C2E1-CD47-41C5-87AD-69ED1061D91E}" presName="parTrans" presStyleLbl="sibTrans2D1" presStyleIdx="0" presStyleCnt="53"/>
      <dgm:spPr/>
    </dgm:pt>
    <dgm:pt modelId="{95FD9120-E8BC-4234-8BAC-F6D998F7771B}" type="pres">
      <dgm:prSet presAssocID="{331A0F3E-813A-4C46-8AB3-F3E08999D631}" presName="child" presStyleLbl="alignAccFollowNode1" presStyleIdx="0" presStyleCnt="53">
        <dgm:presLayoutVars>
          <dgm:chMax val="0"/>
          <dgm:bulletEnabled val="1"/>
        </dgm:presLayoutVars>
      </dgm:prSet>
      <dgm:spPr/>
    </dgm:pt>
    <dgm:pt modelId="{3F885AE3-488F-419D-80B8-C9EC1D407F8C}" type="pres">
      <dgm:prSet presAssocID="{7C902DFE-9CA5-40C3-A3B2-6A43F6798A4E}" presName="sibTrans" presStyleLbl="sibTrans2D1" presStyleIdx="1" presStyleCnt="53"/>
      <dgm:spPr/>
    </dgm:pt>
    <dgm:pt modelId="{DFAE3C3A-F3DA-409E-BDC8-AD6CCD4F9901}" type="pres">
      <dgm:prSet presAssocID="{028E8847-8B02-478A-AF78-0A3247E18071}" presName="child" presStyleLbl="alignAccFollowNode1" presStyleIdx="1" presStyleCnt="53">
        <dgm:presLayoutVars>
          <dgm:chMax val="0"/>
          <dgm:bulletEnabled val="1"/>
        </dgm:presLayoutVars>
      </dgm:prSet>
      <dgm:spPr/>
    </dgm:pt>
    <dgm:pt modelId="{37A04532-842B-45A5-AA01-142523E883EC}" type="pres">
      <dgm:prSet presAssocID="{063D1CFF-A048-4559-8DE7-9CE7A75EA101}" presName="sibTrans" presStyleLbl="sibTrans2D1" presStyleIdx="2" presStyleCnt="53"/>
      <dgm:spPr/>
    </dgm:pt>
    <dgm:pt modelId="{49DD8DD2-CAC1-4198-BA90-AAEB5E24AF7C}" type="pres">
      <dgm:prSet presAssocID="{4010AAD0-0C8A-4E19-A44D-9B3CC654E876}" presName="child" presStyleLbl="alignAccFollowNode1" presStyleIdx="2" presStyleCnt="53">
        <dgm:presLayoutVars>
          <dgm:chMax val="0"/>
          <dgm:bulletEnabled val="1"/>
        </dgm:presLayoutVars>
      </dgm:prSet>
      <dgm:spPr/>
    </dgm:pt>
    <dgm:pt modelId="{6D2F8A3F-23ED-4719-8730-63F21B50B179}" type="pres">
      <dgm:prSet presAssocID="{C23B7FDB-3324-49C6-9421-4586B04F5C27}" presName="sibTrans" presStyleLbl="sibTrans2D1" presStyleIdx="3" presStyleCnt="53"/>
      <dgm:spPr/>
    </dgm:pt>
    <dgm:pt modelId="{E874195F-51CF-4EBD-AD2C-D314EA0A81B3}" type="pres">
      <dgm:prSet presAssocID="{96AF2DC5-DDAA-415A-9011-57D65F75513D}" presName="child" presStyleLbl="alignAccFollowNode1" presStyleIdx="3" presStyleCnt="53">
        <dgm:presLayoutVars>
          <dgm:chMax val="0"/>
          <dgm:bulletEnabled val="1"/>
        </dgm:presLayoutVars>
      </dgm:prSet>
      <dgm:spPr/>
    </dgm:pt>
    <dgm:pt modelId="{4CACD1A7-A914-4475-A0CF-17B3720FF29D}" type="pres">
      <dgm:prSet presAssocID="{95C898E4-7912-4248-BA5C-973BB3BFF4D8}" presName="sibTrans" presStyleLbl="sibTrans2D1" presStyleIdx="4" presStyleCnt="53"/>
      <dgm:spPr/>
    </dgm:pt>
    <dgm:pt modelId="{057F6BA2-BE6B-4A1B-95A5-DAFCEF4DA5E5}" type="pres">
      <dgm:prSet presAssocID="{E5477D11-6DEE-4B07-A2EC-E37D2385042C}" presName="child" presStyleLbl="alignAccFollowNode1" presStyleIdx="4" presStyleCnt="53">
        <dgm:presLayoutVars>
          <dgm:chMax val="0"/>
          <dgm:bulletEnabled val="1"/>
        </dgm:presLayoutVars>
      </dgm:prSet>
      <dgm:spPr/>
    </dgm:pt>
    <dgm:pt modelId="{73AB737E-5E2B-42A7-BCE8-418D03BDB19A}" type="pres">
      <dgm:prSet presAssocID="{7E5C75F6-C486-4980-B37D-459D5D37F6B0}" presName="sibTrans" presStyleLbl="sibTrans2D1" presStyleIdx="5" presStyleCnt="53"/>
      <dgm:spPr/>
    </dgm:pt>
    <dgm:pt modelId="{AED15A31-2A6F-4851-AD2B-008B39B3626A}" type="pres">
      <dgm:prSet presAssocID="{B74C45F9-6521-4EB3-B6A7-33C4811A1224}" presName="child" presStyleLbl="alignAccFollowNode1" presStyleIdx="5" presStyleCnt="53">
        <dgm:presLayoutVars>
          <dgm:chMax val="0"/>
          <dgm:bulletEnabled val="1"/>
        </dgm:presLayoutVars>
      </dgm:prSet>
      <dgm:spPr/>
    </dgm:pt>
    <dgm:pt modelId="{2A23F210-3D52-4FF0-A1DF-09D2840C17AD}" type="pres">
      <dgm:prSet presAssocID="{DDD74B13-CF51-45F3-9A4A-3CC9FB05A47A}" presName="sibTrans" presStyleLbl="sibTrans2D1" presStyleIdx="6" presStyleCnt="53"/>
      <dgm:spPr/>
    </dgm:pt>
    <dgm:pt modelId="{D9C41CEE-2F95-4B3A-8CD9-2A34D320ED90}" type="pres">
      <dgm:prSet presAssocID="{9DA6403B-45CC-4ACD-84E7-B3CD559E5BF3}" presName="child" presStyleLbl="alignAccFollowNode1" presStyleIdx="6" presStyleCnt="53">
        <dgm:presLayoutVars>
          <dgm:chMax val="0"/>
          <dgm:bulletEnabled val="1"/>
        </dgm:presLayoutVars>
      </dgm:prSet>
      <dgm:spPr/>
    </dgm:pt>
    <dgm:pt modelId="{77067563-5465-4465-9DD8-F602876BA92A}" type="pres">
      <dgm:prSet presAssocID="{096996C8-D5AE-48E5-951B-C066130AB1C8}" presName="sibTrans" presStyleLbl="sibTrans2D1" presStyleIdx="7" presStyleCnt="53"/>
      <dgm:spPr/>
    </dgm:pt>
    <dgm:pt modelId="{6E76190F-18E5-43C4-8257-B13F24180393}" type="pres">
      <dgm:prSet presAssocID="{7633D330-4C98-4FEB-A85E-6E9676E81260}" presName="child" presStyleLbl="alignAccFollowNode1" presStyleIdx="7" presStyleCnt="53">
        <dgm:presLayoutVars>
          <dgm:chMax val="0"/>
          <dgm:bulletEnabled val="1"/>
        </dgm:presLayoutVars>
      </dgm:prSet>
      <dgm:spPr/>
    </dgm:pt>
    <dgm:pt modelId="{2970F71B-B0D4-49A7-8631-F1339E4692BF}" type="pres">
      <dgm:prSet presAssocID="{7DADB3EF-07CA-4BBC-B55D-C537BC045020}" presName="sibTrans" presStyleLbl="sibTrans2D1" presStyleIdx="8" presStyleCnt="53"/>
      <dgm:spPr/>
    </dgm:pt>
    <dgm:pt modelId="{D686A98D-89B9-479D-985F-CA0A713D705F}" type="pres">
      <dgm:prSet presAssocID="{9EFD9B21-335E-4B2D-9908-7B74E0001BE3}" presName="child" presStyleLbl="alignAccFollowNode1" presStyleIdx="8" presStyleCnt="53">
        <dgm:presLayoutVars>
          <dgm:chMax val="0"/>
          <dgm:bulletEnabled val="1"/>
        </dgm:presLayoutVars>
      </dgm:prSet>
      <dgm:spPr/>
    </dgm:pt>
    <dgm:pt modelId="{88779DD0-692F-4205-A19B-22481ECE4C3F}" type="pres">
      <dgm:prSet presAssocID="{99F415F0-002A-45D1-9FE3-2385F3E35B20}" presName="sibTrans" presStyleLbl="sibTrans2D1" presStyleIdx="9" presStyleCnt="53"/>
      <dgm:spPr/>
    </dgm:pt>
    <dgm:pt modelId="{50088D42-1F7E-4CFF-ABEA-56B82F376267}" type="pres">
      <dgm:prSet presAssocID="{C62D9145-ED1C-4F8F-998C-708F8BEEBEBA}" presName="child" presStyleLbl="alignAccFollowNode1" presStyleIdx="9" presStyleCnt="53">
        <dgm:presLayoutVars>
          <dgm:chMax val="0"/>
          <dgm:bulletEnabled val="1"/>
        </dgm:presLayoutVars>
      </dgm:prSet>
      <dgm:spPr/>
    </dgm:pt>
    <dgm:pt modelId="{E494DF61-E685-4321-992A-379C291BB7B1}" type="pres">
      <dgm:prSet presAssocID="{F5DEE33B-A2EF-458E-A453-179421EC1E12}" presName="hSp" presStyleCnt="0"/>
      <dgm:spPr/>
    </dgm:pt>
    <dgm:pt modelId="{182C83EA-C416-4B56-8C4D-CFCE5D7D32F0}" type="pres">
      <dgm:prSet presAssocID="{5891282D-7DAF-4409-BF48-8C118269BADE}" presName="vertFlow" presStyleCnt="0"/>
      <dgm:spPr/>
    </dgm:pt>
    <dgm:pt modelId="{E8C34120-2B6F-4573-B22F-30F91B164BEF}" type="pres">
      <dgm:prSet presAssocID="{5891282D-7DAF-4409-BF48-8C118269BADE}" presName="header" presStyleLbl="node1" presStyleIdx="1" presStyleCnt="6"/>
      <dgm:spPr/>
    </dgm:pt>
    <dgm:pt modelId="{E43310B2-8C28-4A37-82A7-F2FCA869006E}" type="pres">
      <dgm:prSet presAssocID="{AE2966D5-50DB-4297-9B42-D90EF1B8E0FF}" presName="parTrans" presStyleLbl="sibTrans2D1" presStyleIdx="10" presStyleCnt="53"/>
      <dgm:spPr/>
    </dgm:pt>
    <dgm:pt modelId="{06F383A0-B142-4AB2-AC2D-1B7BA4C4647D}" type="pres">
      <dgm:prSet presAssocID="{257FD0CC-2094-4C0C-90D0-7AB676A6FFF9}" presName="child" presStyleLbl="alignAccFollowNode1" presStyleIdx="10" presStyleCnt="53">
        <dgm:presLayoutVars>
          <dgm:chMax val="0"/>
          <dgm:bulletEnabled val="1"/>
        </dgm:presLayoutVars>
      </dgm:prSet>
      <dgm:spPr/>
    </dgm:pt>
    <dgm:pt modelId="{98387A0B-5ACD-4D3B-95C1-F2AB40ECEF48}" type="pres">
      <dgm:prSet presAssocID="{64B7AA5B-7C21-4DAA-BA8B-F0EA3C918D70}" presName="sibTrans" presStyleLbl="sibTrans2D1" presStyleIdx="11" presStyleCnt="53"/>
      <dgm:spPr/>
    </dgm:pt>
    <dgm:pt modelId="{2D6F8B99-5544-4716-9C01-0DC8E4C91354}" type="pres">
      <dgm:prSet presAssocID="{51CEC828-66FE-4A7C-A6C4-5682336E2E57}" presName="child" presStyleLbl="alignAccFollowNode1" presStyleIdx="11" presStyleCnt="53">
        <dgm:presLayoutVars>
          <dgm:chMax val="0"/>
          <dgm:bulletEnabled val="1"/>
        </dgm:presLayoutVars>
      </dgm:prSet>
      <dgm:spPr/>
    </dgm:pt>
    <dgm:pt modelId="{B87B90F0-78A2-4340-8BD1-B7D9DFB0024F}" type="pres">
      <dgm:prSet presAssocID="{8B56D27C-6961-4FA6-98C2-5FA0F9F4562E}" presName="sibTrans" presStyleLbl="sibTrans2D1" presStyleIdx="12" presStyleCnt="53"/>
      <dgm:spPr/>
    </dgm:pt>
    <dgm:pt modelId="{A73D1E5F-EE7C-4CF2-B1C0-1F140083B4A5}" type="pres">
      <dgm:prSet presAssocID="{2AE38D7E-CA0A-42F6-A975-54B23633AB8F}" presName="child" presStyleLbl="alignAccFollowNode1" presStyleIdx="12" presStyleCnt="53">
        <dgm:presLayoutVars>
          <dgm:chMax val="0"/>
          <dgm:bulletEnabled val="1"/>
        </dgm:presLayoutVars>
      </dgm:prSet>
      <dgm:spPr/>
    </dgm:pt>
    <dgm:pt modelId="{ECA0D186-6A7F-4357-92C8-3EBC48009F68}" type="pres">
      <dgm:prSet presAssocID="{BE2AA24A-A347-4C81-836D-7162B377B7E7}" presName="sibTrans" presStyleLbl="sibTrans2D1" presStyleIdx="13" presStyleCnt="53"/>
      <dgm:spPr/>
    </dgm:pt>
    <dgm:pt modelId="{DB110899-F697-48BE-8E33-C90D1451C949}" type="pres">
      <dgm:prSet presAssocID="{358F8D62-827B-4E08-A946-0EAEB763AAA6}" presName="child" presStyleLbl="alignAccFollowNode1" presStyleIdx="13" presStyleCnt="53">
        <dgm:presLayoutVars>
          <dgm:chMax val="0"/>
          <dgm:bulletEnabled val="1"/>
        </dgm:presLayoutVars>
      </dgm:prSet>
      <dgm:spPr/>
    </dgm:pt>
    <dgm:pt modelId="{6DDE7DE8-E78C-41DB-B21D-34DA5B96A4D4}" type="pres">
      <dgm:prSet presAssocID="{840954EE-85E6-4DB8-BA45-E26DD884822D}" presName="sibTrans" presStyleLbl="sibTrans2D1" presStyleIdx="14" presStyleCnt="53"/>
      <dgm:spPr/>
    </dgm:pt>
    <dgm:pt modelId="{5D7234AE-1EFE-4C72-BEFC-0D9878421BD1}" type="pres">
      <dgm:prSet presAssocID="{B2CA66E9-7A51-48B6-9ED9-C046BBDACE75}" presName="child" presStyleLbl="alignAccFollowNode1" presStyleIdx="14" presStyleCnt="53">
        <dgm:presLayoutVars>
          <dgm:chMax val="0"/>
          <dgm:bulletEnabled val="1"/>
        </dgm:presLayoutVars>
      </dgm:prSet>
      <dgm:spPr/>
    </dgm:pt>
    <dgm:pt modelId="{7217A355-3723-4054-B048-673337F62983}" type="pres">
      <dgm:prSet presAssocID="{B8C598C9-5D8F-453A-9772-08EC704E932D}" presName="sibTrans" presStyleLbl="sibTrans2D1" presStyleIdx="15" presStyleCnt="53"/>
      <dgm:spPr/>
    </dgm:pt>
    <dgm:pt modelId="{2E91BF79-3ADE-4A29-8007-6D2FA522D88F}" type="pres">
      <dgm:prSet presAssocID="{4C7259D1-98B4-47FE-AD33-74D8F26F6A30}" presName="child" presStyleLbl="alignAccFollowNode1" presStyleIdx="15" presStyleCnt="53">
        <dgm:presLayoutVars>
          <dgm:chMax val="0"/>
          <dgm:bulletEnabled val="1"/>
        </dgm:presLayoutVars>
      </dgm:prSet>
      <dgm:spPr/>
    </dgm:pt>
    <dgm:pt modelId="{7C1942C5-49F6-40C8-9D2D-3E173FE3C69E}" type="pres">
      <dgm:prSet presAssocID="{1ACED670-CABE-4901-8EEA-71C2FC9A973D}" presName="sibTrans" presStyleLbl="sibTrans2D1" presStyleIdx="16" presStyleCnt="53"/>
      <dgm:spPr/>
    </dgm:pt>
    <dgm:pt modelId="{969B91B2-5E91-4063-90B8-F700832C7B1B}" type="pres">
      <dgm:prSet presAssocID="{C8511575-CAD2-478D-AE23-AD9A6DB288D7}" presName="child" presStyleLbl="alignAccFollowNode1" presStyleIdx="16" presStyleCnt="53">
        <dgm:presLayoutVars>
          <dgm:chMax val="0"/>
          <dgm:bulletEnabled val="1"/>
        </dgm:presLayoutVars>
      </dgm:prSet>
      <dgm:spPr/>
    </dgm:pt>
    <dgm:pt modelId="{2986B49E-E97F-4CC1-A748-E2CAAA5EF16C}" type="pres">
      <dgm:prSet presAssocID="{45886A70-0D23-4366-9CC7-51A5F435098C}" presName="sibTrans" presStyleLbl="sibTrans2D1" presStyleIdx="17" presStyleCnt="53"/>
      <dgm:spPr/>
    </dgm:pt>
    <dgm:pt modelId="{AF9D4FB4-3491-4731-8315-2A9A050CE858}" type="pres">
      <dgm:prSet presAssocID="{30463371-B4A1-46F2-A385-9510BDF74762}" presName="child" presStyleLbl="alignAccFollowNode1" presStyleIdx="17" presStyleCnt="53">
        <dgm:presLayoutVars>
          <dgm:chMax val="0"/>
          <dgm:bulletEnabled val="1"/>
        </dgm:presLayoutVars>
      </dgm:prSet>
      <dgm:spPr/>
    </dgm:pt>
    <dgm:pt modelId="{6D4AB249-5DB8-4EC1-BA0E-F51276DC7FF3}" type="pres">
      <dgm:prSet presAssocID="{D9D76D0F-0E4C-403F-B106-BDC170E1A3FF}" presName="sibTrans" presStyleLbl="sibTrans2D1" presStyleIdx="18" presStyleCnt="53"/>
      <dgm:spPr/>
    </dgm:pt>
    <dgm:pt modelId="{8F8F640A-0B82-4411-9C5A-C08BBF63A125}" type="pres">
      <dgm:prSet presAssocID="{B009A43B-1F2C-4366-93DB-C2C7C2352679}" presName="child" presStyleLbl="alignAccFollowNode1" presStyleIdx="18" presStyleCnt="53">
        <dgm:presLayoutVars>
          <dgm:chMax val="0"/>
          <dgm:bulletEnabled val="1"/>
        </dgm:presLayoutVars>
      </dgm:prSet>
      <dgm:spPr/>
    </dgm:pt>
    <dgm:pt modelId="{785BB8B0-54D1-42AC-A64B-D6ADD4C38E82}" type="pres">
      <dgm:prSet presAssocID="{765C8B18-D0D2-42D8-9B8E-68EA0C5555B2}" presName="sibTrans" presStyleLbl="sibTrans2D1" presStyleIdx="19" presStyleCnt="53"/>
      <dgm:spPr/>
    </dgm:pt>
    <dgm:pt modelId="{05FA1963-B043-4381-B4ED-FA948B592FE5}" type="pres">
      <dgm:prSet presAssocID="{6645D17C-6C61-425A-A8A6-B200FB548A9B}" presName="child" presStyleLbl="alignAccFollowNode1" presStyleIdx="19" presStyleCnt="53">
        <dgm:presLayoutVars>
          <dgm:chMax val="0"/>
          <dgm:bulletEnabled val="1"/>
        </dgm:presLayoutVars>
      </dgm:prSet>
      <dgm:spPr/>
    </dgm:pt>
    <dgm:pt modelId="{70F72910-49A3-4B6D-91D0-D81532F0F8D6}" type="pres">
      <dgm:prSet presAssocID="{5891282D-7DAF-4409-BF48-8C118269BADE}" presName="hSp" presStyleCnt="0"/>
      <dgm:spPr/>
    </dgm:pt>
    <dgm:pt modelId="{4E904948-C895-4086-AA6E-9394C02809AA}" type="pres">
      <dgm:prSet presAssocID="{96DDC1EE-2F29-4750-8CF8-3C87F9098F21}" presName="vertFlow" presStyleCnt="0"/>
      <dgm:spPr/>
    </dgm:pt>
    <dgm:pt modelId="{2F4E7FB7-2633-4947-9C36-A74D948B828B}" type="pres">
      <dgm:prSet presAssocID="{96DDC1EE-2F29-4750-8CF8-3C87F9098F21}" presName="header" presStyleLbl="node1" presStyleIdx="2" presStyleCnt="6"/>
      <dgm:spPr/>
    </dgm:pt>
    <dgm:pt modelId="{EB1C4B11-9E45-4240-AD9F-ACB486314246}" type="pres">
      <dgm:prSet presAssocID="{E0C896D4-113C-440B-B2FF-A46B5FE5A156}" presName="parTrans" presStyleLbl="sibTrans2D1" presStyleIdx="20" presStyleCnt="53"/>
      <dgm:spPr/>
    </dgm:pt>
    <dgm:pt modelId="{AAE2EFCD-9052-4160-81DD-57A5652000FE}" type="pres">
      <dgm:prSet presAssocID="{2AE8792B-C169-4FC2-859B-80ED1B9517F4}" presName="child" presStyleLbl="alignAccFollowNode1" presStyleIdx="20" presStyleCnt="53">
        <dgm:presLayoutVars>
          <dgm:chMax val="0"/>
          <dgm:bulletEnabled val="1"/>
        </dgm:presLayoutVars>
      </dgm:prSet>
      <dgm:spPr/>
    </dgm:pt>
    <dgm:pt modelId="{C12E52ED-237B-4E96-ADD5-A71637920382}" type="pres">
      <dgm:prSet presAssocID="{4C17C88E-7B5D-476D-8C8D-932CEE3F0D0E}" presName="sibTrans" presStyleLbl="sibTrans2D1" presStyleIdx="21" presStyleCnt="53"/>
      <dgm:spPr/>
    </dgm:pt>
    <dgm:pt modelId="{A2BC31C6-314B-4FF4-9633-C16E2C8EB610}" type="pres">
      <dgm:prSet presAssocID="{8B6C7953-1A4B-4039-8DA8-54CD00D6C7AA}" presName="child" presStyleLbl="alignAccFollowNode1" presStyleIdx="21" presStyleCnt="53">
        <dgm:presLayoutVars>
          <dgm:chMax val="0"/>
          <dgm:bulletEnabled val="1"/>
        </dgm:presLayoutVars>
      </dgm:prSet>
      <dgm:spPr/>
    </dgm:pt>
    <dgm:pt modelId="{3AAE5CCD-7449-4BE6-AF92-4882A45137C7}" type="pres">
      <dgm:prSet presAssocID="{38348976-BE55-475B-91F8-F235211B50C0}" presName="sibTrans" presStyleLbl="sibTrans2D1" presStyleIdx="22" presStyleCnt="53"/>
      <dgm:spPr/>
    </dgm:pt>
    <dgm:pt modelId="{96DFD2A5-3494-48D5-A5E6-A03EB3D2FCE8}" type="pres">
      <dgm:prSet presAssocID="{CCAF0E25-E57F-4B5D-9EDE-4D5AA8BB70CE}" presName="child" presStyleLbl="alignAccFollowNode1" presStyleIdx="22" presStyleCnt="53">
        <dgm:presLayoutVars>
          <dgm:chMax val="0"/>
          <dgm:bulletEnabled val="1"/>
        </dgm:presLayoutVars>
      </dgm:prSet>
      <dgm:spPr/>
    </dgm:pt>
    <dgm:pt modelId="{9DE48C3E-48C2-4EC0-9E0C-99453B1FB0A0}" type="pres">
      <dgm:prSet presAssocID="{E7EFBF97-3EFE-4FF6-BE38-250625B066D6}" presName="sibTrans" presStyleLbl="sibTrans2D1" presStyleIdx="23" presStyleCnt="53"/>
      <dgm:spPr/>
    </dgm:pt>
    <dgm:pt modelId="{04AAF844-E4EF-474D-98B8-B254E6034D01}" type="pres">
      <dgm:prSet presAssocID="{EA9D367E-F200-4A44-999C-E499B048A244}" presName="child" presStyleLbl="alignAccFollowNode1" presStyleIdx="23" presStyleCnt="53">
        <dgm:presLayoutVars>
          <dgm:chMax val="0"/>
          <dgm:bulletEnabled val="1"/>
        </dgm:presLayoutVars>
      </dgm:prSet>
      <dgm:spPr/>
    </dgm:pt>
    <dgm:pt modelId="{58CA5060-BF88-49F5-8282-C6038377A21D}" type="pres">
      <dgm:prSet presAssocID="{90DB5037-7F49-439A-AE36-FEAEF1299099}" presName="sibTrans" presStyleLbl="sibTrans2D1" presStyleIdx="24" presStyleCnt="53"/>
      <dgm:spPr/>
    </dgm:pt>
    <dgm:pt modelId="{3D88EFA0-331E-4E7A-8B61-D7D969AC3E86}" type="pres">
      <dgm:prSet presAssocID="{54356B57-D40A-49E1-95CB-D19DA293C623}" presName="child" presStyleLbl="alignAccFollowNode1" presStyleIdx="24" presStyleCnt="53">
        <dgm:presLayoutVars>
          <dgm:chMax val="0"/>
          <dgm:bulletEnabled val="1"/>
        </dgm:presLayoutVars>
      </dgm:prSet>
      <dgm:spPr/>
    </dgm:pt>
    <dgm:pt modelId="{59D0B201-C26F-44D9-A1CA-ED4C9AA02860}" type="pres">
      <dgm:prSet presAssocID="{1C88A94A-F0B6-4132-B2F7-EDA92571CEE9}" presName="sibTrans" presStyleLbl="sibTrans2D1" presStyleIdx="25" presStyleCnt="53"/>
      <dgm:spPr/>
    </dgm:pt>
    <dgm:pt modelId="{7C54FCBA-F2C3-43A7-B753-3741C0A54533}" type="pres">
      <dgm:prSet presAssocID="{F71633AF-AAE9-4F68-8232-A9077D2580EE}" presName="child" presStyleLbl="alignAccFollowNode1" presStyleIdx="25" presStyleCnt="53">
        <dgm:presLayoutVars>
          <dgm:chMax val="0"/>
          <dgm:bulletEnabled val="1"/>
        </dgm:presLayoutVars>
      </dgm:prSet>
      <dgm:spPr/>
    </dgm:pt>
    <dgm:pt modelId="{3CE1F68B-A08F-4B55-8708-8D640AD33A9E}" type="pres">
      <dgm:prSet presAssocID="{4FC8DF53-5DB3-4D25-8872-4C2FDE465246}" presName="sibTrans" presStyleLbl="sibTrans2D1" presStyleIdx="26" presStyleCnt="53"/>
      <dgm:spPr/>
    </dgm:pt>
    <dgm:pt modelId="{2DD34D39-495B-4B4E-B5F2-BC3F31F17C0B}" type="pres">
      <dgm:prSet presAssocID="{C2BA604B-66A6-4A25-8999-7EB34CFD0C1D}" presName="child" presStyleLbl="alignAccFollowNode1" presStyleIdx="26" presStyleCnt="53">
        <dgm:presLayoutVars>
          <dgm:chMax val="0"/>
          <dgm:bulletEnabled val="1"/>
        </dgm:presLayoutVars>
      </dgm:prSet>
      <dgm:spPr/>
    </dgm:pt>
    <dgm:pt modelId="{73EE3876-10DC-4864-950F-8429A89DA1DC}" type="pres">
      <dgm:prSet presAssocID="{5A2921BA-AF83-44CA-B086-38000579128E}" presName="sibTrans" presStyleLbl="sibTrans2D1" presStyleIdx="27" presStyleCnt="53"/>
      <dgm:spPr/>
    </dgm:pt>
    <dgm:pt modelId="{FB1C8E10-7F64-4B41-A4BC-F63A75FDF50A}" type="pres">
      <dgm:prSet presAssocID="{33F50398-40C7-4C6B-8CC9-81226E3DA2C5}" presName="child" presStyleLbl="alignAccFollowNode1" presStyleIdx="27" presStyleCnt="53">
        <dgm:presLayoutVars>
          <dgm:chMax val="0"/>
          <dgm:bulletEnabled val="1"/>
        </dgm:presLayoutVars>
      </dgm:prSet>
      <dgm:spPr/>
    </dgm:pt>
    <dgm:pt modelId="{F8CB4582-DE61-4CBE-8E7C-E39C293B5252}" type="pres">
      <dgm:prSet presAssocID="{F5BA43D8-6E58-4456-AC71-ADAC124CD820}" presName="sibTrans" presStyleLbl="sibTrans2D1" presStyleIdx="28" presStyleCnt="53"/>
      <dgm:spPr/>
    </dgm:pt>
    <dgm:pt modelId="{2AE99AF9-6243-4762-B22A-7F394B19F736}" type="pres">
      <dgm:prSet presAssocID="{58454D82-80C7-4C8B-AAA0-F90AB111D795}" presName="child" presStyleLbl="alignAccFollowNode1" presStyleIdx="28" presStyleCnt="53">
        <dgm:presLayoutVars>
          <dgm:chMax val="0"/>
          <dgm:bulletEnabled val="1"/>
        </dgm:presLayoutVars>
      </dgm:prSet>
      <dgm:spPr/>
    </dgm:pt>
    <dgm:pt modelId="{5FCF06C2-4F3F-446A-9948-2CC49BC95B4B}" type="pres">
      <dgm:prSet presAssocID="{96DDC1EE-2F29-4750-8CF8-3C87F9098F21}" presName="hSp" presStyleCnt="0"/>
      <dgm:spPr/>
    </dgm:pt>
    <dgm:pt modelId="{19DC1D10-FE83-4150-88A7-6F9308FBD2B4}" type="pres">
      <dgm:prSet presAssocID="{4901AB79-DE82-473F-8979-974C30D4BD28}" presName="vertFlow" presStyleCnt="0"/>
      <dgm:spPr/>
    </dgm:pt>
    <dgm:pt modelId="{7C6C1422-E441-44F3-8FE8-A6FDF0C25563}" type="pres">
      <dgm:prSet presAssocID="{4901AB79-DE82-473F-8979-974C30D4BD28}" presName="header" presStyleLbl="node1" presStyleIdx="3" presStyleCnt="6"/>
      <dgm:spPr/>
    </dgm:pt>
    <dgm:pt modelId="{BB999CA9-5CA5-47CC-A7A9-B76892CA5D46}" type="pres">
      <dgm:prSet presAssocID="{5C0BF541-7DF8-4DAC-8BD7-91049CE61D4D}" presName="parTrans" presStyleLbl="sibTrans2D1" presStyleIdx="29" presStyleCnt="53"/>
      <dgm:spPr/>
    </dgm:pt>
    <dgm:pt modelId="{04E349DE-A296-4797-A231-013758126630}" type="pres">
      <dgm:prSet presAssocID="{4DE585C3-D624-4D6B-965D-B1E708DA3F61}" presName="child" presStyleLbl="alignAccFollowNode1" presStyleIdx="29" presStyleCnt="53">
        <dgm:presLayoutVars>
          <dgm:chMax val="0"/>
          <dgm:bulletEnabled val="1"/>
        </dgm:presLayoutVars>
      </dgm:prSet>
      <dgm:spPr/>
    </dgm:pt>
    <dgm:pt modelId="{E5AAB9E5-0A90-4F73-AEF4-7BC94D23B370}" type="pres">
      <dgm:prSet presAssocID="{868CF8FB-21EB-4C84-8A1B-3CF155D0E297}" presName="sibTrans" presStyleLbl="sibTrans2D1" presStyleIdx="30" presStyleCnt="53"/>
      <dgm:spPr/>
    </dgm:pt>
    <dgm:pt modelId="{A24D25B9-C7DA-460F-AD45-CFE3129316C4}" type="pres">
      <dgm:prSet presAssocID="{20BC0861-7DE7-4269-A065-06B8EAE46FF1}" presName="child" presStyleLbl="alignAccFollowNode1" presStyleIdx="30" presStyleCnt="53">
        <dgm:presLayoutVars>
          <dgm:chMax val="0"/>
          <dgm:bulletEnabled val="1"/>
        </dgm:presLayoutVars>
      </dgm:prSet>
      <dgm:spPr/>
    </dgm:pt>
    <dgm:pt modelId="{91E25D24-1269-41B8-A83A-1A4F5A0D0A20}" type="pres">
      <dgm:prSet presAssocID="{9F711D50-EA8C-4344-8558-65DDD2E8D2A2}" presName="sibTrans" presStyleLbl="sibTrans2D1" presStyleIdx="31" presStyleCnt="53"/>
      <dgm:spPr/>
    </dgm:pt>
    <dgm:pt modelId="{11C70C5D-BF0E-4C10-B597-90985C47B597}" type="pres">
      <dgm:prSet presAssocID="{42043DA4-6594-4066-9411-C3FE6D7E1634}" presName="child" presStyleLbl="alignAccFollowNode1" presStyleIdx="31" presStyleCnt="53">
        <dgm:presLayoutVars>
          <dgm:chMax val="0"/>
          <dgm:bulletEnabled val="1"/>
        </dgm:presLayoutVars>
      </dgm:prSet>
      <dgm:spPr/>
    </dgm:pt>
    <dgm:pt modelId="{6A269856-1768-49E5-8AB3-5FA613D8CD56}" type="pres">
      <dgm:prSet presAssocID="{64A74406-6CB7-45F2-8695-CFF68CBADD39}" presName="sibTrans" presStyleLbl="sibTrans2D1" presStyleIdx="32" presStyleCnt="53"/>
      <dgm:spPr/>
    </dgm:pt>
    <dgm:pt modelId="{C8D7292A-8024-491D-971F-757429D2E2FB}" type="pres">
      <dgm:prSet presAssocID="{A9C3C88C-5AA3-4EE0-921A-3B40CB9B2CEE}" presName="child" presStyleLbl="alignAccFollowNode1" presStyleIdx="32" presStyleCnt="53">
        <dgm:presLayoutVars>
          <dgm:chMax val="0"/>
          <dgm:bulletEnabled val="1"/>
        </dgm:presLayoutVars>
      </dgm:prSet>
      <dgm:spPr/>
    </dgm:pt>
    <dgm:pt modelId="{ABE699A6-CB5D-494A-80A9-31B8810F2685}" type="pres">
      <dgm:prSet presAssocID="{9724C280-6D3C-4BEC-86F4-28619E5FF2DB}" presName="sibTrans" presStyleLbl="sibTrans2D1" presStyleIdx="33" presStyleCnt="53"/>
      <dgm:spPr/>
    </dgm:pt>
    <dgm:pt modelId="{50C46E5B-FF0D-44DD-AC1A-B72BFDD4D66B}" type="pres">
      <dgm:prSet presAssocID="{B2CC6CCA-9AF6-4758-8D03-F6E75D9DAD9D}" presName="child" presStyleLbl="alignAccFollowNode1" presStyleIdx="33" presStyleCnt="53">
        <dgm:presLayoutVars>
          <dgm:chMax val="0"/>
          <dgm:bulletEnabled val="1"/>
        </dgm:presLayoutVars>
      </dgm:prSet>
      <dgm:spPr/>
    </dgm:pt>
    <dgm:pt modelId="{9A3827C2-04AC-409C-900F-A5F27A38CC91}" type="pres">
      <dgm:prSet presAssocID="{FDAA824B-B643-40F8-BDD8-AA40114A77CA}" presName="sibTrans" presStyleLbl="sibTrans2D1" presStyleIdx="34" presStyleCnt="53"/>
      <dgm:spPr/>
    </dgm:pt>
    <dgm:pt modelId="{02ED1394-205A-4111-99D2-3112F289CB14}" type="pres">
      <dgm:prSet presAssocID="{EF2D9657-01A3-408C-B38F-9C6E5196B7F2}" presName="child" presStyleLbl="alignAccFollowNode1" presStyleIdx="34" presStyleCnt="53">
        <dgm:presLayoutVars>
          <dgm:chMax val="0"/>
          <dgm:bulletEnabled val="1"/>
        </dgm:presLayoutVars>
      </dgm:prSet>
      <dgm:spPr/>
    </dgm:pt>
    <dgm:pt modelId="{92BD2319-87AE-456E-9E9F-6FE0B1DD4C2E}" type="pres">
      <dgm:prSet presAssocID="{20FCDC14-FB71-4E97-979A-1D30BF3EEB91}" presName="sibTrans" presStyleLbl="sibTrans2D1" presStyleIdx="35" presStyleCnt="53"/>
      <dgm:spPr/>
    </dgm:pt>
    <dgm:pt modelId="{728C68C2-1318-42E9-A5F0-97A5260943A6}" type="pres">
      <dgm:prSet presAssocID="{B94ACF42-043A-4D2F-8250-E0B90B27D28E}" presName="child" presStyleLbl="alignAccFollowNode1" presStyleIdx="35" presStyleCnt="53">
        <dgm:presLayoutVars>
          <dgm:chMax val="0"/>
          <dgm:bulletEnabled val="1"/>
        </dgm:presLayoutVars>
      </dgm:prSet>
      <dgm:spPr/>
    </dgm:pt>
    <dgm:pt modelId="{6A6204DF-5B6B-48DC-AA90-E6FE68A2A48A}" type="pres">
      <dgm:prSet presAssocID="{8C3255AA-0127-4C10-946D-4DDCF5799F3D}" presName="sibTrans" presStyleLbl="sibTrans2D1" presStyleIdx="36" presStyleCnt="53"/>
      <dgm:spPr/>
    </dgm:pt>
    <dgm:pt modelId="{74B0E7F7-EEFF-4F81-8E07-75A32020582A}" type="pres">
      <dgm:prSet presAssocID="{A5B4C3EC-B341-4D3A-822F-5ACB8475B994}" presName="child" presStyleLbl="alignAccFollowNode1" presStyleIdx="36" presStyleCnt="53">
        <dgm:presLayoutVars>
          <dgm:chMax val="0"/>
          <dgm:bulletEnabled val="1"/>
        </dgm:presLayoutVars>
      </dgm:prSet>
      <dgm:spPr/>
    </dgm:pt>
    <dgm:pt modelId="{1F308CE5-DFF5-4EED-BD4E-16E0B4C4114B}" type="pres">
      <dgm:prSet presAssocID="{CACA9728-2E63-48C4-AA13-F8534A6B0B41}" presName="sibTrans" presStyleLbl="sibTrans2D1" presStyleIdx="37" presStyleCnt="53"/>
      <dgm:spPr/>
    </dgm:pt>
    <dgm:pt modelId="{4E4342D2-5F94-4908-8479-122160F298A3}" type="pres">
      <dgm:prSet presAssocID="{F87E713A-5ED6-4CA3-90BA-141C37114844}" presName="child" presStyleLbl="alignAccFollowNode1" presStyleIdx="37" presStyleCnt="53">
        <dgm:presLayoutVars>
          <dgm:chMax val="0"/>
          <dgm:bulletEnabled val="1"/>
        </dgm:presLayoutVars>
      </dgm:prSet>
      <dgm:spPr/>
    </dgm:pt>
    <dgm:pt modelId="{4B4E2FC6-B558-4601-8CA3-C0CEDE8E6FCD}" type="pres">
      <dgm:prSet presAssocID="{657EF765-D86B-49A9-8B26-17F739A5F718}" presName="sibTrans" presStyleLbl="sibTrans2D1" presStyleIdx="38" presStyleCnt="53"/>
      <dgm:spPr/>
    </dgm:pt>
    <dgm:pt modelId="{5AFAA241-C69F-442B-80DC-64CBA96946E6}" type="pres">
      <dgm:prSet presAssocID="{2E5444F0-9BBD-4F53-A20C-8D148585DAD5}" presName="child" presStyleLbl="alignAccFollowNode1" presStyleIdx="38" presStyleCnt="53">
        <dgm:presLayoutVars>
          <dgm:chMax val="0"/>
          <dgm:bulletEnabled val="1"/>
        </dgm:presLayoutVars>
      </dgm:prSet>
      <dgm:spPr/>
    </dgm:pt>
    <dgm:pt modelId="{29FAA992-4EF8-4C1A-B8DB-90C109AE3E82}" type="pres">
      <dgm:prSet presAssocID="{1D1E23BC-7F54-4C1D-ACAA-94F820D2A7E9}" presName="sibTrans" presStyleLbl="sibTrans2D1" presStyleIdx="39" presStyleCnt="53"/>
      <dgm:spPr/>
    </dgm:pt>
    <dgm:pt modelId="{8BA61C51-8FEB-43DF-B44A-E999B0AFBA39}" type="pres">
      <dgm:prSet presAssocID="{6D6DAFCF-2C99-41E5-9CE6-B8C76D6850D6}" presName="child" presStyleLbl="alignAccFollowNode1" presStyleIdx="39" presStyleCnt="53">
        <dgm:presLayoutVars>
          <dgm:chMax val="0"/>
          <dgm:bulletEnabled val="1"/>
        </dgm:presLayoutVars>
      </dgm:prSet>
      <dgm:spPr/>
    </dgm:pt>
    <dgm:pt modelId="{28A04D2C-2BCB-4EDE-9BB5-E1E7FBB01FE4}" type="pres">
      <dgm:prSet presAssocID="{4901AB79-DE82-473F-8979-974C30D4BD28}" presName="hSp" presStyleCnt="0"/>
      <dgm:spPr/>
    </dgm:pt>
    <dgm:pt modelId="{2CE666FD-168F-41E9-9318-4F8CA8FBA3E4}" type="pres">
      <dgm:prSet presAssocID="{4AD2A121-F574-4353-B878-6DC6B2C784F0}" presName="vertFlow" presStyleCnt="0"/>
      <dgm:spPr/>
    </dgm:pt>
    <dgm:pt modelId="{42421F43-B2A3-4E74-A84B-FD476A815830}" type="pres">
      <dgm:prSet presAssocID="{4AD2A121-F574-4353-B878-6DC6B2C784F0}" presName="header" presStyleLbl="node1" presStyleIdx="4" presStyleCnt="6"/>
      <dgm:spPr/>
    </dgm:pt>
    <dgm:pt modelId="{ADD6C68F-DF29-4146-85CE-53FA2091313C}" type="pres">
      <dgm:prSet presAssocID="{403C8236-411F-4A47-AEF3-8F291BAA0666}" presName="parTrans" presStyleLbl="sibTrans2D1" presStyleIdx="40" presStyleCnt="53"/>
      <dgm:spPr/>
    </dgm:pt>
    <dgm:pt modelId="{B0F71A5D-86B1-4741-9907-6FC588B03F42}" type="pres">
      <dgm:prSet presAssocID="{BA4CC05C-721D-4485-9D89-B21311815FEC}" presName="child" presStyleLbl="alignAccFollowNode1" presStyleIdx="40" presStyleCnt="53">
        <dgm:presLayoutVars>
          <dgm:chMax val="0"/>
          <dgm:bulletEnabled val="1"/>
        </dgm:presLayoutVars>
      </dgm:prSet>
      <dgm:spPr/>
    </dgm:pt>
    <dgm:pt modelId="{A24A80E5-B77A-4272-9939-CFA451427314}" type="pres">
      <dgm:prSet presAssocID="{9BCD709B-6DDB-4EE8-ADAB-3BCAE549DD19}" presName="sibTrans" presStyleLbl="sibTrans2D1" presStyleIdx="41" presStyleCnt="53"/>
      <dgm:spPr/>
    </dgm:pt>
    <dgm:pt modelId="{D8188022-E73C-4E11-B15D-D7A3DD888BA7}" type="pres">
      <dgm:prSet presAssocID="{809772AF-E1A6-4196-8CA1-9870B4A7EDBC}" presName="child" presStyleLbl="alignAccFollowNode1" presStyleIdx="41" presStyleCnt="53">
        <dgm:presLayoutVars>
          <dgm:chMax val="0"/>
          <dgm:bulletEnabled val="1"/>
        </dgm:presLayoutVars>
      </dgm:prSet>
      <dgm:spPr/>
    </dgm:pt>
    <dgm:pt modelId="{1EADCF24-D5CB-4B00-B37D-A8F0F520AEDE}" type="pres">
      <dgm:prSet presAssocID="{E9E08DE7-ABA3-498C-8285-5C9BADED8328}" presName="sibTrans" presStyleLbl="sibTrans2D1" presStyleIdx="42" presStyleCnt="53"/>
      <dgm:spPr/>
    </dgm:pt>
    <dgm:pt modelId="{3AEF9209-0337-4C6E-BB4A-1017657529C3}" type="pres">
      <dgm:prSet presAssocID="{354D3B35-17A1-4985-9047-D97314E26413}" presName="child" presStyleLbl="alignAccFollowNode1" presStyleIdx="42" presStyleCnt="53">
        <dgm:presLayoutVars>
          <dgm:chMax val="0"/>
          <dgm:bulletEnabled val="1"/>
        </dgm:presLayoutVars>
      </dgm:prSet>
      <dgm:spPr/>
    </dgm:pt>
    <dgm:pt modelId="{4AB6454A-1B49-458A-8F40-98C4AC15646B}" type="pres">
      <dgm:prSet presAssocID="{BC2904F3-0FE6-4952-BB40-361C5A32D3C0}" presName="sibTrans" presStyleLbl="sibTrans2D1" presStyleIdx="43" presStyleCnt="53"/>
      <dgm:spPr/>
    </dgm:pt>
    <dgm:pt modelId="{FBD4C7E5-FEB3-42F0-9D08-6E709A9FCB48}" type="pres">
      <dgm:prSet presAssocID="{B5E77AA5-69D0-43EC-A5F0-D264B0C68FAC}" presName="child" presStyleLbl="alignAccFollowNode1" presStyleIdx="43" presStyleCnt="53">
        <dgm:presLayoutVars>
          <dgm:chMax val="0"/>
          <dgm:bulletEnabled val="1"/>
        </dgm:presLayoutVars>
      </dgm:prSet>
      <dgm:spPr/>
    </dgm:pt>
    <dgm:pt modelId="{ABE8295F-FFE7-4225-A3A1-B1F695DC7EF8}" type="pres">
      <dgm:prSet presAssocID="{8DFABE2D-271C-4EA5-AB3E-CB73E4FBA19F}" presName="sibTrans" presStyleLbl="sibTrans2D1" presStyleIdx="44" presStyleCnt="53"/>
      <dgm:spPr/>
    </dgm:pt>
    <dgm:pt modelId="{FD6BD734-D2B3-4611-874D-E27BCCECF338}" type="pres">
      <dgm:prSet presAssocID="{CD2FDDAC-6FA9-4BC1-8679-B577B3134EDC}" presName="child" presStyleLbl="alignAccFollowNode1" presStyleIdx="44" presStyleCnt="53">
        <dgm:presLayoutVars>
          <dgm:chMax val="0"/>
          <dgm:bulletEnabled val="1"/>
        </dgm:presLayoutVars>
      </dgm:prSet>
      <dgm:spPr/>
    </dgm:pt>
    <dgm:pt modelId="{06211595-39A8-4B6E-8C87-3FBD9CCEC32A}" type="pres">
      <dgm:prSet presAssocID="{A65562B1-9595-4DE2-80C0-2B8497079E54}" presName="sibTrans" presStyleLbl="sibTrans2D1" presStyleIdx="45" presStyleCnt="53"/>
      <dgm:spPr/>
    </dgm:pt>
    <dgm:pt modelId="{847FEDC3-C389-42DD-A429-4D5F756E3828}" type="pres">
      <dgm:prSet presAssocID="{CDB70C27-2FB7-46E6-B9E2-821A9A1B111E}" presName="child" presStyleLbl="alignAccFollowNode1" presStyleIdx="45" presStyleCnt="53">
        <dgm:presLayoutVars>
          <dgm:chMax val="0"/>
          <dgm:bulletEnabled val="1"/>
        </dgm:presLayoutVars>
      </dgm:prSet>
      <dgm:spPr/>
    </dgm:pt>
    <dgm:pt modelId="{8520E4E2-B35E-4F53-9381-42F916BD4E4F}" type="pres">
      <dgm:prSet presAssocID="{434A3773-D591-467D-B74C-5C95FB2E68E0}" presName="sibTrans" presStyleLbl="sibTrans2D1" presStyleIdx="46" presStyleCnt="53"/>
      <dgm:spPr/>
    </dgm:pt>
    <dgm:pt modelId="{A5EA7AE5-5672-497B-ACD4-E3EA91812DB1}" type="pres">
      <dgm:prSet presAssocID="{F03BB87B-9FB8-4A77-AAD2-04D18BB46CC3}" presName="child" presStyleLbl="alignAccFollowNode1" presStyleIdx="46" presStyleCnt="53">
        <dgm:presLayoutVars>
          <dgm:chMax val="0"/>
          <dgm:bulletEnabled val="1"/>
        </dgm:presLayoutVars>
      </dgm:prSet>
      <dgm:spPr/>
    </dgm:pt>
    <dgm:pt modelId="{C282B51C-F1EF-4E5B-A9C6-898225A3ACCF}" type="pres">
      <dgm:prSet presAssocID="{768355E1-12EF-45A7-8908-F6C5BE82135C}" presName="sibTrans" presStyleLbl="sibTrans2D1" presStyleIdx="47" presStyleCnt="53"/>
      <dgm:spPr/>
    </dgm:pt>
    <dgm:pt modelId="{DF93A94E-81B5-4555-8668-7D47AED778C5}" type="pres">
      <dgm:prSet presAssocID="{826A8DB9-4866-4E1B-906D-95118E57A75E}" presName="child" presStyleLbl="alignAccFollowNode1" presStyleIdx="47" presStyleCnt="53">
        <dgm:presLayoutVars>
          <dgm:chMax val="0"/>
          <dgm:bulletEnabled val="1"/>
        </dgm:presLayoutVars>
      </dgm:prSet>
      <dgm:spPr/>
    </dgm:pt>
    <dgm:pt modelId="{1675C535-D0D5-4BF2-BD8D-741B9828B266}" type="pres">
      <dgm:prSet presAssocID="{E65CB6B7-D593-49AF-BDD0-142429BF4383}" presName="sibTrans" presStyleLbl="sibTrans2D1" presStyleIdx="48" presStyleCnt="53"/>
      <dgm:spPr/>
    </dgm:pt>
    <dgm:pt modelId="{142A2E45-8A0D-45A3-B711-E894070858FA}" type="pres">
      <dgm:prSet presAssocID="{37E73D4C-F189-4EF4-B24D-706BCD62866A}" presName="child" presStyleLbl="alignAccFollowNode1" presStyleIdx="48" presStyleCnt="53">
        <dgm:presLayoutVars>
          <dgm:chMax val="0"/>
          <dgm:bulletEnabled val="1"/>
        </dgm:presLayoutVars>
      </dgm:prSet>
      <dgm:spPr/>
    </dgm:pt>
    <dgm:pt modelId="{F33B0665-3E21-44F9-B0E7-82DAAAB64C0B}" type="pres">
      <dgm:prSet presAssocID="{4AD2A121-F574-4353-B878-6DC6B2C784F0}" presName="hSp" presStyleCnt="0"/>
      <dgm:spPr/>
    </dgm:pt>
    <dgm:pt modelId="{2204C7EF-F9FE-464A-861F-632FE3252A8C}" type="pres">
      <dgm:prSet presAssocID="{43D56692-CE7C-40C0-852E-19720E003566}" presName="vertFlow" presStyleCnt="0"/>
      <dgm:spPr/>
    </dgm:pt>
    <dgm:pt modelId="{D45F10AE-8C29-45B0-9578-3B4F3BEC7F7B}" type="pres">
      <dgm:prSet presAssocID="{43D56692-CE7C-40C0-852E-19720E003566}" presName="header" presStyleLbl="node1" presStyleIdx="5" presStyleCnt="6"/>
      <dgm:spPr/>
    </dgm:pt>
    <dgm:pt modelId="{99C526C0-4775-4B50-918E-50D5EE69BD86}" type="pres">
      <dgm:prSet presAssocID="{95212E55-2D63-411B-9E21-0EFF6F3FCFFE}" presName="parTrans" presStyleLbl="sibTrans2D1" presStyleIdx="49" presStyleCnt="53"/>
      <dgm:spPr/>
    </dgm:pt>
    <dgm:pt modelId="{E2BA91BB-AF02-41B0-9DFA-03D1E0A2CA54}" type="pres">
      <dgm:prSet presAssocID="{84ABAB43-6707-475C-B541-128FAD655FE8}" presName="child" presStyleLbl="alignAccFollowNode1" presStyleIdx="49" presStyleCnt="53">
        <dgm:presLayoutVars>
          <dgm:chMax val="0"/>
          <dgm:bulletEnabled val="1"/>
        </dgm:presLayoutVars>
      </dgm:prSet>
      <dgm:spPr/>
    </dgm:pt>
    <dgm:pt modelId="{4C6CFAC0-BFA2-4350-9C11-A39B0A47521D}" type="pres">
      <dgm:prSet presAssocID="{BCC6241F-E41F-4B12-BE86-D29D49854151}" presName="sibTrans" presStyleLbl="sibTrans2D1" presStyleIdx="50" presStyleCnt="53"/>
      <dgm:spPr/>
    </dgm:pt>
    <dgm:pt modelId="{1304DC13-20C8-41C3-B8B6-7350C631BF47}" type="pres">
      <dgm:prSet presAssocID="{3E5B4D09-EE45-4EE8-B17F-081932612478}" presName="child" presStyleLbl="alignAccFollowNode1" presStyleIdx="50" presStyleCnt="53">
        <dgm:presLayoutVars>
          <dgm:chMax val="0"/>
          <dgm:bulletEnabled val="1"/>
        </dgm:presLayoutVars>
      </dgm:prSet>
      <dgm:spPr/>
    </dgm:pt>
    <dgm:pt modelId="{46F51DC3-1A17-4AAB-9EF4-53D50C44FA4D}" type="pres">
      <dgm:prSet presAssocID="{9020122D-AD46-4803-A731-A46C2A03EE44}" presName="sibTrans" presStyleLbl="sibTrans2D1" presStyleIdx="51" presStyleCnt="53"/>
      <dgm:spPr/>
    </dgm:pt>
    <dgm:pt modelId="{FB690616-B356-49EA-9576-0686644CE84E}" type="pres">
      <dgm:prSet presAssocID="{7595BE5D-4B71-457B-ABCA-20C074D7B2E7}" presName="child" presStyleLbl="alignAccFollowNode1" presStyleIdx="51" presStyleCnt="53">
        <dgm:presLayoutVars>
          <dgm:chMax val="0"/>
          <dgm:bulletEnabled val="1"/>
        </dgm:presLayoutVars>
      </dgm:prSet>
      <dgm:spPr/>
    </dgm:pt>
    <dgm:pt modelId="{51B0BAEE-10EF-4E18-9971-9CCD4FD5AD3C}" type="pres">
      <dgm:prSet presAssocID="{A2CCCC0F-FBF6-45BA-9821-34FC5594F474}" presName="sibTrans" presStyleLbl="sibTrans2D1" presStyleIdx="52" presStyleCnt="53"/>
      <dgm:spPr/>
    </dgm:pt>
    <dgm:pt modelId="{E7DE3A7B-2F8E-4B67-993D-88F06629186D}" type="pres">
      <dgm:prSet presAssocID="{D5AAFEA2-E4BC-43C1-A238-224F4B86C7F1}" presName="child" presStyleLbl="alignAccFollowNode1" presStyleIdx="52" presStyleCnt="53">
        <dgm:presLayoutVars>
          <dgm:chMax val="0"/>
          <dgm:bulletEnabled val="1"/>
        </dgm:presLayoutVars>
      </dgm:prSet>
      <dgm:spPr/>
    </dgm:pt>
  </dgm:ptLst>
  <dgm:cxnLst>
    <dgm:cxn modelId="{79431701-B0CD-463A-B4DB-F3E6733C0C25}" type="presOf" srcId="{58454D82-80C7-4C8B-AAA0-F90AB111D795}" destId="{2AE99AF9-6243-4762-B22A-7F394B19F736}" srcOrd="0" destOrd="0" presId="urn:microsoft.com/office/officeart/2005/8/layout/lProcess1"/>
    <dgm:cxn modelId="{B8E52F04-9D7C-4B92-B6B8-8A40B2DCEC1D}" srcId="{4AD2A121-F574-4353-B878-6DC6B2C784F0}" destId="{37E73D4C-F189-4EF4-B24D-706BCD62866A}" srcOrd="8" destOrd="0" parTransId="{01478200-2C12-4DC1-82D8-48268DBCAF75}" sibTransId="{3ADFB2B5-5358-4BA9-8905-DAE1248C48D0}"/>
    <dgm:cxn modelId="{D188B807-E9D9-4A07-839A-2EEB3383EBCB}" type="presOf" srcId="{6645D17C-6C61-425A-A8A6-B200FB548A9B}" destId="{05FA1963-B043-4381-B4ED-FA948B592FE5}" srcOrd="0" destOrd="0" presId="urn:microsoft.com/office/officeart/2005/8/layout/lProcess1"/>
    <dgm:cxn modelId="{A8F0CE07-7346-4402-BD28-22731DABFC38}" srcId="{B1E8F498-0D0B-442A-A951-4D7C1624012A}" destId="{96DDC1EE-2F29-4750-8CF8-3C87F9098F21}" srcOrd="2" destOrd="0" parTransId="{B320AAC0-B3C5-415B-B182-3A847F399C92}" sibTransId="{1411CAF2-AF2D-47FF-9AD9-4566BF6E4E32}"/>
    <dgm:cxn modelId="{6F331708-E26E-4133-ADD9-BBCDD6E3A0B6}" type="presOf" srcId="{4C17C88E-7B5D-476D-8C8D-932CEE3F0D0E}" destId="{C12E52ED-237B-4E96-ADD5-A71637920382}" srcOrd="0" destOrd="0" presId="urn:microsoft.com/office/officeart/2005/8/layout/lProcess1"/>
    <dgm:cxn modelId="{0F9C630A-AA79-4CE0-9FF5-6701025B3BA3}" srcId="{F5DEE33B-A2EF-458E-A453-179421EC1E12}" destId="{331A0F3E-813A-4C46-8AB3-F3E08999D631}" srcOrd="0" destOrd="0" parTransId="{0D66C2E1-CD47-41C5-87AD-69ED1061D91E}" sibTransId="{7C902DFE-9CA5-40C3-A3B2-6A43F6798A4E}"/>
    <dgm:cxn modelId="{D6AEA50B-1D16-4551-BAE2-66F775ED0746}" srcId="{F5DEE33B-A2EF-458E-A453-179421EC1E12}" destId="{96AF2DC5-DDAA-415A-9011-57D65F75513D}" srcOrd="3" destOrd="0" parTransId="{501BD997-D773-47AB-BBCB-1DA00DE26A61}" sibTransId="{95C898E4-7912-4248-BA5C-973BB3BFF4D8}"/>
    <dgm:cxn modelId="{3C2BB10C-E923-4008-A3F0-0954941BB4E9}" srcId="{B1E8F498-0D0B-442A-A951-4D7C1624012A}" destId="{4901AB79-DE82-473F-8979-974C30D4BD28}" srcOrd="3" destOrd="0" parTransId="{48450107-7CC7-432C-B55F-691CCD163565}" sibTransId="{37B21571-F276-42E1-9A4B-5D8874CC735A}"/>
    <dgm:cxn modelId="{4B5C600F-5D06-4DEA-80F2-4B20BC535E80}" type="presOf" srcId="{B94ACF42-043A-4D2F-8250-E0B90B27D28E}" destId="{728C68C2-1318-42E9-A5F0-97A5260943A6}" srcOrd="0" destOrd="0" presId="urn:microsoft.com/office/officeart/2005/8/layout/lProcess1"/>
    <dgm:cxn modelId="{79E1B512-9487-4658-B48D-F853691C6688}" type="presOf" srcId="{F03BB87B-9FB8-4A77-AAD2-04D18BB46CC3}" destId="{A5EA7AE5-5672-497B-ACD4-E3EA91812DB1}" srcOrd="0" destOrd="0" presId="urn:microsoft.com/office/officeart/2005/8/layout/lProcess1"/>
    <dgm:cxn modelId="{80889413-789D-423D-A4BE-018B5861A340}" type="presOf" srcId="{9DA6403B-45CC-4ACD-84E7-B3CD559E5BF3}" destId="{D9C41CEE-2F95-4B3A-8CD9-2A34D320ED90}" srcOrd="0" destOrd="0" presId="urn:microsoft.com/office/officeart/2005/8/layout/lProcess1"/>
    <dgm:cxn modelId="{6274D313-8165-4627-932F-C783291301D8}" type="presOf" srcId="{7C902DFE-9CA5-40C3-A3B2-6A43F6798A4E}" destId="{3F885AE3-488F-419D-80B8-C9EC1D407F8C}" srcOrd="0" destOrd="0" presId="urn:microsoft.com/office/officeart/2005/8/layout/lProcess1"/>
    <dgm:cxn modelId="{A2F0E413-99E7-4972-A50B-53557975F3A4}" srcId="{4901AB79-DE82-473F-8979-974C30D4BD28}" destId="{A5B4C3EC-B341-4D3A-822F-5ACB8475B994}" srcOrd="7" destOrd="0" parTransId="{727226BA-BE76-47EC-A0F1-4992402B30C7}" sibTransId="{CACA9728-2E63-48C4-AA13-F8534A6B0B41}"/>
    <dgm:cxn modelId="{2512A915-FA55-4DDB-8268-9E71CAD33E5A}" type="presOf" srcId="{B009A43B-1F2C-4366-93DB-C2C7C2352679}" destId="{8F8F640A-0B82-4411-9C5A-C08BBF63A125}" srcOrd="0" destOrd="0" presId="urn:microsoft.com/office/officeart/2005/8/layout/lProcess1"/>
    <dgm:cxn modelId="{4ACF7316-D47A-4C9F-BEB0-22AAFBCCE733}" type="presOf" srcId="{B74C45F9-6521-4EB3-B6A7-33C4811A1224}" destId="{AED15A31-2A6F-4851-AD2B-008B39B3626A}" srcOrd="0" destOrd="0" presId="urn:microsoft.com/office/officeart/2005/8/layout/lProcess1"/>
    <dgm:cxn modelId="{872D6E17-77BE-4B5D-9710-C4216711B8DB}" srcId="{4901AB79-DE82-473F-8979-974C30D4BD28}" destId="{EF2D9657-01A3-408C-B38F-9C6E5196B7F2}" srcOrd="5" destOrd="0" parTransId="{01EE31DB-996F-4D68-989B-A773733A8329}" sibTransId="{20FCDC14-FB71-4E97-979A-1D30BF3EEB91}"/>
    <dgm:cxn modelId="{1CBAED17-B303-4142-836F-1746235833A2}" srcId="{F5DEE33B-A2EF-458E-A453-179421EC1E12}" destId="{028E8847-8B02-478A-AF78-0A3247E18071}" srcOrd="1" destOrd="0" parTransId="{2E29E8D1-8ECA-4A8D-9CB0-AF95704B1FDF}" sibTransId="{063D1CFF-A048-4559-8DE7-9CE7A75EA101}"/>
    <dgm:cxn modelId="{9DA29C1A-A395-4E22-84F7-6AB2E2E44D45}" type="presOf" srcId="{826A8DB9-4866-4E1B-906D-95118E57A75E}" destId="{DF93A94E-81B5-4555-8668-7D47AED778C5}" srcOrd="0" destOrd="0" presId="urn:microsoft.com/office/officeart/2005/8/layout/lProcess1"/>
    <dgm:cxn modelId="{E2AEBC1D-424C-4B0E-AB06-4C03220FED2E}" srcId="{F5DEE33B-A2EF-458E-A453-179421EC1E12}" destId="{9DA6403B-45CC-4ACD-84E7-B3CD559E5BF3}" srcOrd="6" destOrd="0" parTransId="{6B1A4A85-85A3-43B3-AF29-B4FE8A6311B9}" sibTransId="{096996C8-D5AE-48E5-951B-C066130AB1C8}"/>
    <dgm:cxn modelId="{2C46E71E-8309-421A-8647-39D2FF1F525E}" type="presOf" srcId="{4010AAD0-0C8A-4E19-A44D-9B3CC654E876}" destId="{49DD8DD2-CAC1-4198-BA90-AAEB5E24AF7C}" srcOrd="0" destOrd="0" presId="urn:microsoft.com/office/officeart/2005/8/layout/lProcess1"/>
    <dgm:cxn modelId="{65E6021F-A6A8-4E49-B2C3-C30060E731F8}" type="presOf" srcId="{809772AF-E1A6-4196-8CA1-9870B4A7EDBC}" destId="{D8188022-E73C-4E11-B15D-D7A3DD888BA7}" srcOrd="0" destOrd="0" presId="urn:microsoft.com/office/officeart/2005/8/layout/lProcess1"/>
    <dgm:cxn modelId="{8A09F721-158C-44D8-A12F-313D85A17947}" type="presOf" srcId="{20FCDC14-FB71-4E97-979A-1D30BF3EEB91}" destId="{92BD2319-87AE-456E-9E9F-6FE0B1DD4C2E}" srcOrd="0" destOrd="0" presId="urn:microsoft.com/office/officeart/2005/8/layout/lProcess1"/>
    <dgm:cxn modelId="{D399A522-603E-43C2-90AB-1F17DB27AE23}" type="presOf" srcId="{354D3B35-17A1-4985-9047-D97314E26413}" destId="{3AEF9209-0337-4C6E-BB4A-1017657529C3}" srcOrd="0" destOrd="0" presId="urn:microsoft.com/office/officeart/2005/8/layout/lProcess1"/>
    <dgm:cxn modelId="{015AD523-2E80-45F7-9AA6-E23179CA8842}" type="presOf" srcId="{33F50398-40C7-4C6B-8CC9-81226E3DA2C5}" destId="{FB1C8E10-7F64-4B41-A4BC-F63A75FDF50A}" srcOrd="0" destOrd="0" presId="urn:microsoft.com/office/officeart/2005/8/layout/lProcess1"/>
    <dgm:cxn modelId="{BF6BDA24-F271-43F4-A60C-7964CF9E81FD}" type="presOf" srcId="{E65CB6B7-D593-49AF-BDD0-142429BF4383}" destId="{1675C535-D0D5-4BF2-BD8D-741B9828B266}" srcOrd="0" destOrd="0" presId="urn:microsoft.com/office/officeart/2005/8/layout/lProcess1"/>
    <dgm:cxn modelId="{5AC65125-B576-4347-886C-8288A87D20BE}" type="presOf" srcId="{84ABAB43-6707-475C-B541-128FAD655FE8}" destId="{E2BA91BB-AF02-41B0-9DFA-03D1E0A2CA54}" srcOrd="0" destOrd="0" presId="urn:microsoft.com/office/officeart/2005/8/layout/lProcess1"/>
    <dgm:cxn modelId="{9F5B6927-987F-4A8C-9832-19EA9A78F6F3}" srcId="{4AD2A121-F574-4353-B878-6DC6B2C784F0}" destId="{CD2FDDAC-6FA9-4BC1-8679-B577B3134EDC}" srcOrd="4" destOrd="0" parTransId="{12DA7321-9811-46D4-B7FA-27EF48880F66}" sibTransId="{A65562B1-9595-4DE2-80C0-2B8497079E54}"/>
    <dgm:cxn modelId="{77713829-EA0C-4215-9EC9-DBB008D197B8}" srcId="{4901AB79-DE82-473F-8979-974C30D4BD28}" destId="{4DE585C3-D624-4D6B-965D-B1E708DA3F61}" srcOrd="0" destOrd="0" parTransId="{5C0BF541-7DF8-4DAC-8BD7-91049CE61D4D}" sibTransId="{868CF8FB-21EB-4C84-8A1B-3CF155D0E297}"/>
    <dgm:cxn modelId="{B18EA429-ADAE-4A8F-9EB1-EFC8E4CA48F5}" type="presOf" srcId="{5A2921BA-AF83-44CA-B086-38000579128E}" destId="{73EE3876-10DC-4864-950F-8429A89DA1DC}" srcOrd="0" destOrd="0" presId="urn:microsoft.com/office/officeart/2005/8/layout/lProcess1"/>
    <dgm:cxn modelId="{4B1BE729-90B4-45EC-8731-6277E099D541}" srcId="{F5DEE33B-A2EF-458E-A453-179421EC1E12}" destId="{B74C45F9-6521-4EB3-B6A7-33C4811A1224}" srcOrd="5" destOrd="0" parTransId="{CCD70855-ABD5-4F0D-87E5-B772A885DFAE}" sibTransId="{DDD74B13-CF51-45F3-9A4A-3CC9FB05A47A}"/>
    <dgm:cxn modelId="{9B28DC2A-AAE6-46CB-98D5-BFBDC99693CC}" srcId="{5891282D-7DAF-4409-BF48-8C118269BADE}" destId="{B2CA66E9-7A51-48B6-9ED9-C046BBDACE75}" srcOrd="4" destOrd="0" parTransId="{D969E522-EC88-45A8-9498-67F85EBF2C70}" sibTransId="{B8C598C9-5D8F-453A-9772-08EC704E932D}"/>
    <dgm:cxn modelId="{B4A2372D-16F9-4840-8A8A-09CED5EEEF46}" type="presOf" srcId="{4FC8DF53-5DB3-4D25-8872-4C2FDE465246}" destId="{3CE1F68B-A08F-4B55-8708-8D640AD33A9E}" srcOrd="0" destOrd="0" presId="urn:microsoft.com/office/officeart/2005/8/layout/lProcess1"/>
    <dgm:cxn modelId="{E5774D2D-3159-41EA-83A6-C6282B97F12A}" type="presOf" srcId="{9724C280-6D3C-4BEC-86F4-28619E5FF2DB}" destId="{ABE699A6-CB5D-494A-80A9-31B8810F2685}" srcOrd="0" destOrd="0" presId="urn:microsoft.com/office/officeart/2005/8/layout/lProcess1"/>
    <dgm:cxn modelId="{B5DB282E-BAA2-423B-A377-9F7AD6B8FE38}" type="presOf" srcId="{F5BA43D8-6E58-4456-AC71-ADAC124CD820}" destId="{F8CB4582-DE61-4CBE-8E7C-E39C293B5252}" srcOrd="0" destOrd="0" presId="urn:microsoft.com/office/officeart/2005/8/layout/lProcess1"/>
    <dgm:cxn modelId="{4D11392E-8BC4-45B0-8880-38D7F7C9EC5E}" type="presOf" srcId="{A9C3C88C-5AA3-4EE0-921A-3B40CB9B2CEE}" destId="{C8D7292A-8024-491D-971F-757429D2E2FB}" srcOrd="0" destOrd="0" presId="urn:microsoft.com/office/officeart/2005/8/layout/lProcess1"/>
    <dgm:cxn modelId="{76E79631-691F-4612-8C98-BA7340A67972}" type="presOf" srcId="{A65562B1-9595-4DE2-80C0-2B8497079E54}" destId="{06211595-39A8-4B6E-8C87-3FBD9CCEC32A}" srcOrd="0" destOrd="0" presId="urn:microsoft.com/office/officeart/2005/8/layout/lProcess1"/>
    <dgm:cxn modelId="{6A8E1D34-73AC-4171-BF71-C70C1CD79001}" srcId="{96DDC1EE-2F29-4750-8CF8-3C87F9098F21}" destId="{F71633AF-AAE9-4F68-8232-A9077D2580EE}" srcOrd="5" destOrd="0" parTransId="{E195D411-860A-4544-B9CF-300F4018E180}" sibTransId="{4FC8DF53-5DB3-4D25-8872-4C2FDE465246}"/>
    <dgm:cxn modelId="{2D75C034-6C86-4FCE-8791-CABE41CDAD7E}" type="presOf" srcId="{A5B4C3EC-B341-4D3A-822F-5ACB8475B994}" destId="{74B0E7F7-EEFF-4F81-8E07-75A32020582A}" srcOrd="0" destOrd="0" presId="urn:microsoft.com/office/officeart/2005/8/layout/lProcess1"/>
    <dgm:cxn modelId="{3A97F634-1FEB-49AD-9EF7-19E4512FBBE6}" type="presOf" srcId="{403C8236-411F-4A47-AEF3-8F291BAA0666}" destId="{ADD6C68F-DF29-4146-85CE-53FA2091313C}" srcOrd="0" destOrd="0" presId="urn:microsoft.com/office/officeart/2005/8/layout/lProcess1"/>
    <dgm:cxn modelId="{00B50439-C0AE-4DCE-B365-77FA554264C6}" srcId="{F5DEE33B-A2EF-458E-A453-179421EC1E12}" destId="{4010AAD0-0C8A-4E19-A44D-9B3CC654E876}" srcOrd="2" destOrd="0" parTransId="{8B69F440-F9DB-4DD0-BDE1-04292358F09C}" sibTransId="{C23B7FDB-3324-49C6-9421-4586B04F5C27}"/>
    <dgm:cxn modelId="{A3C26139-37C4-4518-AF86-0B9B1B01F6CD}" srcId="{4901AB79-DE82-473F-8979-974C30D4BD28}" destId="{42043DA4-6594-4066-9411-C3FE6D7E1634}" srcOrd="2" destOrd="0" parTransId="{C25CB97A-3AE1-429E-BBD2-A5003D85798D}" sibTransId="{64A74406-6CB7-45F2-8695-CFF68CBADD39}"/>
    <dgm:cxn modelId="{B9AB223D-A359-4C0D-9E46-B3CB71F90ADD}" type="presOf" srcId="{358F8D62-827B-4E08-A946-0EAEB763AAA6}" destId="{DB110899-F697-48BE-8E33-C90D1451C949}" srcOrd="0" destOrd="0" presId="urn:microsoft.com/office/officeart/2005/8/layout/lProcess1"/>
    <dgm:cxn modelId="{72A72E3D-8094-42B5-B882-532CE69C9F1A}" type="presOf" srcId="{8B56D27C-6961-4FA6-98C2-5FA0F9F4562E}" destId="{B87B90F0-78A2-4340-8BD1-B7D9DFB0024F}" srcOrd="0" destOrd="0" presId="urn:microsoft.com/office/officeart/2005/8/layout/lProcess1"/>
    <dgm:cxn modelId="{1D18B73D-646B-40A3-863D-7F9EA9BEA899}" type="presOf" srcId="{AE2966D5-50DB-4297-9B42-D90EF1B8E0FF}" destId="{E43310B2-8C28-4A37-82A7-F2FCA869006E}" srcOrd="0" destOrd="0" presId="urn:microsoft.com/office/officeart/2005/8/layout/lProcess1"/>
    <dgm:cxn modelId="{7FB3F83E-E63D-4957-949E-4FA222A9290C}" type="presOf" srcId="{F71633AF-AAE9-4F68-8232-A9077D2580EE}" destId="{7C54FCBA-F2C3-43A7-B753-3741C0A54533}" srcOrd="0" destOrd="0" presId="urn:microsoft.com/office/officeart/2005/8/layout/lProcess1"/>
    <dgm:cxn modelId="{ECAA893F-E88A-4E2E-B0D8-6BD96761533E}" type="presOf" srcId="{54356B57-D40A-49E1-95CB-D19DA293C623}" destId="{3D88EFA0-331E-4E7A-8B61-D7D969AC3E86}" srcOrd="0" destOrd="0" presId="urn:microsoft.com/office/officeart/2005/8/layout/lProcess1"/>
    <dgm:cxn modelId="{1726D33F-2A29-4FCC-8793-818FAA57352C}" type="presOf" srcId="{96DDC1EE-2F29-4750-8CF8-3C87F9098F21}" destId="{2F4E7FB7-2633-4947-9C36-A74D948B828B}" srcOrd="0" destOrd="0" presId="urn:microsoft.com/office/officeart/2005/8/layout/lProcess1"/>
    <dgm:cxn modelId="{781C7D5D-399D-4C44-B64E-6D160405FC46}" srcId="{4901AB79-DE82-473F-8979-974C30D4BD28}" destId="{B94ACF42-043A-4D2F-8250-E0B90B27D28E}" srcOrd="6" destOrd="0" parTransId="{044B36B3-2BC4-4520-A5B5-2A4444944512}" sibTransId="{8C3255AA-0127-4C10-946D-4DDCF5799F3D}"/>
    <dgm:cxn modelId="{FA19BF5D-5FB6-4901-96B6-5E10665CEB1A}" srcId="{4AD2A121-F574-4353-B878-6DC6B2C784F0}" destId="{354D3B35-17A1-4985-9047-D97314E26413}" srcOrd="2" destOrd="0" parTransId="{A95DA89D-F74D-4291-8A38-333A84466779}" sibTransId="{BC2904F3-0FE6-4952-BB40-361C5A32D3C0}"/>
    <dgm:cxn modelId="{86D5525E-07CF-4FE9-BE11-03748BB8F8EE}" type="presOf" srcId="{7595BE5D-4B71-457B-ABCA-20C074D7B2E7}" destId="{FB690616-B356-49EA-9576-0686644CE84E}" srcOrd="0" destOrd="0" presId="urn:microsoft.com/office/officeart/2005/8/layout/lProcess1"/>
    <dgm:cxn modelId="{C5AEEC5F-CB01-4A7D-B49B-48EFECEB904C}" type="presOf" srcId="{CACA9728-2E63-48C4-AA13-F8534A6B0B41}" destId="{1F308CE5-DFF5-4EED-BD4E-16E0B4C4114B}" srcOrd="0" destOrd="0" presId="urn:microsoft.com/office/officeart/2005/8/layout/lProcess1"/>
    <dgm:cxn modelId="{D95B6B41-31AA-4406-A323-8551A20698F7}" type="presOf" srcId="{8B6C7953-1A4B-4039-8DA8-54CD00D6C7AA}" destId="{A2BC31C6-314B-4FF4-9633-C16E2C8EB610}" srcOrd="0" destOrd="0" presId="urn:microsoft.com/office/officeart/2005/8/layout/lProcess1"/>
    <dgm:cxn modelId="{521C2843-E9BB-403B-B884-15DAA1ECE53D}" type="presOf" srcId="{1ACED670-CABE-4901-8EEA-71C2FC9A973D}" destId="{7C1942C5-49F6-40C8-9D2D-3E173FE3C69E}" srcOrd="0" destOrd="0" presId="urn:microsoft.com/office/officeart/2005/8/layout/lProcess1"/>
    <dgm:cxn modelId="{6DD77345-54EB-4B2B-832E-BF6212D04DF8}" srcId="{96DDC1EE-2F29-4750-8CF8-3C87F9098F21}" destId="{CCAF0E25-E57F-4B5D-9EDE-4D5AA8BB70CE}" srcOrd="2" destOrd="0" parTransId="{3694176D-F422-4077-AD55-A8335BE4356C}" sibTransId="{E7EFBF97-3EFE-4FF6-BE38-250625B066D6}"/>
    <dgm:cxn modelId="{9F8C9A65-A83E-411F-8E45-B68ECB66DA76}" srcId="{4901AB79-DE82-473F-8979-974C30D4BD28}" destId="{6D6DAFCF-2C99-41E5-9CE6-B8C76D6850D6}" srcOrd="10" destOrd="0" parTransId="{7CF7F01B-7B71-49A1-8DE8-8D3207C912E4}" sibTransId="{74786D0A-0ACE-4A00-85A0-73098C7F3481}"/>
    <dgm:cxn modelId="{47250E46-F132-4928-B61F-F3372C6729F4}" srcId="{5891282D-7DAF-4409-BF48-8C118269BADE}" destId="{4C7259D1-98B4-47FE-AD33-74D8F26F6A30}" srcOrd="5" destOrd="0" parTransId="{9CDDDC8A-563D-4D87-A817-58AFA16FBFFB}" sibTransId="{1ACED670-CABE-4901-8EEA-71C2FC9A973D}"/>
    <dgm:cxn modelId="{2AB37166-0403-4CB9-A7C8-AD55110F4F53}" type="presOf" srcId="{4901AB79-DE82-473F-8979-974C30D4BD28}" destId="{7C6C1422-E441-44F3-8FE8-A6FDF0C25563}" srcOrd="0" destOrd="0" presId="urn:microsoft.com/office/officeart/2005/8/layout/lProcess1"/>
    <dgm:cxn modelId="{E790C146-D419-408B-8E72-DF83C5AB60E6}" type="presOf" srcId="{434A3773-D591-467D-B74C-5C95FB2E68E0}" destId="{8520E4E2-B35E-4F53-9381-42F916BD4E4F}" srcOrd="0" destOrd="0" presId="urn:microsoft.com/office/officeart/2005/8/layout/lProcess1"/>
    <dgm:cxn modelId="{DFB5DE67-3D48-47B5-82F0-87B63DCA3D8C}" type="presOf" srcId="{CCAF0E25-E57F-4B5D-9EDE-4D5AA8BB70CE}" destId="{96DFD2A5-3494-48D5-A5E6-A03EB3D2FCE8}" srcOrd="0" destOrd="0" presId="urn:microsoft.com/office/officeart/2005/8/layout/lProcess1"/>
    <dgm:cxn modelId="{AFA78E68-CE0B-4694-897A-D17CC5BC6D33}" srcId="{4901AB79-DE82-473F-8979-974C30D4BD28}" destId="{A9C3C88C-5AA3-4EE0-921A-3B40CB9B2CEE}" srcOrd="3" destOrd="0" parTransId="{29E2594D-DB85-44FB-B666-4FE94DA99E9E}" sibTransId="{9724C280-6D3C-4BEC-86F4-28619E5FF2DB}"/>
    <dgm:cxn modelId="{2FAF8A69-BC61-4958-B064-6D19D0B8FB83}" type="presOf" srcId="{9F711D50-EA8C-4344-8558-65DDD2E8D2A2}" destId="{91E25D24-1269-41B8-A83A-1A4F5A0D0A20}" srcOrd="0" destOrd="0" presId="urn:microsoft.com/office/officeart/2005/8/layout/lProcess1"/>
    <dgm:cxn modelId="{B296A949-0C28-4677-9A7D-A92F30F3263C}" type="presOf" srcId="{F87E713A-5ED6-4CA3-90BA-141C37114844}" destId="{4E4342D2-5F94-4908-8479-122160F298A3}" srcOrd="0" destOrd="0" presId="urn:microsoft.com/office/officeart/2005/8/layout/lProcess1"/>
    <dgm:cxn modelId="{0C09D449-D0AF-4AB8-BF45-D06AA7B2F467}" type="presOf" srcId="{BCC6241F-E41F-4B12-BE86-D29D49854151}" destId="{4C6CFAC0-BFA2-4350-9C11-A39B0A47521D}" srcOrd="0" destOrd="0" presId="urn:microsoft.com/office/officeart/2005/8/layout/lProcess1"/>
    <dgm:cxn modelId="{1256ED4A-8C42-4615-9C42-7C08F3F0C41A}" type="presOf" srcId="{FDAA824B-B643-40F8-BDD8-AA40114A77CA}" destId="{9A3827C2-04AC-409C-900F-A5F27A38CC91}" srcOrd="0" destOrd="0" presId="urn:microsoft.com/office/officeart/2005/8/layout/lProcess1"/>
    <dgm:cxn modelId="{AB823A4B-A935-4145-8F49-86A3BA22AECC}" type="presOf" srcId="{45886A70-0D23-4366-9CC7-51A5F435098C}" destId="{2986B49E-E97F-4CC1-A748-E2CAAA5EF16C}" srcOrd="0" destOrd="0" presId="urn:microsoft.com/office/officeart/2005/8/layout/lProcess1"/>
    <dgm:cxn modelId="{17B9CC4B-E474-431E-A265-F64709072614}" srcId="{B1E8F498-0D0B-442A-A951-4D7C1624012A}" destId="{4AD2A121-F574-4353-B878-6DC6B2C784F0}" srcOrd="4" destOrd="0" parTransId="{300AD1A0-2B89-4EEC-B746-FA44734E3508}" sibTransId="{78518540-929A-488C-84A3-74887E3A1102}"/>
    <dgm:cxn modelId="{1C531A4C-19EA-47A9-90CB-54F5EC7FC6A0}" type="presOf" srcId="{257FD0CC-2094-4C0C-90D0-7AB676A6FFF9}" destId="{06F383A0-B142-4AB2-AC2D-1B7BA4C4647D}" srcOrd="0" destOrd="0" presId="urn:microsoft.com/office/officeart/2005/8/layout/lProcess1"/>
    <dgm:cxn modelId="{9B673A4D-8DDE-45FD-A160-B0D8B522A3E7}" type="presOf" srcId="{8C3255AA-0127-4C10-946D-4DDCF5799F3D}" destId="{6A6204DF-5B6B-48DC-AA90-E6FE68A2A48A}" srcOrd="0" destOrd="0" presId="urn:microsoft.com/office/officeart/2005/8/layout/lProcess1"/>
    <dgm:cxn modelId="{F6EBD06D-73A3-43D4-8E67-460D792398E8}" type="presOf" srcId="{CD2FDDAC-6FA9-4BC1-8679-B577B3134EDC}" destId="{FD6BD734-D2B3-4611-874D-E27BCCECF338}" srcOrd="0" destOrd="0" presId="urn:microsoft.com/office/officeart/2005/8/layout/lProcess1"/>
    <dgm:cxn modelId="{DEB99B4E-7926-4F41-872D-D33DED4B934A}" type="presOf" srcId="{BC2904F3-0FE6-4952-BB40-361C5A32D3C0}" destId="{4AB6454A-1B49-458A-8F40-98C4AC15646B}" srcOrd="0" destOrd="0" presId="urn:microsoft.com/office/officeart/2005/8/layout/lProcess1"/>
    <dgm:cxn modelId="{8841FB4F-9585-4E87-980C-67E11E36AE5F}" type="presOf" srcId="{840954EE-85E6-4DB8-BA45-E26DD884822D}" destId="{6DDE7DE8-E78C-41DB-B21D-34DA5B96A4D4}" srcOrd="0" destOrd="0" presId="urn:microsoft.com/office/officeart/2005/8/layout/lProcess1"/>
    <dgm:cxn modelId="{F4DA0A50-BDD7-4E0D-A12C-2A585161D519}" type="presOf" srcId="{1C88A94A-F0B6-4132-B2F7-EDA92571CEE9}" destId="{59D0B201-C26F-44D9-A1CA-ED4C9AA02860}" srcOrd="0" destOrd="0" presId="urn:microsoft.com/office/officeart/2005/8/layout/lProcess1"/>
    <dgm:cxn modelId="{1C2BB850-0D49-4261-AA05-3729E5F5A1B3}" type="presOf" srcId="{7DADB3EF-07CA-4BBC-B55D-C537BC045020}" destId="{2970F71B-B0D4-49A7-8631-F1339E4692BF}" srcOrd="0" destOrd="0" presId="urn:microsoft.com/office/officeart/2005/8/layout/lProcess1"/>
    <dgm:cxn modelId="{6176D670-8E1C-4FC6-A22D-A82A964C8484}" type="presOf" srcId="{20BC0861-7DE7-4269-A065-06B8EAE46FF1}" destId="{A24D25B9-C7DA-460F-AD45-CFE3129316C4}" srcOrd="0" destOrd="0" presId="urn:microsoft.com/office/officeart/2005/8/layout/lProcess1"/>
    <dgm:cxn modelId="{E73C9871-CA9F-4E5B-A834-2B3BA28FD907}" srcId="{4AD2A121-F574-4353-B878-6DC6B2C784F0}" destId="{F03BB87B-9FB8-4A77-AAD2-04D18BB46CC3}" srcOrd="6" destOrd="0" parTransId="{6475B0E2-82B8-4B6B-95D6-ABFFDA75D008}" sibTransId="{768355E1-12EF-45A7-8908-F6C5BE82135C}"/>
    <dgm:cxn modelId="{08963252-6896-4481-BFAF-8346A77CF7EA}" type="presOf" srcId="{E9E08DE7-ABA3-498C-8285-5C9BADED8328}" destId="{1EADCF24-D5CB-4B00-B37D-A8F0F520AEDE}" srcOrd="0" destOrd="0" presId="urn:microsoft.com/office/officeart/2005/8/layout/lProcess1"/>
    <dgm:cxn modelId="{8DC0B572-4C30-43B6-9527-ED2E43F01CD8}" type="presOf" srcId="{64A74406-6CB7-45F2-8695-CFF68CBADD39}" destId="{6A269856-1768-49E5-8AB3-5FA613D8CD56}" srcOrd="0" destOrd="0" presId="urn:microsoft.com/office/officeart/2005/8/layout/lProcess1"/>
    <dgm:cxn modelId="{424C2053-3973-4AAB-9778-5AF4FA54BF40}" type="presOf" srcId="{64B7AA5B-7C21-4DAA-BA8B-F0EA3C918D70}" destId="{98387A0B-5ACD-4D3B-95C1-F2AB40ECEF48}" srcOrd="0" destOrd="0" presId="urn:microsoft.com/office/officeart/2005/8/layout/lProcess1"/>
    <dgm:cxn modelId="{B2462373-4743-4414-A362-8B2286FB6722}" type="presOf" srcId="{B1E8F498-0D0B-442A-A951-4D7C1624012A}" destId="{187581DA-7762-490B-AB0F-BD0F9FFFEB86}" srcOrd="0" destOrd="0" presId="urn:microsoft.com/office/officeart/2005/8/layout/lProcess1"/>
    <dgm:cxn modelId="{3E2A6D53-1FB0-471C-BA5E-ED413FE0E4C9}" type="presOf" srcId="{028E8847-8B02-478A-AF78-0A3247E18071}" destId="{DFAE3C3A-F3DA-409E-BDC8-AD6CCD4F9901}" srcOrd="0" destOrd="0" presId="urn:microsoft.com/office/officeart/2005/8/layout/lProcess1"/>
    <dgm:cxn modelId="{B09CCA54-F395-4A2E-A7AB-FBD681763746}" type="presOf" srcId="{2AE38D7E-CA0A-42F6-A975-54B23633AB8F}" destId="{A73D1E5F-EE7C-4CF2-B1C0-1F140083B4A5}" srcOrd="0" destOrd="0" presId="urn:microsoft.com/office/officeart/2005/8/layout/lProcess1"/>
    <dgm:cxn modelId="{3C87EA74-C5F3-4489-83DA-BF27F5BEC91E}" srcId="{B1E8F498-0D0B-442A-A951-4D7C1624012A}" destId="{F5DEE33B-A2EF-458E-A453-179421EC1E12}" srcOrd="0" destOrd="0" parTransId="{44DEB1EF-1F28-4BBB-A8BA-B03BA5F8510E}" sibTransId="{B0587EFA-B7A1-4DF1-9484-5A52640DC79A}"/>
    <dgm:cxn modelId="{D00FF374-E4D6-4D34-BB67-978AAB58299A}" type="presOf" srcId="{2AE8792B-C169-4FC2-859B-80ED1B9517F4}" destId="{AAE2EFCD-9052-4160-81DD-57A5652000FE}" srcOrd="0" destOrd="0" presId="urn:microsoft.com/office/officeart/2005/8/layout/lProcess1"/>
    <dgm:cxn modelId="{4B253D55-8AD4-4138-8323-F6509AE4A9C2}" type="presOf" srcId="{063D1CFF-A048-4559-8DE7-9CE7A75EA101}" destId="{37A04532-842B-45A5-AA01-142523E883EC}" srcOrd="0" destOrd="0" presId="urn:microsoft.com/office/officeart/2005/8/layout/lProcess1"/>
    <dgm:cxn modelId="{EC788855-2F9E-4CD9-A637-A1A17C627C0D}" srcId="{5891282D-7DAF-4409-BF48-8C118269BADE}" destId="{30463371-B4A1-46F2-A385-9510BDF74762}" srcOrd="7" destOrd="0" parTransId="{B431CC53-F5C3-4363-A979-750A2B6CF4DB}" sibTransId="{D9D76D0F-0E4C-403F-B106-BDC170E1A3FF}"/>
    <dgm:cxn modelId="{72DDC176-42D0-4DFF-B43D-694520105144}" type="presOf" srcId="{7633D330-4C98-4FEB-A85E-6E9676E81260}" destId="{6E76190F-18E5-43C4-8257-B13F24180393}" srcOrd="0" destOrd="0" presId="urn:microsoft.com/office/officeart/2005/8/layout/lProcess1"/>
    <dgm:cxn modelId="{37CA6077-8BDA-4985-A721-9848243908DE}" type="presOf" srcId="{BA4CC05C-721D-4485-9D89-B21311815FEC}" destId="{B0F71A5D-86B1-4741-9907-6FC588B03F42}" srcOrd="0" destOrd="0" presId="urn:microsoft.com/office/officeart/2005/8/layout/lProcess1"/>
    <dgm:cxn modelId="{990A3558-C104-4F3D-B23D-F48D0DEA5D67}" type="presOf" srcId="{C2BA604B-66A6-4A25-8999-7EB34CFD0C1D}" destId="{2DD34D39-495B-4B4E-B5F2-BC3F31F17C0B}" srcOrd="0" destOrd="0" presId="urn:microsoft.com/office/officeart/2005/8/layout/lProcess1"/>
    <dgm:cxn modelId="{B1119678-4AD7-476B-AC0F-DFDED0E874C8}" srcId="{43D56692-CE7C-40C0-852E-19720E003566}" destId="{7595BE5D-4B71-457B-ABCA-20C074D7B2E7}" srcOrd="2" destOrd="0" parTransId="{B959C27C-B9C2-4EB6-9518-72D1A4331369}" sibTransId="{A2CCCC0F-FBF6-45BA-9821-34FC5594F474}"/>
    <dgm:cxn modelId="{55A49C78-E9F8-44FD-BF51-DC6DF24EC40B}" srcId="{96DDC1EE-2F29-4750-8CF8-3C87F9098F21}" destId="{2AE8792B-C169-4FC2-859B-80ED1B9517F4}" srcOrd="0" destOrd="0" parTransId="{E0C896D4-113C-440B-B2FF-A46B5FE5A156}" sibTransId="{4C17C88E-7B5D-476D-8C8D-932CEE3F0D0E}"/>
    <dgm:cxn modelId="{07E9B878-EEA4-4613-93F6-94A887DF2E29}" type="presOf" srcId="{4C7259D1-98B4-47FE-AD33-74D8F26F6A30}" destId="{2E91BF79-3ADE-4A29-8007-6D2FA522D88F}" srcOrd="0" destOrd="0" presId="urn:microsoft.com/office/officeart/2005/8/layout/lProcess1"/>
    <dgm:cxn modelId="{50F78179-7E95-490B-8A25-D87A562B42B1}" type="presOf" srcId="{5891282D-7DAF-4409-BF48-8C118269BADE}" destId="{E8C34120-2B6F-4573-B22F-30F91B164BEF}" srcOrd="0" destOrd="0" presId="urn:microsoft.com/office/officeart/2005/8/layout/lProcess1"/>
    <dgm:cxn modelId="{5F76587B-3ED6-417F-832B-3598BEF8402D}" type="presOf" srcId="{BE2AA24A-A347-4C81-836D-7162B377B7E7}" destId="{ECA0D186-6A7F-4357-92C8-3EBC48009F68}" srcOrd="0" destOrd="0" presId="urn:microsoft.com/office/officeart/2005/8/layout/lProcess1"/>
    <dgm:cxn modelId="{0BF3EC7C-3968-404C-9EA8-DF5EB1C5C9D2}" type="presOf" srcId="{0D66C2E1-CD47-41C5-87AD-69ED1061D91E}" destId="{888C2F89-B251-48F6-89B6-27BDD7DE78FE}" srcOrd="0" destOrd="0" presId="urn:microsoft.com/office/officeart/2005/8/layout/lProcess1"/>
    <dgm:cxn modelId="{777C057D-AF68-4CA9-A997-20DECCD2FC44}" srcId="{4AD2A121-F574-4353-B878-6DC6B2C784F0}" destId="{CDB70C27-2FB7-46E6-B9E2-821A9A1B111E}" srcOrd="5" destOrd="0" parTransId="{8E57D477-5DE4-4563-B0BC-A6BC8CDF3EFA}" sibTransId="{434A3773-D591-467D-B74C-5C95FB2E68E0}"/>
    <dgm:cxn modelId="{D8CE0A7D-4ABA-4FBD-825C-DD0AAF81D3D8}" type="presOf" srcId="{C62D9145-ED1C-4F8F-998C-708F8BEEBEBA}" destId="{50088D42-1F7E-4CFF-ABEA-56B82F376267}" srcOrd="0" destOrd="0" presId="urn:microsoft.com/office/officeart/2005/8/layout/lProcess1"/>
    <dgm:cxn modelId="{5A25457D-C1A2-469C-B72E-F283784747CF}" srcId="{43D56692-CE7C-40C0-852E-19720E003566}" destId="{84ABAB43-6707-475C-B541-128FAD655FE8}" srcOrd="0" destOrd="0" parTransId="{95212E55-2D63-411B-9E21-0EFF6F3FCFFE}" sibTransId="{BCC6241F-E41F-4B12-BE86-D29D49854151}"/>
    <dgm:cxn modelId="{D077457F-9C12-4266-8B99-67AAA2443736}" type="presOf" srcId="{1D1E23BC-7F54-4C1D-ACAA-94F820D2A7E9}" destId="{29FAA992-4EF8-4C1A-B8DB-90C109AE3E82}" srcOrd="0" destOrd="0" presId="urn:microsoft.com/office/officeart/2005/8/layout/lProcess1"/>
    <dgm:cxn modelId="{71D93381-0648-4BFB-9380-8EC21F36D1C4}" type="presOf" srcId="{765C8B18-D0D2-42D8-9B8E-68EA0C5555B2}" destId="{785BB8B0-54D1-42AC-A64B-D6ADD4C38E82}" srcOrd="0" destOrd="0" presId="urn:microsoft.com/office/officeart/2005/8/layout/lProcess1"/>
    <dgm:cxn modelId="{45617082-22C5-47A1-A44D-7C0CBFEFB57B}" type="presOf" srcId="{37E73D4C-F189-4EF4-B24D-706BCD62866A}" destId="{142A2E45-8A0D-45A3-B711-E894070858FA}" srcOrd="0" destOrd="0" presId="urn:microsoft.com/office/officeart/2005/8/layout/lProcess1"/>
    <dgm:cxn modelId="{69D9C587-EC7F-400F-AEA6-73E63E35A7EF}" type="presOf" srcId="{9EFD9B21-335E-4B2D-9908-7B74E0001BE3}" destId="{D686A98D-89B9-479D-985F-CA0A713D705F}" srcOrd="0" destOrd="0" presId="urn:microsoft.com/office/officeart/2005/8/layout/lProcess1"/>
    <dgm:cxn modelId="{B749DC89-B71C-4B0A-ACC0-2A7DEA28B761}" type="presOf" srcId="{43D56692-CE7C-40C0-852E-19720E003566}" destId="{D45F10AE-8C29-45B0-9578-3B4F3BEC7F7B}" srcOrd="0" destOrd="0" presId="urn:microsoft.com/office/officeart/2005/8/layout/lProcess1"/>
    <dgm:cxn modelId="{43EE7F8B-95EB-481F-9371-2A318715A365}" type="presOf" srcId="{C23B7FDB-3324-49C6-9421-4586B04F5C27}" destId="{6D2F8A3F-23ED-4719-8730-63F21B50B179}" srcOrd="0" destOrd="0" presId="urn:microsoft.com/office/officeart/2005/8/layout/lProcess1"/>
    <dgm:cxn modelId="{8647F58B-B029-41D0-8154-D7B7E089E57F}" srcId="{5891282D-7DAF-4409-BF48-8C118269BADE}" destId="{B009A43B-1F2C-4366-93DB-C2C7C2352679}" srcOrd="8" destOrd="0" parTransId="{685FE7BB-2171-469E-A084-D573315F2ED5}" sibTransId="{765C8B18-D0D2-42D8-9B8E-68EA0C5555B2}"/>
    <dgm:cxn modelId="{FFADF58B-4821-461C-A7AB-AD79DD39DB35}" srcId="{4901AB79-DE82-473F-8979-974C30D4BD28}" destId="{2E5444F0-9BBD-4F53-A20C-8D148585DAD5}" srcOrd="9" destOrd="0" parTransId="{E2799C0B-B6CF-49DF-9096-A9160EA74A4F}" sibTransId="{1D1E23BC-7F54-4C1D-ACAA-94F820D2A7E9}"/>
    <dgm:cxn modelId="{1B5A678E-215B-4F12-876A-D7D560D1522D}" type="presOf" srcId="{95C898E4-7912-4248-BA5C-973BB3BFF4D8}" destId="{4CACD1A7-A914-4475-A0CF-17B3720FF29D}" srcOrd="0" destOrd="0" presId="urn:microsoft.com/office/officeart/2005/8/layout/lProcess1"/>
    <dgm:cxn modelId="{03D1788E-A7FB-442A-B143-F46C3495B46A}" type="presOf" srcId="{E0C896D4-113C-440B-B2FF-A46B5FE5A156}" destId="{EB1C4B11-9E45-4240-AD9F-ACB486314246}" srcOrd="0" destOrd="0" presId="urn:microsoft.com/office/officeart/2005/8/layout/lProcess1"/>
    <dgm:cxn modelId="{079BE890-CBC6-4A43-BE47-BD2672D88A83}" type="presOf" srcId="{99F415F0-002A-45D1-9FE3-2385F3E35B20}" destId="{88779DD0-692F-4205-A19B-22481ECE4C3F}" srcOrd="0" destOrd="0" presId="urn:microsoft.com/office/officeart/2005/8/layout/lProcess1"/>
    <dgm:cxn modelId="{F6817494-CD9D-4D3F-9E36-F5C2AAE27AE1}" type="presOf" srcId="{768355E1-12EF-45A7-8908-F6C5BE82135C}" destId="{C282B51C-F1EF-4E5B-A9C6-898225A3ACCF}" srcOrd="0" destOrd="0" presId="urn:microsoft.com/office/officeart/2005/8/layout/lProcess1"/>
    <dgm:cxn modelId="{FED30A97-2D5F-4F4C-AC6C-98BB15CDA2D5}" type="presOf" srcId="{A2CCCC0F-FBF6-45BA-9821-34FC5594F474}" destId="{51B0BAEE-10EF-4E18-9971-9CCD4FD5AD3C}" srcOrd="0" destOrd="0" presId="urn:microsoft.com/office/officeart/2005/8/layout/lProcess1"/>
    <dgm:cxn modelId="{0E3F4398-BD4A-4151-B8CC-9A3815319283}" srcId="{96DDC1EE-2F29-4750-8CF8-3C87F9098F21}" destId="{58454D82-80C7-4C8B-AAA0-F90AB111D795}" srcOrd="8" destOrd="0" parTransId="{A9CECC5A-EDDD-46D5-9362-0C186D0018E8}" sibTransId="{0B4207A4-4F90-49CC-95F2-6B8CAC71BD23}"/>
    <dgm:cxn modelId="{8019DC98-700F-4A43-9C4E-88748646C5ED}" type="presOf" srcId="{51CEC828-66FE-4A7C-A6C4-5682336E2E57}" destId="{2D6F8B99-5544-4716-9C01-0DC8E4C91354}" srcOrd="0" destOrd="0" presId="urn:microsoft.com/office/officeart/2005/8/layout/lProcess1"/>
    <dgm:cxn modelId="{CC370799-AE2C-4DA2-AC72-5CD2E6C6DF32}" type="presOf" srcId="{5C0BF541-7DF8-4DAC-8BD7-91049CE61D4D}" destId="{BB999CA9-5CA5-47CC-A7A9-B76892CA5D46}" srcOrd="0" destOrd="0" presId="urn:microsoft.com/office/officeart/2005/8/layout/lProcess1"/>
    <dgm:cxn modelId="{ACFFBE99-C42D-4DE5-B223-6F69A0F566B9}" type="presOf" srcId="{42043DA4-6594-4066-9411-C3FE6D7E1634}" destId="{11C70C5D-BF0E-4C10-B597-90985C47B597}" srcOrd="0" destOrd="0" presId="urn:microsoft.com/office/officeart/2005/8/layout/lProcess1"/>
    <dgm:cxn modelId="{495D2A9B-C138-47B1-BD27-09EC5D8DE607}" srcId="{4AD2A121-F574-4353-B878-6DC6B2C784F0}" destId="{B5E77AA5-69D0-43EC-A5F0-D264B0C68FAC}" srcOrd="3" destOrd="0" parTransId="{8543A8EF-B9FB-427F-8A27-974A5083E1EF}" sibTransId="{8DFABE2D-271C-4EA5-AB3E-CB73E4FBA19F}"/>
    <dgm:cxn modelId="{4D42F89B-DD4D-4BAE-B0D2-3FBCC6D5BE40}" srcId="{4901AB79-DE82-473F-8979-974C30D4BD28}" destId="{20BC0861-7DE7-4269-A065-06B8EAE46FF1}" srcOrd="1" destOrd="0" parTransId="{F792F064-A11D-45EC-AD5F-9600A1FE08AF}" sibTransId="{9F711D50-EA8C-4344-8558-65DDD2E8D2A2}"/>
    <dgm:cxn modelId="{06D9BC9C-F75E-4730-A649-9908304CA119}" srcId="{5891282D-7DAF-4409-BF48-8C118269BADE}" destId="{6645D17C-6C61-425A-A8A6-B200FB548A9B}" srcOrd="9" destOrd="0" parTransId="{66A948B8-F04E-4935-B282-92C55E767BF8}" sibTransId="{825EA462-B793-4408-B85B-6B035174A6C1}"/>
    <dgm:cxn modelId="{55E8D6A2-D673-4892-9AD7-D98E0A7A60D2}" srcId="{5891282D-7DAF-4409-BF48-8C118269BADE}" destId="{257FD0CC-2094-4C0C-90D0-7AB676A6FFF9}" srcOrd="0" destOrd="0" parTransId="{AE2966D5-50DB-4297-9B42-D90EF1B8E0FF}" sibTransId="{64B7AA5B-7C21-4DAA-BA8B-F0EA3C918D70}"/>
    <dgm:cxn modelId="{8A3066A4-5E0C-4C70-AA77-266AFFE261DE}" type="presOf" srcId="{331A0F3E-813A-4C46-8AB3-F3E08999D631}" destId="{95FD9120-E8BC-4234-8BAC-F6D998F7771B}" srcOrd="0" destOrd="0" presId="urn:microsoft.com/office/officeart/2005/8/layout/lProcess1"/>
    <dgm:cxn modelId="{1FD7BAA4-6FF8-4AE9-8D61-2E6DFEF06FA2}" type="presOf" srcId="{B2CC6CCA-9AF6-4758-8D03-F6E75D9DAD9D}" destId="{50C46E5B-FF0D-44DD-AC1A-B72BFDD4D66B}" srcOrd="0" destOrd="0" presId="urn:microsoft.com/office/officeart/2005/8/layout/lProcess1"/>
    <dgm:cxn modelId="{7B0733AA-BE4F-4807-88AD-3DDE8EE7F590}" type="presOf" srcId="{DDD74B13-CF51-45F3-9A4A-3CC9FB05A47A}" destId="{2A23F210-3D52-4FF0-A1DF-09D2840C17AD}" srcOrd="0" destOrd="0" presId="urn:microsoft.com/office/officeart/2005/8/layout/lProcess1"/>
    <dgm:cxn modelId="{1A3AE0AD-4329-415C-B8E1-FC7C19E23624}" type="presOf" srcId="{3E5B4D09-EE45-4EE8-B17F-081932612478}" destId="{1304DC13-20C8-41C3-B8B6-7350C631BF47}" srcOrd="0" destOrd="0" presId="urn:microsoft.com/office/officeart/2005/8/layout/lProcess1"/>
    <dgm:cxn modelId="{149EB8AF-4640-4A8D-96A6-B39B391CEBFC}" srcId="{96DDC1EE-2F29-4750-8CF8-3C87F9098F21}" destId="{8B6C7953-1A4B-4039-8DA8-54CD00D6C7AA}" srcOrd="1" destOrd="0" parTransId="{76F1A528-D732-4B1F-B513-E7A545846479}" sibTransId="{38348976-BE55-475B-91F8-F235211B50C0}"/>
    <dgm:cxn modelId="{AE256EB5-D6EE-4254-966E-EEBECF66D100}" type="presOf" srcId="{F5DEE33B-A2EF-458E-A453-179421EC1E12}" destId="{29076BE2-BD08-4E15-8CE9-7DDE33FE6768}" srcOrd="0" destOrd="0" presId="urn:microsoft.com/office/officeart/2005/8/layout/lProcess1"/>
    <dgm:cxn modelId="{3A2A15B7-961B-4790-B052-709BC8D31FD1}" type="presOf" srcId="{95212E55-2D63-411B-9E21-0EFF6F3FCFFE}" destId="{99C526C0-4775-4B50-918E-50D5EE69BD86}" srcOrd="0" destOrd="0" presId="urn:microsoft.com/office/officeart/2005/8/layout/lProcess1"/>
    <dgm:cxn modelId="{FCF48DB7-3333-4B8D-B5FB-433598DE0A03}" srcId="{5891282D-7DAF-4409-BF48-8C118269BADE}" destId="{51CEC828-66FE-4A7C-A6C4-5682336E2E57}" srcOrd="1" destOrd="0" parTransId="{7E7D8AB3-E3F3-476A-B3DC-7DCE4D75FB21}" sibTransId="{8B56D27C-6961-4FA6-98C2-5FA0F9F4562E}"/>
    <dgm:cxn modelId="{D1497DB8-8DD2-4FF7-AC08-8450E0B0BF7A}" type="presOf" srcId="{B8C598C9-5D8F-453A-9772-08EC704E932D}" destId="{7217A355-3723-4054-B048-673337F62983}" srcOrd="0" destOrd="0" presId="urn:microsoft.com/office/officeart/2005/8/layout/lProcess1"/>
    <dgm:cxn modelId="{32D05CB9-EB07-4EF1-B1A7-F8D1F1B67FF6}" type="presOf" srcId="{2E5444F0-9BBD-4F53-A20C-8D148585DAD5}" destId="{5AFAA241-C69F-442B-80DC-64CBA96946E6}" srcOrd="0" destOrd="0" presId="urn:microsoft.com/office/officeart/2005/8/layout/lProcess1"/>
    <dgm:cxn modelId="{BD1AD4BB-A9B8-4502-83AC-F84B47AF8EAE}" srcId="{4AD2A121-F574-4353-B878-6DC6B2C784F0}" destId="{826A8DB9-4866-4E1B-906D-95118E57A75E}" srcOrd="7" destOrd="0" parTransId="{B86D9702-139C-44CC-89AE-525E44ACC15D}" sibTransId="{E65CB6B7-D593-49AF-BDD0-142429BF4383}"/>
    <dgm:cxn modelId="{DFCAEEBB-AABB-4711-B1D3-9FA8F07F3CF9}" type="presOf" srcId="{657EF765-D86B-49A9-8B26-17F739A5F718}" destId="{4B4E2FC6-B558-4601-8CA3-C0CEDE8E6FCD}" srcOrd="0" destOrd="0" presId="urn:microsoft.com/office/officeart/2005/8/layout/lProcess1"/>
    <dgm:cxn modelId="{96401EBC-A4BD-462E-9CFA-70329BA65E35}" type="presOf" srcId="{E5477D11-6DEE-4B07-A2EC-E37D2385042C}" destId="{057F6BA2-BE6B-4A1B-95A5-DAFCEF4DA5E5}" srcOrd="0" destOrd="0" presId="urn:microsoft.com/office/officeart/2005/8/layout/lProcess1"/>
    <dgm:cxn modelId="{456CDDBE-41FE-4B19-835C-16538C696456}" type="presOf" srcId="{30463371-B4A1-46F2-A385-9510BDF74762}" destId="{AF9D4FB4-3491-4731-8315-2A9A050CE858}" srcOrd="0" destOrd="0" presId="urn:microsoft.com/office/officeart/2005/8/layout/lProcess1"/>
    <dgm:cxn modelId="{86D551C0-A61F-478C-8CD1-C3712BF3403E}" srcId="{4AD2A121-F574-4353-B878-6DC6B2C784F0}" destId="{BA4CC05C-721D-4485-9D89-B21311815FEC}" srcOrd="0" destOrd="0" parTransId="{403C8236-411F-4A47-AEF3-8F291BAA0666}" sibTransId="{9BCD709B-6DDB-4EE8-ADAB-3BCAE549DD19}"/>
    <dgm:cxn modelId="{B4FF81C2-D5C8-494F-9195-93453B664B2A}" srcId="{B1E8F498-0D0B-442A-A951-4D7C1624012A}" destId="{43D56692-CE7C-40C0-852E-19720E003566}" srcOrd="5" destOrd="0" parTransId="{635161EE-8A81-420A-9960-F66F31CAD220}" sibTransId="{FC502540-EE20-4E7B-995B-94C969AB7847}"/>
    <dgm:cxn modelId="{6272CFC2-6C8F-4ADD-8F3E-BC86E759A78B}" srcId="{F5DEE33B-A2EF-458E-A453-179421EC1E12}" destId="{9EFD9B21-335E-4B2D-9908-7B74E0001BE3}" srcOrd="8" destOrd="0" parTransId="{583D64A2-7097-4E90-97CE-63A36AC42521}" sibTransId="{99F415F0-002A-45D1-9FE3-2385F3E35B20}"/>
    <dgm:cxn modelId="{2DF0D2C3-7C6C-49B3-90FC-80C26C92D4D6}" srcId="{96DDC1EE-2F29-4750-8CF8-3C87F9098F21}" destId="{C2BA604B-66A6-4A25-8999-7EB34CFD0C1D}" srcOrd="6" destOrd="0" parTransId="{DD2174E7-A213-480A-8FE7-BCEC8610FE26}" sibTransId="{5A2921BA-AF83-44CA-B086-38000579128E}"/>
    <dgm:cxn modelId="{51BF5BC5-ED3C-47E8-99BD-FBC202F70676}" type="presOf" srcId="{E7EFBF97-3EFE-4FF6-BE38-250625B066D6}" destId="{9DE48C3E-48C2-4EC0-9E0C-99453B1FB0A0}" srcOrd="0" destOrd="0" presId="urn:microsoft.com/office/officeart/2005/8/layout/lProcess1"/>
    <dgm:cxn modelId="{057ADDC6-8F1D-452F-A42B-2D6B9B6E98BB}" srcId="{4901AB79-DE82-473F-8979-974C30D4BD28}" destId="{F87E713A-5ED6-4CA3-90BA-141C37114844}" srcOrd="8" destOrd="0" parTransId="{F96376B3-0828-42E7-A946-DFB30AD13876}" sibTransId="{657EF765-D86B-49A9-8B26-17F739A5F718}"/>
    <dgm:cxn modelId="{824B64C8-67A3-4B03-8F04-CE2CE4D9DD69}" type="presOf" srcId="{8DFABE2D-271C-4EA5-AB3E-CB73E4FBA19F}" destId="{ABE8295F-FFE7-4225-A3A1-B1F695DC7EF8}" srcOrd="0" destOrd="0" presId="urn:microsoft.com/office/officeart/2005/8/layout/lProcess1"/>
    <dgm:cxn modelId="{90360BC9-A12C-4048-B9D2-5D79D33312D1}" srcId="{B1E8F498-0D0B-442A-A951-4D7C1624012A}" destId="{5891282D-7DAF-4409-BF48-8C118269BADE}" srcOrd="1" destOrd="0" parTransId="{2E1A4C1D-43EE-4F30-BB36-23682FABE7FC}" sibTransId="{B60D4621-8183-4609-8CC2-AFC40217245B}"/>
    <dgm:cxn modelId="{B52E55CB-1EB5-4D33-B677-ED7BCFE983A5}" srcId="{F5DEE33B-A2EF-458E-A453-179421EC1E12}" destId="{7633D330-4C98-4FEB-A85E-6E9676E81260}" srcOrd="7" destOrd="0" parTransId="{FD76B2B8-3AD1-4412-9C57-E390983A385F}" sibTransId="{7DADB3EF-07CA-4BBC-B55D-C537BC045020}"/>
    <dgm:cxn modelId="{326566CD-9796-41D2-BEF3-58B453F73C60}" type="presOf" srcId="{868CF8FB-21EB-4C84-8A1B-3CF155D0E297}" destId="{E5AAB9E5-0A90-4F73-AEF4-7BC94D23B370}" srcOrd="0" destOrd="0" presId="urn:microsoft.com/office/officeart/2005/8/layout/lProcess1"/>
    <dgm:cxn modelId="{B96010D0-0CE0-45FF-B259-25A15E5F0033}" type="presOf" srcId="{9020122D-AD46-4803-A731-A46C2A03EE44}" destId="{46F51DC3-1A17-4AAB-9EF4-53D50C44FA4D}" srcOrd="0" destOrd="0" presId="urn:microsoft.com/office/officeart/2005/8/layout/lProcess1"/>
    <dgm:cxn modelId="{468E2DD0-4E6B-4F71-8BBF-0017818EC129}" type="presOf" srcId="{9BCD709B-6DDB-4EE8-ADAB-3BCAE549DD19}" destId="{A24A80E5-B77A-4272-9939-CFA451427314}" srcOrd="0" destOrd="0" presId="urn:microsoft.com/office/officeart/2005/8/layout/lProcess1"/>
    <dgm:cxn modelId="{CFB694D2-868A-4A76-BFA2-C0DE57E64DF2}" srcId="{4901AB79-DE82-473F-8979-974C30D4BD28}" destId="{B2CC6CCA-9AF6-4758-8D03-F6E75D9DAD9D}" srcOrd="4" destOrd="0" parTransId="{6909C7F9-E975-40D3-8427-A8740EE59D75}" sibTransId="{FDAA824B-B643-40F8-BDD8-AA40114A77CA}"/>
    <dgm:cxn modelId="{59782AD5-AF85-41C3-B774-E0A4C66C3AAD}" type="presOf" srcId="{D9D76D0F-0E4C-403F-B106-BDC170E1A3FF}" destId="{6D4AB249-5DB8-4EC1-BA0E-F51276DC7FF3}" srcOrd="0" destOrd="0" presId="urn:microsoft.com/office/officeart/2005/8/layout/lProcess1"/>
    <dgm:cxn modelId="{85E876D6-4167-4B73-B4A6-E523F2DD89A8}" srcId="{43D56692-CE7C-40C0-852E-19720E003566}" destId="{3E5B4D09-EE45-4EE8-B17F-081932612478}" srcOrd="1" destOrd="0" parTransId="{23DB5706-C6FE-4A5D-BD4C-3F6129D3EE63}" sibTransId="{9020122D-AD46-4803-A731-A46C2A03EE44}"/>
    <dgm:cxn modelId="{3976A0D6-58F6-45A4-AA96-5231420BA6F4}" type="presOf" srcId="{096996C8-D5AE-48E5-951B-C066130AB1C8}" destId="{77067563-5465-4465-9DD8-F602876BA92A}" srcOrd="0" destOrd="0" presId="urn:microsoft.com/office/officeart/2005/8/layout/lProcess1"/>
    <dgm:cxn modelId="{B37C43D7-71EC-4D6A-8F73-E59BA6F79F60}" type="presOf" srcId="{D5AAFEA2-E4BC-43C1-A238-224F4B86C7F1}" destId="{E7DE3A7B-2F8E-4B67-993D-88F06629186D}" srcOrd="0" destOrd="0" presId="urn:microsoft.com/office/officeart/2005/8/layout/lProcess1"/>
    <dgm:cxn modelId="{A0B07DD9-A1D8-4BF3-AAAE-0B83DA3541FE}" type="presOf" srcId="{96AF2DC5-DDAA-415A-9011-57D65F75513D}" destId="{E874195F-51CF-4EBD-AD2C-D314EA0A81B3}" srcOrd="0" destOrd="0" presId="urn:microsoft.com/office/officeart/2005/8/layout/lProcess1"/>
    <dgm:cxn modelId="{7A91A1D9-F235-4261-88E5-8F4B73E98F70}" srcId="{43D56692-CE7C-40C0-852E-19720E003566}" destId="{D5AAFEA2-E4BC-43C1-A238-224F4B86C7F1}" srcOrd="3" destOrd="0" parTransId="{42B2B66B-EDAD-4C64-88A2-DD9D1E042612}" sibTransId="{2006FC6E-C772-415A-B766-CDDE5DF05A41}"/>
    <dgm:cxn modelId="{8D37C2DA-8930-4330-B191-55D31C2193DA}" srcId="{F5DEE33B-A2EF-458E-A453-179421EC1E12}" destId="{E5477D11-6DEE-4B07-A2EC-E37D2385042C}" srcOrd="4" destOrd="0" parTransId="{AC6C9B45-DE13-43F6-AE92-0823D23A1362}" sibTransId="{7E5C75F6-C486-4980-B37D-459D5D37F6B0}"/>
    <dgm:cxn modelId="{0348D7DC-C97F-4BF3-814A-4B23F7002CBE}" type="presOf" srcId="{6D6DAFCF-2C99-41E5-9CE6-B8C76D6850D6}" destId="{8BA61C51-8FEB-43DF-B44A-E999B0AFBA39}" srcOrd="0" destOrd="0" presId="urn:microsoft.com/office/officeart/2005/8/layout/lProcess1"/>
    <dgm:cxn modelId="{3EA5E6DD-557C-4054-8453-6250DF87AD6C}" type="presOf" srcId="{EA9D367E-F200-4A44-999C-E499B048A244}" destId="{04AAF844-E4EF-474D-98B8-B254E6034D01}" srcOrd="0" destOrd="0" presId="urn:microsoft.com/office/officeart/2005/8/layout/lProcess1"/>
    <dgm:cxn modelId="{272381DF-864A-4817-B18F-5560480A2707}" srcId="{5891282D-7DAF-4409-BF48-8C118269BADE}" destId="{C8511575-CAD2-478D-AE23-AD9A6DB288D7}" srcOrd="6" destOrd="0" parTransId="{CB2B6AA1-C7EF-4D3F-BC9B-9A1CF570F1EE}" sibTransId="{45886A70-0D23-4366-9CC7-51A5F435098C}"/>
    <dgm:cxn modelId="{8D9D5DE2-0194-471C-A8EF-718CD296DE62}" type="presOf" srcId="{38348976-BE55-475B-91F8-F235211B50C0}" destId="{3AAE5CCD-7449-4BE6-AF92-4882A45137C7}" srcOrd="0" destOrd="0" presId="urn:microsoft.com/office/officeart/2005/8/layout/lProcess1"/>
    <dgm:cxn modelId="{59DD28E5-1F87-4303-B117-90D9EC8A7070}" srcId="{4AD2A121-F574-4353-B878-6DC6B2C784F0}" destId="{809772AF-E1A6-4196-8CA1-9870B4A7EDBC}" srcOrd="1" destOrd="0" parTransId="{4CCB2E2A-0ADB-48E5-9AC8-59A7167FCF0B}" sibTransId="{E9E08DE7-ABA3-498C-8285-5C9BADED8328}"/>
    <dgm:cxn modelId="{4E57DFE6-371F-409A-B2C5-201A0EE6445A}" type="presOf" srcId="{C8511575-CAD2-478D-AE23-AD9A6DB288D7}" destId="{969B91B2-5E91-4063-90B8-F700832C7B1B}" srcOrd="0" destOrd="0" presId="urn:microsoft.com/office/officeart/2005/8/layout/lProcess1"/>
    <dgm:cxn modelId="{18EDF0E6-1195-4E68-B6C3-D8A057B25D03}" srcId="{F5DEE33B-A2EF-458E-A453-179421EC1E12}" destId="{C62D9145-ED1C-4F8F-998C-708F8BEEBEBA}" srcOrd="9" destOrd="0" parTransId="{C0BCD699-1560-49DE-941E-737FDFD22B64}" sibTransId="{4B10A7FA-6194-467A-A114-D51F604A272E}"/>
    <dgm:cxn modelId="{2AA2A8E7-9177-4518-A786-D2BA7C7B2B61}" type="presOf" srcId="{90DB5037-7F49-439A-AE36-FEAEF1299099}" destId="{58CA5060-BF88-49F5-8282-C6038377A21D}" srcOrd="0" destOrd="0" presId="urn:microsoft.com/office/officeart/2005/8/layout/lProcess1"/>
    <dgm:cxn modelId="{A39BD7E8-D676-4FAC-9388-1ACC20D0084E}" type="presOf" srcId="{7E5C75F6-C486-4980-B37D-459D5D37F6B0}" destId="{73AB737E-5E2B-42A7-BCE8-418D03BDB19A}" srcOrd="0" destOrd="0" presId="urn:microsoft.com/office/officeart/2005/8/layout/lProcess1"/>
    <dgm:cxn modelId="{9964EDE8-D7E9-41CB-996E-7F369647AD65}" srcId="{5891282D-7DAF-4409-BF48-8C118269BADE}" destId="{2AE38D7E-CA0A-42F6-A975-54B23633AB8F}" srcOrd="2" destOrd="0" parTransId="{C26D0F36-FC4D-43C4-ADEE-348BD4420390}" sibTransId="{BE2AA24A-A347-4C81-836D-7162B377B7E7}"/>
    <dgm:cxn modelId="{CD67F1E9-CBAE-4546-9258-91C919ACC0B2}" type="presOf" srcId="{CDB70C27-2FB7-46E6-B9E2-821A9A1B111E}" destId="{847FEDC3-C389-42DD-A429-4D5F756E3828}" srcOrd="0" destOrd="0" presId="urn:microsoft.com/office/officeart/2005/8/layout/lProcess1"/>
    <dgm:cxn modelId="{1D3897EB-8951-45B6-A228-FF9EEEE12AD2}" srcId="{96DDC1EE-2F29-4750-8CF8-3C87F9098F21}" destId="{EA9D367E-F200-4A44-999C-E499B048A244}" srcOrd="3" destOrd="0" parTransId="{1991C06D-CB0B-4934-9A40-A88C9FD830DB}" sibTransId="{90DB5037-7F49-439A-AE36-FEAEF1299099}"/>
    <dgm:cxn modelId="{4E26F1EB-3BF0-4E2C-B741-6EB01139F367}" type="presOf" srcId="{EF2D9657-01A3-408C-B38F-9C6E5196B7F2}" destId="{02ED1394-205A-4111-99D2-3112F289CB14}" srcOrd="0" destOrd="0" presId="urn:microsoft.com/office/officeart/2005/8/layout/lProcess1"/>
    <dgm:cxn modelId="{190A16EC-EB5B-44B0-B63F-3AF058790FAF}" srcId="{96DDC1EE-2F29-4750-8CF8-3C87F9098F21}" destId="{54356B57-D40A-49E1-95CB-D19DA293C623}" srcOrd="4" destOrd="0" parTransId="{D03F45BA-404B-4B13-921A-B5E3D0E13567}" sibTransId="{1C88A94A-F0B6-4132-B2F7-EDA92571CEE9}"/>
    <dgm:cxn modelId="{CDF877F0-48A7-45D8-AD85-78400E28BC9F}" srcId="{96DDC1EE-2F29-4750-8CF8-3C87F9098F21}" destId="{33F50398-40C7-4C6B-8CC9-81226E3DA2C5}" srcOrd="7" destOrd="0" parTransId="{AD0FD8AF-0B29-4F7E-BFE8-6686A88F7DEB}" sibTransId="{F5BA43D8-6E58-4456-AC71-ADAC124CD820}"/>
    <dgm:cxn modelId="{C2AB9CF0-2EB8-447F-B1AC-A1DB888B99D2}" type="presOf" srcId="{B5E77AA5-69D0-43EC-A5F0-D264B0C68FAC}" destId="{FBD4C7E5-FEB3-42F0-9D08-6E709A9FCB48}" srcOrd="0" destOrd="0" presId="urn:microsoft.com/office/officeart/2005/8/layout/lProcess1"/>
    <dgm:cxn modelId="{232D92FA-439A-448E-AB66-F622629B07F7}" srcId="{5891282D-7DAF-4409-BF48-8C118269BADE}" destId="{358F8D62-827B-4E08-A946-0EAEB763AAA6}" srcOrd="3" destOrd="0" parTransId="{B601FC8E-A6C3-4741-B0BE-A14474D1FF8E}" sibTransId="{840954EE-85E6-4DB8-BA45-E26DD884822D}"/>
    <dgm:cxn modelId="{870ECAFA-CF91-4894-89A2-54577737A206}" type="presOf" srcId="{4AD2A121-F574-4353-B878-6DC6B2C784F0}" destId="{42421F43-B2A3-4E74-A84B-FD476A815830}" srcOrd="0" destOrd="0" presId="urn:microsoft.com/office/officeart/2005/8/layout/lProcess1"/>
    <dgm:cxn modelId="{8FB54CFC-B832-48D3-AB53-0877C45E41D5}" type="presOf" srcId="{4DE585C3-D624-4D6B-965D-B1E708DA3F61}" destId="{04E349DE-A296-4797-A231-013758126630}" srcOrd="0" destOrd="0" presId="urn:microsoft.com/office/officeart/2005/8/layout/lProcess1"/>
    <dgm:cxn modelId="{155D08FD-4645-4D0C-8738-72226EC14F76}" type="presOf" srcId="{B2CA66E9-7A51-48B6-9ED9-C046BBDACE75}" destId="{5D7234AE-1EFE-4C72-BEFC-0D9878421BD1}" srcOrd="0" destOrd="0" presId="urn:microsoft.com/office/officeart/2005/8/layout/lProcess1"/>
    <dgm:cxn modelId="{D584A5D4-2A41-4E7F-ACA0-B7B9258B50B8}" type="presParOf" srcId="{187581DA-7762-490B-AB0F-BD0F9FFFEB86}" destId="{BFA91545-77B4-4A20-8920-712223076692}" srcOrd="0" destOrd="0" presId="urn:microsoft.com/office/officeart/2005/8/layout/lProcess1"/>
    <dgm:cxn modelId="{917F0FBF-8205-46CA-83ED-20E24D91DE88}" type="presParOf" srcId="{BFA91545-77B4-4A20-8920-712223076692}" destId="{29076BE2-BD08-4E15-8CE9-7DDE33FE6768}" srcOrd="0" destOrd="0" presId="urn:microsoft.com/office/officeart/2005/8/layout/lProcess1"/>
    <dgm:cxn modelId="{4D3C9D57-BAD8-4649-B839-97F0D2374BA1}" type="presParOf" srcId="{BFA91545-77B4-4A20-8920-712223076692}" destId="{888C2F89-B251-48F6-89B6-27BDD7DE78FE}" srcOrd="1" destOrd="0" presId="urn:microsoft.com/office/officeart/2005/8/layout/lProcess1"/>
    <dgm:cxn modelId="{8A9203F5-7364-4EF1-933C-BE4D7F3E5DC8}" type="presParOf" srcId="{BFA91545-77B4-4A20-8920-712223076692}" destId="{95FD9120-E8BC-4234-8BAC-F6D998F7771B}" srcOrd="2" destOrd="0" presId="urn:microsoft.com/office/officeart/2005/8/layout/lProcess1"/>
    <dgm:cxn modelId="{E0B311B9-A468-427B-A836-74C2CF95C8D9}" type="presParOf" srcId="{BFA91545-77B4-4A20-8920-712223076692}" destId="{3F885AE3-488F-419D-80B8-C9EC1D407F8C}" srcOrd="3" destOrd="0" presId="urn:microsoft.com/office/officeart/2005/8/layout/lProcess1"/>
    <dgm:cxn modelId="{2C4F4E1D-E558-4A43-A1D2-3C6DE6C00BF9}" type="presParOf" srcId="{BFA91545-77B4-4A20-8920-712223076692}" destId="{DFAE3C3A-F3DA-409E-BDC8-AD6CCD4F9901}" srcOrd="4" destOrd="0" presId="urn:microsoft.com/office/officeart/2005/8/layout/lProcess1"/>
    <dgm:cxn modelId="{8EEB2BD4-8AB4-4015-B148-985AE602B525}" type="presParOf" srcId="{BFA91545-77B4-4A20-8920-712223076692}" destId="{37A04532-842B-45A5-AA01-142523E883EC}" srcOrd="5" destOrd="0" presId="urn:microsoft.com/office/officeart/2005/8/layout/lProcess1"/>
    <dgm:cxn modelId="{6FB84943-7EE7-46DD-A33A-41841A5C107E}" type="presParOf" srcId="{BFA91545-77B4-4A20-8920-712223076692}" destId="{49DD8DD2-CAC1-4198-BA90-AAEB5E24AF7C}" srcOrd="6" destOrd="0" presId="urn:microsoft.com/office/officeart/2005/8/layout/lProcess1"/>
    <dgm:cxn modelId="{9DE2AA90-2791-4125-98FC-113AACD7A0DE}" type="presParOf" srcId="{BFA91545-77B4-4A20-8920-712223076692}" destId="{6D2F8A3F-23ED-4719-8730-63F21B50B179}" srcOrd="7" destOrd="0" presId="urn:microsoft.com/office/officeart/2005/8/layout/lProcess1"/>
    <dgm:cxn modelId="{CA3392EF-E2B3-4D6A-B401-DD96A00E05D7}" type="presParOf" srcId="{BFA91545-77B4-4A20-8920-712223076692}" destId="{E874195F-51CF-4EBD-AD2C-D314EA0A81B3}" srcOrd="8" destOrd="0" presId="urn:microsoft.com/office/officeart/2005/8/layout/lProcess1"/>
    <dgm:cxn modelId="{4C115F32-50C0-4591-9438-B9E934E3021B}" type="presParOf" srcId="{BFA91545-77B4-4A20-8920-712223076692}" destId="{4CACD1A7-A914-4475-A0CF-17B3720FF29D}" srcOrd="9" destOrd="0" presId="urn:microsoft.com/office/officeart/2005/8/layout/lProcess1"/>
    <dgm:cxn modelId="{9BAA9085-8B9C-4EE4-96CF-92DD06C50A16}" type="presParOf" srcId="{BFA91545-77B4-4A20-8920-712223076692}" destId="{057F6BA2-BE6B-4A1B-95A5-DAFCEF4DA5E5}" srcOrd="10" destOrd="0" presId="urn:microsoft.com/office/officeart/2005/8/layout/lProcess1"/>
    <dgm:cxn modelId="{1D07A939-0762-46AB-8BDE-3A01FB09D8BE}" type="presParOf" srcId="{BFA91545-77B4-4A20-8920-712223076692}" destId="{73AB737E-5E2B-42A7-BCE8-418D03BDB19A}" srcOrd="11" destOrd="0" presId="urn:microsoft.com/office/officeart/2005/8/layout/lProcess1"/>
    <dgm:cxn modelId="{C17D4C9F-85D8-4FDB-8AFF-F956BD4A114F}" type="presParOf" srcId="{BFA91545-77B4-4A20-8920-712223076692}" destId="{AED15A31-2A6F-4851-AD2B-008B39B3626A}" srcOrd="12" destOrd="0" presId="urn:microsoft.com/office/officeart/2005/8/layout/lProcess1"/>
    <dgm:cxn modelId="{A4499522-C9B4-4D60-A451-ED0DBEA1223F}" type="presParOf" srcId="{BFA91545-77B4-4A20-8920-712223076692}" destId="{2A23F210-3D52-4FF0-A1DF-09D2840C17AD}" srcOrd="13" destOrd="0" presId="urn:microsoft.com/office/officeart/2005/8/layout/lProcess1"/>
    <dgm:cxn modelId="{9B2F039C-8ADB-4E19-A453-97A3FA91FCEB}" type="presParOf" srcId="{BFA91545-77B4-4A20-8920-712223076692}" destId="{D9C41CEE-2F95-4B3A-8CD9-2A34D320ED90}" srcOrd="14" destOrd="0" presId="urn:microsoft.com/office/officeart/2005/8/layout/lProcess1"/>
    <dgm:cxn modelId="{522D9E35-2462-410C-82A5-27AA1453D925}" type="presParOf" srcId="{BFA91545-77B4-4A20-8920-712223076692}" destId="{77067563-5465-4465-9DD8-F602876BA92A}" srcOrd="15" destOrd="0" presId="urn:microsoft.com/office/officeart/2005/8/layout/lProcess1"/>
    <dgm:cxn modelId="{D53BCBE3-B26B-4E9D-8B42-10821EEC0053}" type="presParOf" srcId="{BFA91545-77B4-4A20-8920-712223076692}" destId="{6E76190F-18E5-43C4-8257-B13F24180393}" srcOrd="16" destOrd="0" presId="urn:microsoft.com/office/officeart/2005/8/layout/lProcess1"/>
    <dgm:cxn modelId="{750F7D4C-2D67-4A0E-A0ED-5EE53F31A687}" type="presParOf" srcId="{BFA91545-77B4-4A20-8920-712223076692}" destId="{2970F71B-B0D4-49A7-8631-F1339E4692BF}" srcOrd="17" destOrd="0" presId="urn:microsoft.com/office/officeart/2005/8/layout/lProcess1"/>
    <dgm:cxn modelId="{0B9D559E-11C8-415C-BB91-004F1538A5AC}" type="presParOf" srcId="{BFA91545-77B4-4A20-8920-712223076692}" destId="{D686A98D-89B9-479D-985F-CA0A713D705F}" srcOrd="18" destOrd="0" presId="urn:microsoft.com/office/officeart/2005/8/layout/lProcess1"/>
    <dgm:cxn modelId="{70E3CCB0-6D63-48D0-95AF-5F2F82863B63}" type="presParOf" srcId="{BFA91545-77B4-4A20-8920-712223076692}" destId="{88779DD0-692F-4205-A19B-22481ECE4C3F}" srcOrd="19" destOrd="0" presId="urn:microsoft.com/office/officeart/2005/8/layout/lProcess1"/>
    <dgm:cxn modelId="{8F00E69D-2EAF-4018-89A2-2ECF8DAE5A2F}" type="presParOf" srcId="{BFA91545-77B4-4A20-8920-712223076692}" destId="{50088D42-1F7E-4CFF-ABEA-56B82F376267}" srcOrd="20" destOrd="0" presId="urn:microsoft.com/office/officeart/2005/8/layout/lProcess1"/>
    <dgm:cxn modelId="{864F9FAD-1F9D-400E-A20D-F73F527CA51D}" type="presParOf" srcId="{187581DA-7762-490B-AB0F-BD0F9FFFEB86}" destId="{E494DF61-E685-4321-992A-379C291BB7B1}" srcOrd="1" destOrd="0" presId="urn:microsoft.com/office/officeart/2005/8/layout/lProcess1"/>
    <dgm:cxn modelId="{A3FC27ED-30E8-4E1A-9D81-FA697C165493}" type="presParOf" srcId="{187581DA-7762-490B-AB0F-BD0F9FFFEB86}" destId="{182C83EA-C416-4B56-8C4D-CFCE5D7D32F0}" srcOrd="2" destOrd="0" presId="urn:microsoft.com/office/officeart/2005/8/layout/lProcess1"/>
    <dgm:cxn modelId="{8D4A876A-40A5-4B97-8BC3-8632BD8D07A0}" type="presParOf" srcId="{182C83EA-C416-4B56-8C4D-CFCE5D7D32F0}" destId="{E8C34120-2B6F-4573-B22F-30F91B164BEF}" srcOrd="0" destOrd="0" presId="urn:microsoft.com/office/officeart/2005/8/layout/lProcess1"/>
    <dgm:cxn modelId="{21528771-CE48-43A1-AD29-20478A322DAE}" type="presParOf" srcId="{182C83EA-C416-4B56-8C4D-CFCE5D7D32F0}" destId="{E43310B2-8C28-4A37-82A7-F2FCA869006E}" srcOrd="1" destOrd="0" presId="urn:microsoft.com/office/officeart/2005/8/layout/lProcess1"/>
    <dgm:cxn modelId="{3220DB42-13DB-4C3F-8E6A-2AA9E9439A7F}" type="presParOf" srcId="{182C83EA-C416-4B56-8C4D-CFCE5D7D32F0}" destId="{06F383A0-B142-4AB2-AC2D-1B7BA4C4647D}" srcOrd="2" destOrd="0" presId="urn:microsoft.com/office/officeart/2005/8/layout/lProcess1"/>
    <dgm:cxn modelId="{7FD65928-766F-442A-9973-72E979C11E81}" type="presParOf" srcId="{182C83EA-C416-4B56-8C4D-CFCE5D7D32F0}" destId="{98387A0B-5ACD-4D3B-95C1-F2AB40ECEF48}" srcOrd="3" destOrd="0" presId="urn:microsoft.com/office/officeart/2005/8/layout/lProcess1"/>
    <dgm:cxn modelId="{F3346E02-36B4-48FF-83F3-61DC76632137}" type="presParOf" srcId="{182C83EA-C416-4B56-8C4D-CFCE5D7D32F0}" destId="{2D6F8B99-5544-4716-9C01-0DC8E4C91354}" srcOrd="4" destOrd="0" presId="urn:microsoft.com/office/officeart/2005/8/layout/lProcess1"/>
    <dgm:cxn modelId="{3768A0A2-5513-4E14-B9AC-AFDEFC9DC0D1}" type="presParOf" srcId="{182C83EA-C416-4B56-8C4D-CFCE5D7D32F0}" destId="{B87B90F0-78A2-4340-8BD1-B7D9DFB0024F}" srcOrd="5" destOrd="0" presId="urn:microsoft.com/office/officeart/2005/8/layout/lProcess1"/>
    <dgm:cxn modelId="{02962BBC-3806-4D97-ADF9-7865D1A33EDA}" type="presParOf" srcId="{182C83EA-C416-4B56-8C4D-CFCE5D7D32F0}" destId="{A73D1E5F-EE7C-4CF2-B1C0-1F140083B4A5}" srcOrd="6" destOrd="0" presId="urn:microsoft.com/office/officeart/2005/8/layout/lProcess1"/>
    <dgm:cxn modelId="{45631476-D2BF-4423-B14E-FEE71B56800D}" type="presParOf" srcId="{182C83EA-C416-4B56-8C4D-CFCE5D7D32F0}" destId="{ECA0D186-6A7F-4357-92C8-3EBC48009F68}" srcOrd="7" destOrd="0" presId="urn:microsoft.com/office/officeart/2005/8/layout/lProcess1"/>
    <dgm:cxn modelId="{BE7C20F2-A340-43ED-A680-6DFB857D5B9A}" type="presParOf" srcId="{182C83EA-C416-4B56-8C4D-CFCE5D7D32F0}" destId="{DB110899-F697-48BE-8E33-C90D1451C949}" srcOrd="8" destOrd="0" presId="urn:microsoft.com/office/officeart/2005/8/layout/lProcess1"/>
    <dgm:cxn modelId="{28D8C859-3B7F-4FB2-8A8E-FEF7890935D4}" type="presParOf" srcId="{182C83EA-C416-4B56-8C4D-CFCE5D7D32F0}" destId="{6DDE7DE8-E78C-41DB-B21D-34DA5B96A4D4}" srcOrd="9" destOrd="0" presId="urn:microsoft.com/office/officeart/2005/8/layout/lProcess1"/>
    <dgm:cxn modelId="{36336863-A18F-41C7-9DC8-1DF1F66F079D}" type="presParOf" srcId="{182C83EA-C416-4B56-8C4D-CFCE5D7D32F0}" destId="{5D7234AE-1EFE-4C72-BEFC-0D9878421BD1}" srcOrd="10" destOrd="0" presId="urn:microsoft.com/office/officeart/2005/8/layout/lProcess1"/>
    <dgm:cxn modelId="{449BE7D3-DC59-4B24-89BA-C8314FA6A943}" type="presParOf" srcId="{182C83EA-C416-4B56-8C4D-CFCE5D7D32F0}" destId="{7217A355-3723-4054-B048-673337F62983}" srcOrd="11" destOrd="0" presId="urn:microsoft.com/office/officeart/2005/8/layout/lProcess1"/>
    <dgm:cxn modelId="{413C11BB-9569-4776-9DC1-602621934DFD}" type="presParOf" srcId="{182C83EA-C416-4B56-8C4D-CFCE5D7D32F0}" destId="{2E91BF79-3ADE-4A29-8007-6D2FA522D88F}" srcOrd="12" destOrd="0" presId="urn:microsoft.com/office/officeart/2005/8/layout/lProcess1"/>
    <dgm:cxn modelId="{0541CADF-F1D3-48D3-9D01-238BEC6A35F2}" type="presParOf" srcId="{182C83EA-C416-4B56-8C4D-CFCE5D7D32F0}" destId="{7C1942C5-49F6-40C8-9D2D-3E173FE3C69E}" srcOrd="13" destOrd="0" presId="urn:microsoft.com/office/officeart/2005/8/layout/lProcess1"/>
    <dgm:cxn modelId="{CDE3D6F4-47D4-49A3-847C-76ADDEE39710}" type="presParOf" srcId="{182C83EA-C416-4B56-8C4D-CFCE5D7D32F0}" destId="{969B91B2-5E91-4063-90B8-F700832C7B1B}" srcOrd="14" destOrd="0" presId="urn:microsoft.com/office/officeart/2005/8/layout/lProcess1"/>
    <dgm:cxn modelId="{F734D3E2-35E9-4366-BC4B-84F2301BA85E}" type="presParOf" srcId="{182C83EA-C416-4B56-8C4D-CFCE5D7D32F0}" destId="{2986B49E-E97F-4CC1-A748-E2CAAA5EF16C}" srcOrd="15" destOrd="0" presId="urn:microsoft.com/office/officeart/2005/8/layout/lProcess1"/>
    <dgm:cxn modelId="{8E711BF8-6B10-46B4-8DF4-235A87EB65F4}" type="presParOf" srcId="{182C83EA-C416-4B56-8C4D-CFCE5D7D32F0}" destId="{AF9D4FB4-3491-4731-8315-2A9A050CE858}" srcOrd="16" destOrd="0" presId="urn:microsoft.com/office/officeart/2005/8/layout/lProcess1"/>
    <dgm:cxn modelId="{386DEBB1-EE46-4435-8174-037FAF076A7D}" type="presParOf" srcId="{182C83EA-C416-4B56-8C4D-CFCE5D7D32F0}" destId="{6D4AB249-5DB8-4EC1-BA0E-F51276DC7FF3}" srcOrd="17" destOrd="0" presId="urn:microsoft.com/office/officeart/2005/8/layout/lProcess1"/>
    <dgm:cxn modelId="{D1EB1762-BA8E-4A83-A030-344DBCF11367}" type="presParOf" srcId="{182C83EA-C416-4B56-8C4D-CFCE5D7D32F0}" destId="{8F8F640A-0B82-4411-9C5A-C08BBF63A125}" srcOrd="18" destOrd="0" presId="urn:microsoft.com/office/officeart/2005/8/layout/lProcess1"/>
    <dgm:cxn modelId="{06045D23-D0BF-4180-A208-551435DF1293}" type="presParOf" srcId="{182C83EA-C416-4B56-8C4D-CFCE5D7D32F0}" destId="{785BB8B0-54D1-42AC-A64B-D6ADD4C38E82}" srcOrd="19" destOrd="0" presId="urn:microsoft.com/office/officeart/2005/8/layout/lProcess1"/>
    <dgm:cxn modelId="{2B25E5A4-0F75-4E86-A302-7F4E8473D03E}" type="presParOf" srcId="{182C83EA-C416-4B56-8C4D-CFCE5D7D32F0}" destId="{05FA1963-B043-4381-B4ED-FA948B592FE5}" srcOrd="20" destOrd="0" presId="urn:microsoft.com/office/officeart/2005/8/layout/lProcess1"/>
    <dgm:cxn modelId="{213DAC0B-9F7D-46D7-8596-C3AAD998AF6E}" type="presParOf" srcId="{187581DA-7762-490B-AB0F-BD0F9FFFEB86}" destId="{70F72910-49A3-4B6D-91D0-D81532F0F8D6}" srcOrd="3" destOrd="0" presId="urn:microsoft.com/office/officeart/2005/8/layout/lProcess1"/>
    <dgm:cxn modelId="{2BE0F2DF-9BC8-47CA-BC00-825B9F6423AE}" type="presParOf" srcId="{187581DA-7762-490B-AB0F-BD0F9FFFEB86}" destId="{4E904948-C895-4086-AA6E-9394C02809AA}" srcOrd="4" destOrd="0" presId="urn:microsoft.com/office/officeart/2005/8/layout/lProcess1"/>
    <dgm:cxn modelId="{8EEFB350-0E6B-4DFB-B0C5-12E9811197CA}" type="presParOf" srcId="{4E904948-C895-4086-AA6E-9394C02809AA}" destId="{2F4E7FB7-2633-4947-9C36-A74D948B828B}" srcOrd="0" destOrd="0" presId="urn:microsoft.com/office/officeart/2005/8/layout/lProcess1"/>
    <dgm:cxn modelId="{54645104-E61E-4609-A3EB-B5DC6D667D8B}" type="presParOf" srcId="{4E904948-C895-4086-AA6E-9394C02809AA}" destId="{EB1C4B11-9E45-4240-AD9F-ACB486314246}" srcOrd="1" destOrd="0" presId="urn:microsoft.com/office/officeart/2005/8/layout/lProcess1"/>
    <dgm:cxn modelId="{ECED56A1-AA97-4902-9D3B-F3BFCB696CD7}" type="presParOf" srcId="{4E904948-C895-4086-AA6E-9394C02809AA}" destId="{AAE2EFCD-9052-4160-81DD-57A5652000FE}" srcOrd="2" destOrd="0" presId="urn:microsoft.com/office/officeart/2005/8/layout/lProcess1"/>
    <dgm:cxn modelId="{1EF05EF1-5199-4E02-B7B5-81CBA22C5573}" type="presParOf" srcId="{4E904948-C895-4086-AA6E-9394C02809AA}" destId="{C12E52ED-237B-4E96-ADD5-A71637920382}" srcOrd="3" destOrd="0" presId="urn:microsoft.com/office/officeart/2005/8/layout/lProcess1"/>
    <dgm:cxn modelId="{ACB309CF-BF68-4C4A-8166-3882CFF5E2F2}" type="presParOf" srcId="{4E904948-C895-4086-AA6E-9394C02809AA}" destId="{A2BC31C6-314B-4FF4-9633-C16E2C8EB610}" srcOrd="4" destOrd="0" presId="urn:microsoft.com/office/officeart/2005/8/layout/lProcess1"/>
    <dgm:cxn modelId="{D9C56B3B-117C-4D0C-A84B-F4387EF78EB6}" type="presParOf" srcId="{4E904948-C895-4086-AA6E-9394C02809AA}" destId="{3AAE5CCD-7449-4BE6-AF92-4882A45137C7}" srcOrd="5" destOrd="0" presId="urn:microsoft.com/office/officeart/2005/8/layout/lProcess1"/>
    <dgm:cxn modelId="{45D65FE4-2EF1-4BEE-8586-2E3791C1D29F}" type="presParOf" srcId="{4E904948-C895-4086-AA6E-9394C02809AA}" destId="{96DFD2A5-3494-48D5-A5E6-A03EB3D2FCE8}" srcOrd="6" destOrd="0" presId="urn:microsoft.com/office/officeart/2005/8/layout/lProcess1"/>
    <dgm:cxn modelId="{1612D522-E83C-44F2-A2AF-6CA11DD39D8C}" type="presParOf" srcId="{4E904948-C895-4086-AA6E-9394C02809AA}" destId="{9DE48C3E-48C2-4EC0-9E0C-99453B1FB0A0}" srcOrd="7" destOrd="0" presId="urn:microsoft.com/office/officeart/2005/8/layout/lProcess1"/>
    <dgm:cxn modelId="{BD8FDA56-5EA2-4CC3-BAC3-E056B51A39B7}" type="presParOf" srcId="{4E904948-C895-4086-AA6E-9394C02809AA}" destId="{04AAF844-E4EF-474D-98B8-B254E6034D01}" srcOrd="8" destOrd="0" presId="urn:microsoft.com/office/officeart/2005/8/layout/lProcess1"/>
    <dgm:cxn modelId="{1DEEE41A-BCA0-4F78-AB05-2D5F2B7ABBD7}" type="presParOf" srcId="{4E904948-C895-4086-AA6E-9394C02809AA}" destId="{58CA5060-BF88-49F5-8282-C6038377A21D}" srcOrd="9" destOrd="0" presId="urn:microsoft.com/office/officeart/2005/8/layout/lProcess1"/>
    <dgm:cxn modelId="{B871CBA9-A555-4027-AC9F-847C93B05FA5}" type="presParOf" srcId="{4E904948-C895-4086-AA6E-9394C02809AA}" destId="{3D88EFA0-331E-4E7A-8B61-D7D969AC3E86}" srcOrd="10" destOrd="0" presId="urn:microsoft.com/office/officeart/2005/8/layout/lProcess1"/>
    <dgm:cxn modelId="{9F7DEB98-512F-451D-A345-968748075600}" type="presParOf" srcId="{4E904948-C895-4086-AA6E-9394C02809AA}" destId="{59D0B201-C26F-44D9-A1CA-ED4C9AA02860}" srcOrd="11" destOrd="0" presId="urn:microsoft.com/office/officeart/2005/8/layout/lProcess1"/>
    <dgm:cxn modelId="{21F2B49B-3B52-4D4B-9565-151711CFE699}" type="presParOf" srcId="{4E904948-C895-4086-AA6E-9394C02809AA}" destId="{7C54FCBA-F2C3-43A7-B753-3741C0A54533}" srcOrd="12" destOrd="0" presId="urn:microsoft.com/office/officeart/2005/8/layout/lProcess1"/>
    <dgm:cxn modelId="{5C2C5A9F-368C-4661-8082-B1B15BB38D51}" type="presParOf" srcId="{4E904948-C895-4086-AA6E-9394C02809AA}" destId="{3CE1F68B-A08F-4B55-8708-8D640AD33A9E}" srcOrd="13" destOrd="0" presId="urn:microsoft.com/office/officeart/2005/8/layout/lProcess1"/>
    <dgm:cxn modelId="{3A1739DC-5045-4140-B16B-7F927D67E5FB}" type="presParOf" srcId="{4E904948-C895-4086-AA6E-9394C02809AA}" destId="{2DD34D39-495B-4B4E-B5F2-BC3F31F17C0B}" srcOrd="14" destOrd="0" presId="urn:microsoft.com/office/officeart/2005/8/layout/lProcess1"/>
    <dgm:cxn modelId="{841CEA99-F69B-4D00-8787-8C3BE9D2A815}" type="presParOf" srcId="{4E904948-C895-4086-AA6E-9394C02809AA}" destId="{73EE3876-10DC-4864-950F-8429A89DA1DC}" srcOrd="15" destOrd="0" presId="urn:microsoft.com/office/officeart/2005/8/layout/lProcess1"/>
    <dgm:cxn modelId="{D32BF3FF-34A7-4AC3-99A9-328623231F5F}" type="presParOf" srcId="{4E904948-C895-4086-AA6E-9394C02809AA}" destId="{FB1C8E10-7F64-4B41-A4BC-F63A75FDF50A}" srcOrd="16" destOrd="0" presId="urn:microsoft.com/office/officeart/2005/8/layout/lProcess1"/>
    <dgm:cxn modelId="{829E65A9-574D-45CA-A490-746F6BA88CE5}" type="presParOf" srcId="{4E904948-C895-4086-AA6E-9394C02809AA}" destId="{F8CB4582-DE61-4CBE-8E7C-E39C293B5252}" srcOrd="17" destOrd="0" presId="urn:microsoft.com/office/officeart/2005/8/layout/lProcess1"/>
    <dgm:cxn modelId="{CD898BE7-87F2-4275-B185-16A6A6DB494D}" type="presParOf" srcId="{4E904948-C895-4086-AA6E-9394C02809AA}" destId="{2AE99AF9-6243-4762-B22A-7F394B19F736}" srcOrd="18" destOrd="0" presId="urn:microsoft.com/office/officeart/2005/8/layout/lProcess1"/>
    <dgm:cxn modelId="{4D481B04-667D-400E-878A-6AC69B96360F}" type="presParOf" srcId="{187581DA-7762-490B-AB0F-BD0F9FFFEB86}" destId="{5FCF06C2-4F3F-446A-9948-2CC49BC95B4B}" srcOrd="5" destOrd="0" presId="urn:microsoft.com/office/officeart/2005/8/layout/lProcess1"/>
    <dgm:cxn modelId="{7886EB55-CC86-42BF-9778-DA3A23AF8286}" type="presParOf" srcId="{187581DA-7762-490B-AB0F-BD0F9FFFEB86}" destId="{19DC1D10-FE83-4150-88A7-6F9308FBD2B4}" srcOrd="6" destOrd="0" presId="urn:microsoft.com/office/officeart/2005/8/layout/lProcess1"/>
    <dgm:cxn modelId="{B0CF9E96-31F0-4B21-8D83-8E6DC0785E5D}" type="presParOf" srcId="{19DC1D10-FE83-4150-88A7-6F9308FBD2B4}" destId="{7C6C1422-E441-44F3-8FE8-A6FDF0C25563}" srcOrd="0" destOrd="0" presId="urn:microsoft.com/office/officeart/2005/8/layout/lProcess1"/>
    <dgm:cxn modelId="{C83CD1B2-B804-44CE-9FCF-A08E64AF6ABE}" type="presParOf" srcId="{19DC1D10-FE83-4150-88A7-6F9308FBD2B4}" destId="{BB999CA9-5CA5-47CC-A7A9-B76892CA5D46}" srcOrd="1" destOrd="0" presId="urn:microsoft.com/office/officeart/2005/8/layout/lProcess1"/>
    <dgm:cxn modelId="{B0C629F8-B164-4F9B-BB01-672671004F27}" type="presParOf" srcId="{19DC1D10-FE83-4150-88A7-6F9308FBD2B4}" destId="{04E349DE-A296-4797-A231-013758126630}" srcOrd="2" destOrd="0" presId="urn:microsoft.com/office/officeart/2005/8/layout/lProcess1"/>
    <dgm:cxn modelId="{4D91DCDB-A051-4547-936D-E52785A74097}" type="presParOf" srcId="{19DC1D10-FE83-4150-88A7-6F9308FBD2B4}" destId="{E5AAB9E5-0A90-4F73-AEF4-7BC94D23B370}" srcOrd="3" destOrd="0" presId="urn:microsoft.com/office/officeart/2005/8/layout/lProcess1"/>
    <dgm:cxn modelId="{C5C19FC8-3220-4E4B-AD9F-7648BECE82D7}" type="presParOf" srcId="{19DC1D10-FE83-4150-88A7-6F9308FBD2B4}" destId="{A24D25B9-C7DA-460F-AD45-CFE3129316C4}" srcOrd="4" destOrd="0" presId="urn:microsoft.com/office/officeart/2005/8/layout/lProcess1"/>
    <dgm:cxn modelId="{2A06340C-48FA-4A25-BCC0-F9FAD7E4B8E7}" type="presParOf" srcId="{19DC1D10-FE83-4150-88A7-6F9308FBD2B4}" destId="{91E25D24-1269-41B8-A83A-1A4F5A0D0A20}" srcOrd="5" destOrd="0" presId="urn:microsoft.com/office/officeart/2005/8/layout/lProcess1"/>
    <dgm:cxn modelId="{363A9F2B-D561-464C-94A3-896FD9D71920}" type="presParOf" srcId="{19DC1D10-FE83-4150-88A7-6F9308FBD2B4}" destId="{11C70C5D-BF0E-4C10-B597-90985C47B597}" srcOrd="6" destOrd="0" presId="urn:microsoft.com/office/officeart/2005/8/layout/lProcess1"/>
    <dgm:cxn modelId="{0A2700C0-4DC5-48E8-961D-6422A0427F4D}" type="presParOf" srcId="{19DC1D10-FE83-4150-88A7-6F9308FBD2B4}" destId="{6A269856-1768-49E5-8AB3-5FA613D8CD56}" srcOrd="7" destOrd="0" presId="urn:microsoft.com/office/officeart/2005/8/layout/lProcess1"/>
    <dgm:cxn modelId="{A66F7F0C-CE67-4D24-8B11-D845092B9A43}" type="presParOf" srcId="{19DC1D10-FE83-4150-88A7-6F9308FBD2B4}" destId="{C8D7292A-8024-491D-971F-757429D2E2FB}" srcOrd="8" destOrd="0" presId="urn:microsoft.com/office/officeart/2005/8/layout/lProcess1"/>
    <dgm:cxn modelId="{A4ADB12D-B040-446E-8D4A-F4079FB2754D}" type="presParOf" srcId="{19DC1D10-FE83-4150-88A7-6F9308FBD2B4}" destId="{ABE699A6-CB5D-494A-80A9-31B8810F2685}" srcOrd="9" destOrd="0" presId="urn:microsoft.com/office/officeart/2005/8/layout/lProcess1"/>
    <dgm:cxn modelId="{8BB53B02-02CC-4E7C-ABCE-F30A6F6458F5}" type="presParOf" srcId="{19DC1D10-FE83-4150-88A7-6F9308FBD2B4}" destId="{50C46E5B-FF0D-44DD-AC1A-B72BFDD4D66B}" srcOrd="10" destOrd="0" presId="urn:microsoft.com/office/officeart/2005/8/layout/lProcess1"/>
    <dgm:cxn modelId="{58EAE02F-C72E-48D1-85AA-724D2E67F39B}" type="presParOf" srcId="{19DC1D10-FE83-4150-88A7-6F9308FBD2B4}" destId="{9A3827C2-04AC-409C-900F-A5F27A38CC91}" srcOrd="11" destOrd="0" presId="urn:microsoft.com/office/officeart/2005/8/layout/lProcess1"/>
    <dgm:cxn modelId="{B39EF52C-B20A-4966-B66D-EECEEE45DA4D}" type="presParOf" srcId="{19DC1D10-FE83-4150-88A7-6F9308FBD2B4}" destId="{02ED1394-205A-4111-99D2-3112F289CB14}" srcOrd="12" destOrd="0" presId="urn:microsoft.com/office/officeart/2005/8/layout/lProcess1"/>
    <dgm:cxn modelId="{CA64A00D-46A5-40CC-884B-88AE82BFE2AF}" type="presParOf" srcId="{19DC1D10-FE83-4150-88A7-6F9308FBD2B4}" destId="{92BD2319-87AE-456E-9E9F-6FE0B1DD4C2E}" srcOrd="13" destOrd="0" presId="urn:microsoft.com/office/officeart/2005/8/layout/lProcess1"/>
    <dgm:cxn modelId="{BF08A5BC-5C9C-4385-8B61-EA79A0456661}" type="presParOf" srcId="{19DC1D10-FE83-4150-88A7-6F9308FBD2B4}" destId="{728C68C2-1318-42E9-A5F0-97A5260943A6}" srcOrd="14" destOrd="0" presId="urn:microsoft.com/office/officeart/2005/8/layout/lProcess1"/>
    <dgm:cxn modelId="{7D94ECAE-56D0-4414-BA0B-C6B4BDA8F149}" type="presParOf" srcId="{19DC1D10-FE83-4150-88A7-6F9308FBD2B4}" destId="{6A6204DF-5B6B-48DC-AA90-E6FE68A2A48A}" srcOrd="15" destOrd="0" presId="urn:microsoft.com/office/officeart/2005/8/layout/lProcess1"/>
    <dgm:cxn modelId="{B5CFB10F-58BC-4736-93A6-CED415378A88}" type="presParOf" srcId="{19DC1D10-FE83-4150-88A7-6F9308FBD2B4}" destId="{74B0E7F7-EEFF-4F81-8E07-75A32020582A}" srcOrd="16" destOrd="0" presId="urn:microsoft.com/office/officeart/2005/8/layout/lProcess1"/>
    <dgm:cxn modelId="{0C233217-DF18-4CBE-9CC6-27F0B7D31AF9}" type="presParOf" srcId="{19DC1D10-FE83-4150-88A7-6F9308FBD2B4}" destId="{1F308CE5-DFF5-4EED-BD4E-16E0B4C4114B}" srcOrd="17" destOrd="0" presId="urn:microsoft.com/office/officeart/2005/8/layout/lProcess1"/>
    <dgm:cxn modelId="{7969F51B-684A-4530-A578-4D6750E2D85B}" type="presParOf" srcId="{19DC1D10-FE83-4150-88A7-6F9308FBD2B4}" destId="{4E4342D2-5F94-4908-8479-122160F298A3}" srcOrd="18" destOrd="0" presId="urn:microsoft.com/office/officeart/2005/8/layout/lProcess1"/>
    <dgm:cxn modelId="{1A042D7F-1F40-4616-9F67-C15C4CF30923}" type="presParOf" srcId="{19DC1D10-FE83-4150-88A7-6F9308FBD2B4}" destId="{4B4E2FC6-B558-4601-8CA3-C0CEDE8E6FCD}" srcOrd="19" destOrd="0" presId="urn:microsoft.com/office/officeart/2005/8/layout/lProcess1"/>
    <dgm:cxn modelId="{EC5917AB-B4FF-41E1-ABDA-3D8ABB995EE4}" type="presParOf" srcId="{19DC1D10-FE83-4150-88A7-6F9308FBD2B4}" destId="{5AFAA241-C69F-442B-80DC-64CBA96946E6}" srcOrd="20" destOrd="0" presId="urn:microsoft.com/office/officeart/2005/8/layout/lProcess1"/>
    <dgm:cxn modelId="{066ABDE8-C3C9-429C-BF31-1F04D1ECE196}" type="presParOf" srcId="{19DC1D10-FE83-4150-88A7-6F9308FBD2B4}" destId="{29FAA992-4EF8-4C1A-B8DB-90C109AE3E82}" srcOrd="21" destOrd="0" presId="urn:microsoft.com/office/officeart/2005/8/layout/lProcess1"/>
    <dgm:cxn modelId="{3CD0C027-760E-40DF-87D3-76706EF722B2}" type="presParOf" srcId="{19DC1D10-FE83-4150-88A7-6F9308FBD2B4}" destId="{8BA61C51-8FEB-43DF-B44A-E999B0AFBA39}" srcOrd="22" destOrd="0" presId="urn:microsoft.com/office/officeart/2005/8/layout/lProcess1"/>
    <dgm:cxn modelId="{B4FC070C-D026-4187-82C2-CB79154DC806}" type="presParOf" srcId="{187581DA-7762-490B-AB0F-BD0F9FFFEB86}" destId="{28A04D2C-2BCB-4EDE-9BB5-E1E7FBB01FE4}" srcOrd="7" destOrd="0" presId="urn:microsoft.com/office/officeart/2005/8/layout/lProcess1"/>
    <dgm:cxn modelId="{6969EFC0-FDD3-484C-864E-AF387593CF10}" type="presParOf" srcId="{187581DA-7762-490B-AB0F-BD0F9FFFEB86}" destId="{2CE666FD-168F-41E9-9318-4F8CA8FBA3E4}" srcOrd="8" destOrd="0" presId="urn:microsoft.com/office/officeart/2005/8/layout/lProcess1"/>
    <dgm:cxn modelId="{8D4CA336-8544-43CC-B3CB-245683F55558}" type="presParOf" srcId="{2CE666FD-168F-41E9-9318-4F8CA8FBA3E4}" destId="{42421F43-B2A3-4E74-A84B-FD476A815830}" srcOrd="0" destOrd="0" presId="urn:microsoft.com/office/officeart/2005/8/layout/lProcess1"/>
    <dgm:cxn modelId="{9D72C09B-920B-4148-9617-3325F474FBB2}" type="presParOf" srcId="{2CE666FD-168F-41E9-9318-4F8CA8FBA3E4}" destId="{ADD6C68F-DF29-4146-85CE-53FA2091313C}" srcOrd="1" destOrd="0" presId="urn:microsoft.com/office/officeart/2005/8/layout/lProcess1"/>
    <dgm:cxn modelId="{6E45941E-0B86-414C-A85F-F3C628B3DB34}" type="presParOf" srcId="{2CE666FD-168F-41E9-9318-4F8CA8FBA3E4}" destId="{B0F71A5D-86B1-4741-9907-6FC588B03F42}" srcOrd="2" destOrd="0" presId="urn:microsoft.com/office/officeart/2005/8/layout/lProcess1"/>
    <dgm:cxn modelId="{92E4A155-C1DF-4672-8911-52D92F21C5D4}" type="presParOf" srcId="{2CE666FD-168F-41E9-9318-4F8CA8FBA3E4}" destId="{A24A80E5-B77A-4272-9939-CFA451427314}" srcOrd="3" destOrd="0" presId="urn:microsoft.com/office/officeart/2005/8/layout/lProcess1"/>
    <dgm:cxn modelId="{70D64C1B-FE1C-46FA-BEF6-5E5565C9120B}" type="presParOf" srcId="{2CE666FD-168F-41E9-9318-4F8CA8FBA3E4}" destId="{D8188022-E73C-4E11-B15D-D7A3DD888BA7}" srcOrd="4" destOrd="0" presId="urn:microsoft.com/office/officeart/2005/8/layout/lProcess1"/>
    <dgm:cxn modelId="{1BC5B541-5AD1-45CF-A845-0AE980E439D3}" type="presParOf" srcId="{2CE666FD-168F-41E9-9318-4F8CA8FBA3E4}" destId="{1EADCF24-D5CB-4B00-B37D-A8F0F520AEDE}" srcOrd="5" destOrd="0" presId="urn:microsoft.com/office/officeart/2005/8/layout/lProcess1"/>
    <dgm:cxn modelId="{3568F7B7-ECAF-407C-ABFD-B54950D1240B}" type="presParOf" srcId="{2CE666FD-168F-41E9-9318-4F8CA8FBA3E4}" destId="{3AEF9209-0337-4C6E-BB4A-1017657529C3}" srcOrd="6" destOrd="0" presId="urn:microsoft.com/office/officeart/2005/8/layout/lProcess1"/>
    <dgm:cxn modelId="{0E4F0F3E-39F4-4080-9575-A5B0CDE73FBA}" type="presParOf" srcId="{2CE666FD-168F-41E9-9318-4F8CA8FBA3E4}" destId="{4AB6454A-1B49-458A-8F40-98C4AC15646B}" srcOrd="7" destOrd="0" presId="urn:microsoft.com/office/officeart/2005/8/layout/lProcess1"/>
    <dgm:cxn modelId="{FB2540E1-3145-4E30-B0BC-5FD27EFE6528}" type="presParOf" srcId="{2CE666FD-168F-41E9-9318-4F8CA8FBA3E4}" destId="{FBD4C7E5-FEB3-42F0-9D08-6E709A9FCB48}" srcOrd="8" destOrd="0" presId="urn:microsoft.com/office/officeart/2005/8/layout/lProcess1"/>
    <dgm:cxn modelId="{42730609-2CDE-43FE-8CEB-67966ED0C94B}" type="presParOf" srcId="{2CE666FD-168F-41E9-9318-4F8CA8FBA3E4}" destId="{ABE8295F-FFE7-4225-A3A1-B1F695DC7EF8}" srcOrd="9" destOrd="0" presId="urn:microsoft.com/office/officeart/2005/8/layout/lProcess1"/>
    <dgm:cxn modelId="{4DDFACF0-0FD7-49E7-BD93-41C1CE8B8818}" type="presParOf" srcId="{2CE666FD-168F-41E9-9318-4F8CA8FBA3E4}" destId="{FD6BD734-D2B3-4611-874D-E27BCCECF338}" srcOrd="10" destOrd="0" presId="urn:microsoft.com/office/officeart/2005/8/layout/lProcess1"/>
    <dgm:cxn modelId="{663D8C69-3D50-4E8E-921A-2F1A44B2CFEB}" type="presParOf" srcId="{2CE666FD-168F-41E9-9318-4F8CA8FBA3E4}" destId="{06211595-39A8-4B6E-8C87-3FBD9CCEC32A}" srcOrd="11" destOrd="0" presId="urn:microsoft.com/office/officeart/2005/8/layout/lProcess1"/>
    <dgm:cxn modelId="{B94A5B8B-6E3F-48A9-AF58-3303DFB202F4}" type="presParOf" srcId="{2CE666FD-168F-41E9-9318-4F8CA8FBA3E4}" destId="{847FEDC3-C389-42DD-A429-4D5F756E3828}" srcOrd="12" destOrd="0" presId="urn:microsoft.com/office/officeart/2005/8/layout/lProcess1"/>
    <dgm:cxn modelId="{709D2D93-9152-4868-90A3-D7788A4241A7}" type="presParOf" srcId="{2CE666FD-168F-41E9-9318-4F8CA8FBA3E4}" destId="{8520E4E2-B35E-4F53-9381-42F916BD4E4F}" srcOrd="13" destOrd="0" presId="urn:microsoft.com/office/officeart/2005/8/layout/lProcess1"/>
    <dgm:cxn modelId="{10444813-1F85-4494-AB36-0ADCF36D7A97}" type="presParOf" srcId="{2CE666FD-168F-41E9-9318-4F8CA8FBA3E4}" destId="{A5EA7AE5-5672-497B-ACD4-E3EA91812DB1}" srcOrd="14" destOrd="0" presId="urn:microsoft.com/office/officeart/2005/8/layout/lProcess1"/>
    <dgm:cxn modelId="{ED54FD94-AE1D-4E29-A9DD-DD7B24C71829}" type="presParOf" srcId="{2CE666FD-168F-41E9-9318-4F8CA8FBA3E4}" destId="{C282B51C-F1EF-4E5B-A9C6-898225A3ACCF}" srcOrd="15" destOrd="0" presId="urn:microsoft.com/office/officeart/2005/8/layout/lProcess1"/>
    <dgm:cxn modelId="{DACB36F6-B0DE-4D46-BDAD-6BB3C3E237BC}" type="presParOf" srcId="{2CE666FD-168F-41E9-9318-4F8CA8FBA3E4}" destId="{DF93A94E-81B5-4555-8668-7D47AED778C5}" srcOrd="16" destOrd="0" presId="urn:microsoft.com/office/officeart/2005/8/layout/lProcess1"/>
    <dgm:cxn modelId="{4AC66418-60B4-49E9-9E93-454C00D1A007}" type="presParOf" srcId="{2CE666FD-168F-41E9-9318-4F8CA8FBA3E4}" destId="{1675C535-D0D5-4BF2-BD8D-741B9828B266}" srcOrd="17" destOrd="0" presId="urn:microsoft.com/office/officeart/2005/8/layout/lProcess1"/>
    <dgm:cxn modelId="{F9903571-1DA2-45A7-BD97-811793DB0D0F}" type="presParOf" srcId="{2CE666FD-168F-41E9-9318-4F8CA8FBA3E4}" destId="{142A2E45-8A0D-45A3-B711-E894070858FA}" srcOrd="18" destOrd="0" presId="urn:microsoft.com/office/officeart/2005/8/layout/lProcess1"/>
    <dgm:cxn modelId="{E8613366-111B-41A2-BB95-B4DA33FF73CD}" type="presParOf" srcId="{187581DA-7762-490B-AB0F-BD0F9FFFEB86}" destId="{F33B0665-3E21-44F9-B0E7-82DAAAB64C0B}" srcOrd="9" destOrd="0" presId="urn:microsoft.com/office/officeart/2005/8/layout/lProcess1"/>
    <dgm:cxn modelId="{0851C237-94AB-4533-9C96-BBDB26C30B11}" type="presParOf" srcId="{187581DA-7762-490B-AB0F-BD0F9FFFEB86}" destId="{2204C7EF-F9FE-464A-861F-632FE3252A8C}" srcOrd="10" destOrd="0" presId="urn:microsoft.com/office/officeart/2005/8/layout/lProcess1"/>
    <dgm:cxn modelId="{8191CF7A-C396-40C4-A70A-8ACA10B38E45}" type="presParOf" srcId="{2204C7EF-F9FE-464A-861F-632FE3252A8C}" destId="{D45F10AE-8C29-45B0-9578-3B4F3BEC7F7B}" srcOrd="0" destOrd="0" presId="urn:microsoft.com/office/officeart/2005/8/layout/lProcess1"/>
    <dgm:cxn modelId="{506BC903-77D2-44CE-917D-1A71C1502B96}" type="presParOf" srcId="{2204C7EF-F9FE-464A-861F-632FE3252A8C}" destId="{99C526C0-4775-4B50-918E-50D5EE69BD86}" srcOrd="1" destOrd="0" presId="urn:microsoft.com/office/officeart/2005/8/layout/lProcess1"/>
    <dgm:cxn modelId="{6F23BC02-93A5-44CB-A564-6C815EF40E65}" type="presParOf" srcId="{2204C7EF-F9FE-464A-861F-632FE3252A8C}" destId="{E2BA91BB-AF02-41B0-9DFA-03D1E0A2CA54}" srcOrd="2" destOrd="0" presId="urn:microsoft.com/office/officeart/2005/8/layout/lProcess1"/>
    <dgm:cxn modelId="{75165B82-538D-49E5-ADC5-7CA12BF1919F}" type="presParOf" srcId="{2204C7EF-F9FE-464A-861F-632FE3252A8C}" destId="{4C6CFAC0-BFA2-4350-9C11-A39B0A47521D}" srcOrd="3" destOrd="0" presId="urn:microsoft.com/office/officeart/2005/8/layout/lProcess1"/>
    <dgm:cxn modelId="{7331D600-F10B-4ED0-8C44-AC3B6EE1E3AB}" type="presParOf" srcId="{2204C7EF-F9FE-464A-861F-632FE3252A8C}" destId="{1304DC13-20C8-41C3-B8B6-7350C631BF47}" srcOrd="4" destOrd="0" presId="urn:microsoft.com/office/officeart/2005/8/layout/lProcess1"/>
    <dgm:cxn modelId="{0E8B5060-B45D-4A23-98B9-5FEAD7E11025}" type="presParOf" srcId="{2204C7EF-F9FE-464A-861F-632FE3252A8C}" destId="{46F51DC3-1A17-4AAB-9EF4-53D50C44FA4D}" srcOrd="5" destOrd="0" presId="urn:microsoft.com/office/officeart/2005/8/layout/lProcess1"/>
    <dgm:cxn modelId="{16CD5BED-2F84-4EB5-AB08-6336CA74CA88}" type="presParOf" srcId="{2204C7EF-F9FE-464A-861F-632FE3252A8C}" destId="{FB690616-B356-49EA-9576-0686644CE84E}" srcOrd="6" destOrd="0" presId="urn:microsoft.com/office/officeart/2005/8/layout/lProcess1"/>
    <dgm:cxn modelId="{093972AF-B93D-4DE2-B6F2-C5826945F640}" type="presParOf" srcId="{2204C7EF-F9FE-464A-861F-632FE3252A8C}" destId="{51B0BAEE-10EF-4E18-9971-9CCD4FD5AD3C}" srcOrd="7" destOrd="0" presId="urn:microsoft.com/office/officeart/2005/8/layout/lProcess1"/>
    <dgm:cxn modelId="{C2AC5135-25A2-4EB0-B900-A6A94548B2CB}" type="presParOf" srcId="{2204C7EF-F9FE-464A-861F-632FE3252A8C}" destId="{E7DE3A7B-2F8E-4B67-993D-88F06629186D}" srcOrd="8" destOrd="0" presId="urn:microsoft.com/office/officeart/2005/8/layout/lProcess1"/>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6B1849B-B877-466D-A806-98F13612ED3C}" type="doc">
      <dgm:prSet loTypeId="urn:microsoft.com/office/officeart/2005/8/layout/hierarchy4" loCatId="list" qsTypeId="urn:microsoft.com/office/officeart/2005/8/quickstyle/simple1" qsCatId="simple" csTypeId="urn:microsoft.com/office/officeart/2005/8/colors/colorful5" csCatId="colorful" phldr="1"/>
      <dgm:spPr/>
      <dgm:t>
        <a:bodyPr/>
        <a:lstStyle/>
        <a:p>
          <a:endParaRPr lang="en-US"/>
        </a:p>
      </dgm:t>
    </dgm:pt>
    <dgm:pt modelId="{44628DB9-23B8-4C4D-815B-ED30ED5C03B7}">
      <dgm:prSet phldrT="[Text]" custT="1"/>
      <dgm:spPr/>
      <dgm:t>
        <a:bodyPr/>
        <a:lstStyle/>
        <a:p>
          <a:r>
            <a:rPr lang="en-US" sz="1000" b="1">
              <a:solidFill>
                <a:schemeClr val="tx1">
                  <a:lumMod val="85000"/>
                  <a:lumOff val="15000"/>
                </a:schemeClr>
              </a:solidFill>
            </a:rPr>
            <a:t>DSHS HOPWA Program</a:t>
          </a:r>
        </a:p>
      </dgm:t>
    </dgm:pt>
    <dgm:pt modelId="{CF132573-2CE4-4A8F-9939-E646DA368E79}" type="parTrans" cxnId="{BA431BC1-A2FD-4672-A21A-C8685A04C163}">
      <dgm:prSet/>
      <dgm:spPr/>
      <dgm:t>
        <a:bodyPr/>
        <a:lstStyle/>
        <a:p>
          <a:endParaRPr lang="en-US" sz="800"/>
        </a:p>
      </dgm:t>
    </dgm:pt>
    <dgm:pt modelId="{9F1516E0-056A-4736-9501-1BD493A6C2E8}" type="sibTrans" cxnId="{BA431BC1-A2FD-4672-A21A-C8685A04C163}">
      <dgm:prSet/>
      <dgm:spPr/>
      <dgm:t>
        <a:bodyPr/>
        <a:lstStyle/>
        <a:p>
          <a:endParaRPr lang="en-US" sz="800"/>
        </a:p>
      </dgm:t>
    </dgm:pt>
    <dgm:pt modelId="{4F35176A-7375-4455-9141-A1842CBCF7D5}">
      <dgm:prSet phldrT="[Text]" custT="1"/>
      <dgm:spPr/>
      <dgm:t>
        <a:bodyPr/>
        <a:lstStyle/>
        <a:p>
          <a:r>
            <a:rPr lang="en-US" sz="1000" b="1"/>
            <a:t>Facility-Based Housing Assistance (FBHA)</a:t>
          </a:r>
        </a:p>
      </dgm:t>
    </dgm:pt>
    <dgm:pt modelId="{86EBEC38-0B67-4C38-B81D-D1003C75C744}" type="parTrans" cxnId="{BEE8C5B3-86F9-4ABA-9BF1-B6B310C2E1E7}">
      <dgm:prSet/>
      <dgm:spPr/>
      <dgm:t>
        <a:bodyPr/>
        <a:lstStyle/>
        <a:p>
          <a:endParaRPr lang="en-US" sz="800"/>
        </a:p>
      </dgm:t>
    </dgm:pt>
    <dgm:pt modelId="{A3DE594A-B49A-426A-AFD1-DE0B15D19979}" type="sibTrans" cxnId="{BEE8C5B3-86F9-4ABA-9BF1-B6B310C2E1E7}">
      <dgm:prSet/>
      <dgm:spPr/>
      <dgm:t>
        <a:bodyPr/>
        <a:lstStyle/>
        <a:p>
          <a:endParaRPr lang="en-US" sz="800"/>
        </a:p>
      </dgm:t>
    </dgm:pt>
    <dgm:pt modelId="{E31290A8-9EF6-44B4-BEDD-2F48CA0D878E}">
      <dgm:prSet phldrT="[Text]" custT="1"/>
      <dgm:spPr/>
      <dgm:t>
        <a:bodyPr/>
        <a:lstStyle/>
        <a:p>
          <a:r>
            <a:rPr lang="en-US" sz="1000" b="1"/>
            <a:t>Short-Term Supportive Housing (STSH)</a:t>
          </a:r>
        </a:p>
      </dgm:t>
    </dgm:pt>
    <dgm:pt modelId="{06D405D7-831C-4F35-9B23-CA52CB530F7D}" type="parTrans" cxnId="{DF6B1498-7D86-4192-A5A9-127ED0C7E717}">
      <dgm:prSet/>
      <dgm:spPr/>
      <dgm:t>
        <a:bodyPr/>
        <a:lstStyle/>
        <a:p>
          <a:endParaRPr lang="en-US" sz="800"/>
        </a:p>
      </dgm:t>
    </dgm:pt>
    <dgm:pt modelId="{DB73D025-535B-4072-A3CB-98E95F57A3E3}" type="sibTrans" cxnId="{DF6B1498-7D86-4192-A5A9-127ED0C7E717}">
      <dgm:prSet/>
      <dgm:spPr/>
      <dgm:t>
        <a:bodyPr/>
        <a:lstStyle/>
        <a:p>
          <a:endParaRPr lang="en-US" sz="800"/>
        </a:p>
      </dgm:t>
    </dgm:pt>
    <dgm:pt modelId="{B33B1E2D-061F-4838-B719-4BEC5DEF14C2}">
      <dgm:prSet phldrT="[Text]" custT="1"/>
      <dgm:spPr/>
      <dgm:t>
        <a:bodyPr/>
        <a:lstStyle/>
        <a:p>
          <a:r>
            <a:rPr lang="en-US" sz="1000" b="1"/>
            <a:t>Transitional Supportive Housing (TSH)</a:t>
          </a:r>
        </a:p>
      </dgm:t>
    </dgm:pt>
    <dgm:pt modelId="{12BEC3E8-847F-4494-9E2E-30A60D61A52C}" type="parTrans" cxnId="{CE6DA834-235C-432A-A362-C241070E5018}">
      <dgm:prSet/>
      <dgm:spPr/>
      <dgm:t>
        <a:bodyPr/>
        <a:lstStyle/>
        <a:p>
          <a:endParaRPr lang="en-US" sz="800"/>
        </a:p>
      </dgm:t>
    </dgm:pt>
    <dgm:pt modelId="{040B2A28-D9EF-4BB6-BCF7-229EA60710F5}" type="sibTrans" cxnId="{CE6DA834-235C-432A-A362-C241070E5018}">
      <dgm:prSet/>
      <dgm:spPr/>
      <dgm:t>
        <a:bodyPr/>
        <a:lstStyle/>
        <a:p>
          <a:endParaRPr lang="en-US" sz="800"/>
        </a:p>
      </dgm:t>
    </dgm:pt>
    <dgm:pt modelId="{24C73B99-422A-44E9-BC80-304AAC0EA604}">
      <dgm:prSet phldrT="[Text]" custT="1"/>
      <dgm:spPr/>
      <dgm:t>
        <a:bodyPr/>
        <a:lstStyle/>
        <a:p>
          <a:r>
            <a:rPr lang="en-US" sz="800"/>
            <a:t>Single-Site</a:t>
          </a:r>
        </a:p>
      </dgm:t>
    </dgm:pt>
    <dgm:pt modelId="{B7D1FB43-4912-41EF-940E-F1810F8752CD}" type="parTrans" cxnId="{444762DC-3F22-4715-87AB-06D7105FBB12}">
      <dgm:prSet/>
      <dgm:spPr/>
      <dgm:t>
        <a:bodyPr/>
        <a:lstStyle/>
        <a:p>
          <a:endParaRPr lang="en-US" sz="800"/>
        </a:p>
      </dgm:t>
    </dgm:pt>
    <dgm:pt modelId="{CB3E11D6-DA21-44FD-9DDE-DFA5D7BB259B}" type="sibTrans" cxnId="{444762DC-3F22-4715-87AB-06D7105FBB12}">
      <dgm:prSet/>
      <dgm:spPr/>
      <dgm:t>
        <a:bodyPr/>
        <a:lstStyle/>
        <a:p>
          <a:endParaRPr lang="en-US" sz="800"/>
        </a:p>
      </dgm:t>
    </dgm:pt>
    <dgm:pt modelId="{71E762FB-62EE-4A5D-A700-8046C5A719A7}">
      <dgm:prSet phldrT="[Text]" custT="1"/>
      <dgm:spPr/>
      <dgm:t>
        <a:bodyPr/>
        <a:lstStyle/>
        <a:p>
          <a:r>
            <a:rPr lang="en-US" sz="800"/>
            <a:t>Single-Site</a:t>
          </a:r>
        </a:p>
      </dgm:t>
    </dgm:pt>
    <dgm:pt modelId="{A3CDCE4A-49DF-4892-9CF3-934A8CC049CE}" type="parTrans" cxnId="{3680B525-1916-4662-A2FF-447202C78460}">
      <dgm:prSet/>
      <dgm:spPr/>
      <dgm:t>
        <a:bodyPr/>
        <a:lstStyle/>
        <a:p>
          <a:endParaRPr lang="en-US" sz="800"/>
        </a:p>
      </dgm:t>
    </dgm:pt>
    <dgm:pt modelId="{74D0A74A-1C9E-4070-A032-397750D0CF0D}" type="sibTrans" cxnId="{3680B525-1916-4662-A2FF-447202C78460}">
      <dgm:prSet/>
      <dgm:spPr/>
      <dgm:t>
        <a:bodyPr/>
        <a:lstStyle/>
        <a:p>
          <a:endParaRPr lang="en-US" sz="800"/>
        </a:p>
      </dgm:t>
    </dgm:pt>
    <dgm:pt modelId="{6FF15434-A4BA-4E61-A3AB-3399D6A28662}">
      <dgm:prSet phldrT="[Text]" custT="1"/>
      <dgm:spPr/>
      <dgm:t>
        <a:bodyPr/>
        <a:lstStyle/>
        <a:p>
          <a:r>
            <a:rPr lang="en-US" sz="800"/>
            <a:t>Owned</a:t>
          </a:r>
        </a:p>
      </dgm:t>
    </dgm:pt>
    <dgm:pt modelId="{C6535677-73FE-48F1-BB8A-ECFD583FE120}" type="parTrans" cxnId="{B3541769-8AA0-4ECB-9E1B-36E2BF7EEF90}">
      <dgm:prSet/>
      <dgm:spPr/>
      <dgm:t>
        <a:bodyPr/>
        <a:lstStyle/>
        <a:p>
          <a:endParaRPr lang="en-US" sz="800"/>
        </a:p>
      </dgm:t>
    </dgm:pt>
    <dgm:pt modelId="{63E1B991-F2E4-447D-8411-1850B408D024}" type="sibTrans" cxnId="{B3541769-8AA0-4ECB-9E1B-36E2BF7EEF90}">
      <dgm:prSet/>
      <dgm:spPr/>
      <dgm:t>
        <a:bodyPr/>
        <a:lstStyle/>
        <a:p>
          <a:endParaRPr lang="en-US" sz="800"/>
        </a:p>
      </dgm:t>
    </dgm:pt>
    <dgm:pt modelId="{D594F806-95BC-4C26-8617-0AADC22FF2D1}">
      <dgm:prSet custT="1"/>
      <dgm:spPr/>
      <dgm:t>
        <a:bodyPr/>
        <a:lstStyle/>
        <a:p>
          <a:r>
            <a:rPr lang="en-US" sz="800"/>
            <a:t>Leased</a:t>
          </a:r>
        </a:p>
      </dgm:t>
    </dgm:pt>
    <dgm:pt modelId="{1424577E-872D-4B03-8EF9-84A3417D9BB5}" type="parTrans" cxnId="{11E9F9F7-B7B6-45C1-8C35-C2EE573D3E0F}">
      <dgm:prSet/>
      <dgm:spPr/>
      <dgm:t>
        <a:bodyPr/>
        <a:lstStyle/>
        <a:p>
          <a:endParaRPr lang="en-US" sz="800"/>
        </a:p>
      </dgm:t>
    </dgm:pt>
    <dgm:pt modelId="{82FD3D45-464D-42E1-AF90-7A701CCA826E}" type="sibTrans" cxnId="{11E9F9F7-B7B6-45C1-8C35-C2EE573D3E0F}">
      <dgm:prSet/>
      <dgm:spPr/>
      <dgm:t>
        <a:bodyPr/>
        <a:lstStyle/>
        <a:p>
          <a:endParaRPr lang="en-US" sz="800"/>
        </a:p>
      </dgm:t>
    </dgm:pt>
    <dgm:pt modelId="{4E219921-B0D4-4F1D-AE26-7FEEB3D754B0}">
      <dgm:prSet phldrT="[Text]" custT="1"/>
      <dgm:spPr/>
      <dgm:t>
        <a:bodyPr/>
        <a:lstStyle/>
        <a:p>
          <a:r>
            <a:rPr lang="en-US" sz="800"/>
            <a:t>Scattered-Site</a:t>
          </a:r>
        </a:p>
      </dgm:t>
    </dgm:pt>
    <dgm:pt modelId="{220129B3-69AC-46CB-9DC6-01B1F5D826A2}" type="parTrans" cxnId="{6948DD79-0FE3-45B3-9ED2-2D5636283974}">
      <dgm:prSet/>
      <dgm:spPr/>
      <dgm:t>
        <a:bodyPr/>
        <a:lstStyle/>
        <a:p>
          <a:endParaRPr lang="en-US" sz="800"/>
        </a:p>
      </dgm:t>
    </dgm:pt>
    <dgm:pt modelId="{30225928-8F13-479D-B1A4-42BF5BE859E1}" type="sibTrans" cxnId="{6948DD79-0FE3-45B3-9ED2-2D5636283974}">
      <dgm:prSet/>
      <dgm:spPr/>
      <dgm:t>
        <a:bodyPr/>
        <a:lstStyle/>
        <a:p>
          <a:endParaRPr lang="en-US" sz="800"/>
        </a:p>
      </dgm:t>
    </dgm:pt>
    <dgm:pt modelId="{DF1279B7-BA79-45EE-85E7-54C1FD0DB7F0}">
      <dgm:prSet phldrT="[Text]" custT="1"/>
      <dgm:spPr/>
      <dgm:t>
        <a:bodyPr/>
        <a:lstStyle/>
        <a:p>
          <a:r>
            <a:rPr lang="en-US" sz="800"/>
            <a:t>Owned</a:t>
          </a:r>
        </a:p>
      </dgm:t>
    </dgm:pt>
    <dgm:pt modelId="{8DF82029-9485-49E3-879F-96500276C221}" type="parTrans" cxnId="{2434D3A0-7727-4892-9306-73779135C978}">
      <dgm:prSet/>
      <dgm:spPr/>
      <dgm:t>
        <a:bodyPr/>
        <a:lstStyle/>
        <a:p>
          <a:endParaRPr lang="en-US" sz="800"/>
        </a:p>
      </dgm:t>
    </dgm:pt>
    <dgm:pt modelId="{478F9B9C-338D-457C-B094-E7CD87586DA5}" type="sibTrans" cxnId="{2434D3A0-7727-4892-9306-73779135C978}">
      <dgm:prSet/>
      <dgm:spPr/>
      <dgm:t>
        <a:bodyPr/>
        <a:lstStyle/>
        <a:p>
          <a:endParaRPr lang="en-US" sz="800"/>
        </a:p>
      </dgm:t>
    </dgm:pt>
    <dgm:pt modelId="{882801EF-AE70-4D17-AA5A-48A58EF86CE8}">
      <dgm:prSet custT="1"/>
      <dgm:spPr/>
      <dgm:t>
        <a:bodyPr/>
        <a:lstStyle/>
        <a:p>
          <a:r>
            <a:rPr lang="en-US" sz="800"/>
            <a:t>Leased</a:t>
          </a:r>
        </a:p>
      </dgm:t>
    </dgm:pt>
    <dgm:pt modelId="{654C7748-133B-4B58-9B8B-C8656079AC2E}" type="parTrans" cxnId="{625865E1-70C4-48BB-9FCE-19AA57C88D80}">
      <dgm:prSet/>
      <dgm:spPr/>
      <dgm:t>
        <a:bodyPr/>
        <a:lstStyle/>
        <a:p>
          <a:endParaRPr lang="en-US" sz="800"/>
        </a:p>
      </dgm:t>
    </dgm:pt>
    <dgm:pt modelId="{AB543F7E-3CB1-4AB5-8AED-54CCC652F095}" type="sibTrans" cxnId="{625865E1-70C4-48BB-9FCE-19AA57C88D80}">
      <dgm:prSet/>
      <dgm:spPr/>
      <dgm:t>
        <a:bodyPr/>
        <a:lstStyle/>
        <a:p>
          <a:endParaRPr lang="en-US" sz="800"/>
        </a:p>
      </dgm:t>
    </dgm:pt>
    <dgm:pt modelId="{CE7BFC38-ABFD-4219-AA53-C3BD283A0211}">
      <dgm:prSet phldrT="[Text]" custT="1"/>
      <dgm:spPr/>
      <dgm:t>
        <a:bodyPr/>
        <a:lstStyle/>
        <a:p>
          <a:r>
            <a:rPr lang="en-US" sz="800"/>
            <a:t>Owned</a:t>
          </a:r>
        </a:p>
      </dgm:t>
    </dgm:pt>
    <dgm:pt modelId="{5C64A504-4CB2-4557-A336-94C4893592ED}" type="parTrans" cxnId="{2EDC004A-87BD-4B92-90F8-A86BA391CB85}">
      <dgm:prSet/>
      <dgm:spPr/>
      <dgm:t>
        <a:bodyPr/>
        <a:lstStyle/>
        <a:p>
          <a:endParaRPr lang="en-US" sz="800"/>
        </a:p>
      </dgm:t>
    </dgm:pt>
    <dgm:pt modelId="{967161A1-B7E5-41DC-9476-D177523DEDBE}" type="sibTrans" cxnId="{2EDC004A-87BD-4B92-90F8-A86BA391CB85}">
      <dgm:prSet/>
      <dgm:spPr/>
      <dgm:t>
        <a:bodyPr/>
        <a:lstStyle/>
        <a:p>
          <a:endParaRPr lang="en-US" sz="800"/>
        </a:p>
      </dgm:t>
    </dgm:pt>
    <dgm:pt modelId="{5AA67313-3CA2-4207-A9D5-A368BF3493CD}">
      <dgm:prSet custT="1"/>
      <dgm:spPr/>
      <dgm:t>
        <a:bodyPr/>
        <a:lstStyle/>
        <a:p>
          <a:r>
            <a:rPr lang="en-US" sz="800"/>
            <a:t>Leased</a:t>
          </a:r>
        </a:p>
      </dgm:t>
    </dgm:pt>
    <dgm:pt modelId="{11592366-16F8-42B4-8242-D9AB24BFB31A}" type="parTrans" cxnId="{B288A948-DB79-4486-BFC4-68A90AB8AB4B}">
      <dgm:prSet/>
      <dgm:spPr/>
      <dgm:t>
        <a:bodyPr/>
        <a:lstStyle/>
        <a:p>
          <a:endParaRPr lang="en-US" sz="800"/>
        </a:p>
      </dgm:t>
    </dgm:pt>
    <dgm:pt modelId="{76BC1BAB-F1E4-402D-9C12-3A01E84C9188}" type="sibTrans" cxnId="{B288A948-DB79-4486-BFC4-68A90AB8AB4B}">
      <dgm:prSet/>
      <dgm:spPr/>
      <dgm:t>
        <a:bodyPr/>
        <a:lstStyle/>
        <a:p>
          <a:endParaRPr lang="en-US" sz="800"/>
        </a:p>
      </dgm:t>
    </dgm:pt>
    <dgm:pt modelId="{EFA2AE6B-3736-45FF-973C-0B6E9636AFF3}">
      <dgm:prSet phldrT="[Text]" custT="1"/>
      <dgm:spPr/>
      <dgm:t>
        <a:bodyPr/>
        <a:lstStyle/>
        <a:p>
          <a:r>
            <a:rPr lang="en-US" sz="800"/>
            <a:t>Scattered-Site</a:t>
          </a:r>
        </a:p>
      </dgm:t>
    </dgm:pt>
    <dgm:pt modelId="{1195ABC1-0125-4A65-86E9-139806684872}" type="parTrans" cxnId="{61869727-013E-40F8-A2BC-2991FF232C2E}">
      <dgm:prSet/>
      <dgm:spPr/>
      <dgm:t>
        <a:bodyPr/>
        <a:lstStyle/>
        <a:p>
          <a:endParaRPr lang="en-US" sz="800"/>
        </a:p>
      </dgm:t>
    </dgm:pt>
    <dgm:pt modelId="{01D37F69-21FE-409D-86E9-B9779B811496}" type="sibTrans" cxnId="{61869727-013E-40F8-A2BC-2991FF232C2E}">
      <dgm:prSet/>
      <dgm:spPr/>
      <dgm:t>
        <a:bodyPr/>
        <a:lstStyle/>
        <a:p>
          <a:endParaRPr lang="en-US" sz="800"/>
        </a:p>
      </dgm:t>
    </dgm:pt>
    <dgm:pt modelId="{447728AA-BC55-470E-9570-109663FFCBB6}">
      <dgm:prSet phldrT="[Text]" custT="1"/>
      <dgm:spPr/>
      <dgm:t>
        <a:bodyPr/>
        <a:lstStyle/>
        <a:p>
          <a:r>
            <a:rPr lang="en-US" sz="800"/>
            <a:t>Owned</a:t>
          </a:r>
        </a:p>
      </dgm:t>
    </dgm:pt>
    <dgm:pt modelId="{A143739B-E0E8-47CB-8D57-B0B41A657279}" type="parTrans" cxnId="{D4AC3A45-32E5-47ED-97CF-FFD2717E3889}">
      <dgm:prSet/>
      <dgm:spPr/>
      <dgm:t>
        <a:bodyPr/>
        <a:lstStyle/>
        <a:p>
          <a:endParaRPr lang="en-US" sz="800"/>
        </a:p>
      </dgm:t>
    </dgm:pt>
    <dgm:pt modelId="{3839FF2D-213A-44F8-A58F-2AF866EEB69C}" type="sibTrans" cxnId="{D4AC3A45-32E5-47ED-97CF-FFD2717E3889}">
      <dgm:prSet/>
      <dgm:spPr/>
      <dgm:t>
        <a:bodyPr/>
        <a:lstStyle/>
        <a:p>
          <a:endParaRPr lang="en-US" sz="800"/>
        </a:p>
      </dgm:t>
    </dgm:pt>
    <dgm:pt modelId="{9F16BAA9-3130-489E-A686-7F5CA853DAA9}">
      <dgm:prSet custT="1"/>
      <dgm:spPr/>
      <dgm:t>
        <a:bodyPr/>
        <a:lstStyle/>
        <a:p>
          <a:r>
            <a:rPr lang="en-US" sz="800"/>
            <a:t>Leased</a:t>
          </a:r>
        </a:p>
      </dgm:t>
    </dgm:pt>
    <dgm:pt modelId="{31C64A5B-FADA-439D-AD6F-1812B3E7A0C3}" type="parTrans" cxnId="{1C83D740-8D8B-4280-AF3D-F6A3F51BF63B}">
      <dgm:prSet/>
      <dgm:spPr/>
      <dgm:t>
        <a:bodyPr/>
        <a:lstStyle/>
        <a:p>
          <a:endParaRPr lang="en-US" sz="800"/>
        </a:p>
      </dgm:t>
    </dgm:pt>
    <dgm:pt modelId="{60BB2984-F790-4CA6-B2F8-78047988993A}" type="sibTrans" cxnId="{1C83D740-8D8B-4280-AF3D-F6A3F51BF63B}">
      <dgm:prSet/>
      <dgm:spPr/>
      <dgm:t>
        <a:bodyPr/>
        <a:lstStyle/>
        <a:p>
          <a:endParaRPr lang="en-US" sz="800"/>
        </a:p>
      </dgm:t>
    </dgm:pt>
    <dgm:pt modelId="{3FF61452-7E1F-411E-80EB-7E62D511CC4D}">
      <dgm:prSet phldrT="[Text]" custT="1"/>
      <dgm:spPr/>
      <dgm:t>
        <a:bodyPr/>
        <a:lstStyle/>
        <a:p>
          <a:r>
            <a:rPr lang="en-US" sz="800"/>
            <a:t>Operating</a:t>
          </a:r>
        </a:p>
      </dgm:t>
    </dgm:pt>
    <dgm:pt modelId="{027C6623-D566-4C51-851F-17F7489B708B}" type="parTrans" cxnId="{FA3FC541-1ED6-4D83-A344-9F634C4CCDF5}">
      <dgm:prSet/>
      <dgm:spPr/>
      <dgm:t>
        <a:bodyPr/>
        <a:lstStyle/>
        <a:p>
          <a:endParaRPr lang="en-US"/>
        </a:p>
      </dgm:t>
    </dgm:pt>
    <dgm:pt modelId="{0430D492-DE65-4D9C-AEFF-200ACF9B5B98}" type="sibTrans" cxnId="{FA3FC541-1ED6-4D83-A344-9F634C4CCDF5}">
      <dgm:prSet/>
      <dgm:spPr/>
      <dgm:t>
        <a:bodyPr/>
        <a:lstStyle/>
        <a:p>
          <a:endParaRPr lang="en-US"/>
        </a:p>
      </dgm:t>
    </dgm:pt>
    <dgm:pt modelId="{56F7AD07-6614-42C3-BBCE-4DDFAACC6D26}">
      <dgm:prSet custT="1"/>
      <dgm:spPr/>
      <dgm:t>
        <a:bodyPr/>
        <a:lstStyle/>
        <a:p>
          <a:r>
            <a:rPr lang="en-US" sz="800"/>
            <a:t>Leasing</a:t>
          </a:r>
        </a:p>
      </dgm:t>
    </dgm:pt>
    <dgm:pt modelId="{95588ECA-511C-40E6-86F7-CECBA5DDC95F}" type="parTrans" cxnId="{5806BD79-5F55-4E49-9E3C-8D6B3BE9B2CA}">
      <dgm:prSet/>
      <dgm:spPr/>
      <dgm:t>
        <a:bodyPr/>
        <a:lstStyle/>
        <a:p>
          <a:endParaRPr lang="en-US"/>
        </a:p>
      </dgm:t>
    </dgm:pt>
    <dgm:pt modelId="{6F01AAAE-9EAE-4EF9-BE7A-538C447F444E}" type="sibTrans" cxnId="{5806BD79-5F55-4E49-9E3C-8D6B3BE9B2CA}">
      <dgm:prSet/>
      <dgm:spPr/>
      <dgm:t>
        <a:bodyPr/>
        <a:lstStyle/>
        <a:p>
          <a:endParaRPr lang="en-US"/>
        </a:p>
      </dgm:t>
    </dgm:pt>
    <dgm:pt modelId="{06666933-7D84-4A28-B023-FA2F49A3F5D2}">
      <dgm:prSet phldrT="[Text]" custT="1"/>
      <dgm:spPr/>
      <dgm:t>
        <a:bodyPr/>
        <a:lstStyle/>
        <a:p>
          <a:r>
            <a:rPr lang="en-US" sz="800"/>
            <a:t>Operating</a:t>
          </a:r>
        </a:p>
      </dgm:t>
    </dgm:pt>
    <dgm:pt modelId="{2CD9E7E1-5594-4C70-8704-A269BA4AD4C4}" type="parTrans" cxnId="{52E47A6C-FCE1-4154-91F6-7FAE0559BA15}">
      <dgm:prSet/>
      <dgm:spPr/>
      <dgm:t>
        <a:bodyPr/>
        <a:lstStyle/>
        <a:p>
          <a:endParaRPr lang="en-US"/>
        </a:p>
      </dgm:t>
    </dgm:pt>
    <dgm:pt modelId="{3630674B-24C3-4ECB-940C-597F66A5F928}" type="sibTrans" cxnId="{52E47A6C-FCE1-4154-91F6-7FAE0559BA15}">
      <dgm:prSet/>
      <dgm:spPr/>
      <dgm:t>
        <a:bodyPr/>
        <a:lstStyle/>
        <a:p>
          <a:endParaRPr lang="en-US"/>
        </a:p>
      </dgm:t>
    </dgm:pt>
    <dgm:pt modelId="{6D2FC7F8-4E72-4254-8CF4-60C8D772D530}">
      <dgm:prSet custT="1"/>
      <dgm:spPr/>
      <dgm:t>
        <a:bodyPr/>
        <a:lstStyle/>
        <a:p>
          <a:r>
            <a:rPr lang="en-US" sz="800"/>
            <a:t>Leasing</a:t>
          </a:r>
        </a:p>
      </dgm:t>
    </dgm:pt>
    <dgm:pt modelId="{8B61795F-61A0-4B6C-8C8B-B97C6DE4DD02}" type="parTrans" cxnId="{1698EB7A-EBCA-4BC0-A0D1-5CD6E6C54A66}">
      <dgm:prSet/>
      <dgm:spPr/>
      <dgm:t>
        <a:bodyPr/>
        <a:lstStyle/>
        <a:p>
          <a:endParaRPr lang="en-US"/>
        </a:p>
      </dgm:t>
    </dgm:pt>
    <dgm:pt modelId="{55C59786-26A1-4709-BA6E-AB465C6EE089}" type="sibTrans" cxnId="{1698EB7A-EBCA-4BC0-A0D1-5CD6E6C54A66}">
      <dgm:prSet/>
      <dgm:spPr/>
      <dgm:t>
        <a:bodyPr/>
        <a:lstStyle/>
        <a:p>
          <a:endParaRPr lang="en-US"/>
        </a:p>
      </dgm:t>
    </dgm:pt>
    <dgm:pt modelId="{692A9193-501E-482B-8BBC-7AAF356BF8E9}">
      <dgm:prSet phldrT="[Text]" custT="1"/>
      <dgm:spPr/>
      <dgm:t>
        <a:bodyPr/>
        <a:lstStyle/>
        <a:p>
          <a:r>
            <a:rPr lang="en-US" sz="800"/>
            <a:t>PBRA</a:t>
          </a:r>
        </a:p>
      </dgm:t>
    </dgm:pt>
    <dgm:pt modelId="{01ED0CD7-8EEE-44E3-A3CD-43004AC0CF4C}" type="parTrans" cxnId="{2B29F909-643A-4488-A393-57683BC9E70A}">
      <dgm:prSet/>
      <dgm:spPr/>
      <dgm:t>
        <a:bodyPr/>
        <a:lstStyle/>
        <a:p>
          <a:endParaRPr lang="en-US"/>
        </a:p>
      </dgm:t>
    </dgm:pt>
    <dgm:pt modelId="{05164259-6CE3-4FA7-AED4-D3EBF627FC3D}" type="sibTrans" cxnId="{2B29F909-643A-4488-A393-57683BC9E70A}">
      <dgm:prSet/>
      <dgm:spPr/>
      <dgm:t>
        <a:bodyPr/>
        <a:lstStyle/>
        <a:p>
          <a:endParaRPr lang="en-US"/>
        </a:p>
      </dgm:t>
    </dgm:pt>
    <dgm:pt modelId="{248DFDFD-D6E6-49F7-B677-5C272A81744E}">
      <dgm:prSet custT="1"/>
      <dgm:spPr/>
      <dgm:t>
        <a:bodyPr/>
        <a:lstStyle/>
        <a:p>
          <a:r>
            <a:rPr lang="en-US" sz="800"/>
            <a:t>Master Leasing</a:t>
          </a:r>
        </a:p>
      </dgm:t>
    </dgm:pt>
    <dgm:pt modelId="{E2104EFD-A256-4F05-BA66-ECBD037AFFD3}" type="parTrans" cxnId="{FA8F7193-B98F-486A-AC66-40C7BD83F16D}">
      <dgm:prSet/>
      <dgm:spPr/>
      <dgm:t>
        <a:bodyPr/>
        <a:lstStyle/>
        <a:p>
          <a:endParaRPr lang="en-US"/>
        </a:p>
      </dgm:t>
    </dgm:pt>
    <dgm:pt modelId="{A7D31F74-AB42-4AF4-B171-1A5851543155}" type="sibTrans" cxnId="{FA8F7193-B98F-486A-AC66-40C7BD83F16D}">
      <dgm:prSet/>
      <dgm:spPr/>
      <dgm:t>
        <a:bodyPr/>
        <a:lstStyle/>
        <a:p>
          <a:endParaRPr lang="en-US"/>
        </a:p>
      </dgm:t>
    </dgm:pt>
    <dgm:pt modelId="{E9F00584-6211-4C83-8830-5B8CC931232D}">
      <dgm:prSet phldrT="[Text]" custT="1"/>
      <dgm:spPr/>
      <dgm:t>
        <a:bodyPr/>
        <a:lstStyle/>
        <a:p>
          <a:r>
            <a:rPr lang="en-US" sz="800"/>
            <a:t>PBRA</a:t>
          </a:r>
        </a:p>
      </dgm:t>
    </dgm:pt>
    <dgm:pt modelId="{73EF6D3F-F2C2-449A-A83C-214722905637}" type="parTrans" cxnId="{E88C1BE5-91E4-444A-909F-A98B821BD226}">
      <dgm:prSet/>
      <dgm:spPr/>
      <dgm:t>
        <a:bodyPr/>
        <a:lstStyle/>
        <a:p>
          <a:endParaRPr lang="en-US"/>
        </a:p>
      </dgm:t>
    </dgm:pt>
    <dgm:pt modelId="{2ABB340A-CBE1-4415-9A77-46A5A2EE6CCC}" type="sibTrans" cxnId="{E88C1BE5-91E4-444A-909F-A98B821BD226}">
      <dgm:prSet/>
      <dgm:spPr/>
      <dgm:t>
        <a:bodyPr/>
        <a:lstStyle/>
        <a:p>
          <a:endParaRPr lang="en-US"/>
        </a:p>
      </dgm:t>
    </dgm:pt>
    <dgm:pt modelId="{417505DB-2D8E-4360-9A7F-9107A7E217DF}">
      <dgm:prSet custT="1"/>
      <dgm:spPr/>
      <dgm:t>
        <a:bodyPr/>
        <a:lstStyle/>
        <a:p>
          <a:r>
            <a:rPr lang="en-US" sz="800"/>
            <a:t>Master Leasing </a:t>
          </a:r>
        </a:p>
      </dgm:t>
    </dgm:pt>
    <dgm:pt modelId="{90303BE8-43E8-46D9-8F11-90A1226EB62D}" type="parTrans" cxnId="{EF3F9114-2F14-484F-B2BE-036968E40A18}">
      <dgm:prSet/>
      <dgm:spPr/>
      <dgm:t>
        <a:bodyPr/>
        <a:lstStyle/>
        <a:p>
          <a:endParaRPr lang="en-US"/>
        </a:p>
      </dgm:t>
    </dgm:pt>
    <dgm:pt modelId="{CC1D59FD-EC20-463B-A5CF-BE993CD4AC2A}" type="sibTrans" cxnId="{EF3F9114-2F14-484F-B2BE-036968E40A18}">
      <dgm:prSet/>
      <dgm:spPr/>
      <dgm:t>
        <a:bodyPr/>
        <a:lstStyle/>
        <a:p>
          <a:endParaRPr lang="en-US"/>
        </a:p>
      </dgm:t>
    </dgm:pt>
    <dgm:pt modelId="{41E242D4-946C-4154-B748-310F76BD893A}">
      <dgm:prSet custT="1"/>
      <dgm:spPr/>
      <dgm:t>
        <a:bodyPr/>
        <a:lstStyle/>
        <a:p>
          <a:r>
            <a:rPr lang="en-US" sz="800"/>
            <a:t>Operating</a:t>
          </a:r>
        </a:p>
      </dgm:t>
    </dgm:pt>
    <dgm:pt modelId="{E8CD66A8-C3C3-480E-B443-ED803F4D5E64}" type="parTrans" cxnId="{7C1C1B3E-8CC8-404E-B395-515C2FBCE1CB}">
      <dgm:prSet/>
      <dgm:spPr/>
      <dgm:t>
        <a:bodyPr/>
        <a:lstStyle/>
        <a:p>
          <a:endParaRPr lang="en-US"/>
        </a:p>
      </dgm:t>
    </dgm:pt>
    <dgm:pt modelId="{F6B50A8D-F45F-469D-8FD0-8C0265957C87}" type="sibTrans" cxnId="{7C1C1B3E-8CC8-404E-B395-515C2FBCE1CB}">
      <dgm:prSet/>
      <dgm:spPr/>
      <dgm:t>
        <a:bodyPr/>
        <a:lstStyle/>
        <a:p>
          <a:endParaRPr lang="en-US"/>
        </a:p>
      </dgm:t>
    </dgm:pt>
    <dgm:pt modelId="{BCF1A177-77F1-464F-A10C-5EDADAEEDCEA}">
      <dgm:prSet custT="1"/>
      <dgm:spPr/>
      <dgm:t>
        <a:bodyPr/>
        <a:lstStyle/>
        <a:p>
          <a:r>
            <a:rPr lang="en-US" sz="800"/>
            <a:t>Operating</a:t>
          </a:r>
        </a:p>
      </dgm:t>
    </dgm:pt>
    <dgm:pt modelId="{2515BDC0-97EB-4FE3-BE72-642FC9EB8351}" type="parTrans" cxnId="{04CF69C3-5DBE-403D-B164-32326A3B6BE1}">
      <dgm:prSet/>
      <dgm:spPr/>
      <dgm:t>
        <a:bodyPr/>
        <a:lstStyle/>
        <a:p>
          <a:endParaRPr lang="en-US"/>
        </a:p>
      </dgm:t>
    </dgm:pt>
    <dgm:pt modelId="{9A332DE0-DCFC-438C-A7FC-D1EED1CE10EB}" type="sibTrans" cxnId="{04CF69C3-5DBE-403D-B164-32326A3B6BE1}">
      <dgm:prSet/>
      <dgm:spPr/>
      <dgm:t>
        <a:bodyPr/>
        <a:lstStyle/>
        <a:p>
          <a:endParaRPr lang="en-US"/>
        </a:p>
      </dgm:t>
    </dgm:pt>
    <dgm:pt modelId="{50E20A1F-53DF-4822-8F96-14E6F69ADA2B}">
      <dgm:prSet custT="1"/>
      <dgm:spPr/>
      <dgm:t>
        <a:bodyPr/>
        <a:lstStyle/>
        <a:p>
          <a:r>
            <a:rPr lang="en-US" sz="800"/>
            <a:t>Operating</a:t>
          </a:r>
        </a:p>
      </dgm:t>
    </dgm:pt>
    <dgm:pt modelId="{E87F08BD-55EC-4266-9D07-3A5B8102A4F0}" type="parTrans" cxnId="{21C0D370-57FA-462E-B8D1-88ED27AFAB06}">
      <dgm:prSet/>
      <dgm:spPr/>
      <dgm:t>
        <a:bodyPr/>
        <a:lstStyle/>
        <a:p>
          <a:endParaRPr lang="en-US"/>
        </a:p>
      </dgm:t>
    </dgm:pt>
    <dgm:pt modelId="{6D35C801-AB18-40EA-94DE-B1E3AB1EA4B3}" type="sibTrans" cxnId="{21C0D370-57FA-462E-B8D1-88ED27AFAB06}">
      <dgm:prSet/>
      <dgm:spPr/>
      <dgm:t>
        <a:bodyPr/>
        <a:lstStyle/>
        <a:p>
          <a:endParaRPr lang="en-US"/>
        </a:p>
      </dgm:t>
    </dgm:pt>
    <dgm:pt modelId="{2848111E-8CCB-4D5F-9A63-9F70A88101A6}">
      <dgm:prSet custT="1"/>
      <dgm:spPr/>
      <dgm:t>
        <a:bodyPr/>
        <a:lstStyle/>
        <a:p>
          <a:r>
            <a:rPr lang="en-US" sz="800"/>
            <a:t>Operating</a:t>
          </a:r>
        </a:p>
      </dgm:t>
    </dgm:pt>
    <dgm:pt modelId="{0677B04C-46B7-4AA5-9883-C7C9DFBE6331}" type="parTrans" cxnId="{497A02BA-A3F9-4EC2-B2F3-C706FE87AF86}">
      <dgm:prSet/>
      <dgm:spPr/>
      <dgm:t>
        <a:bodyPr/>
        <a:lstStyle/>
        <a:p>
          <a:endParaRPr lang="en-US"/>
        </a:p>
      </dgm:t>
    </dgm:pt>
    <dgm:pt modelId="{91722D83-BCC6-4953-9B4B-10C434B169A7}" type="sibTrans" cxnId="{497A02BA-A3F9-4EC2-B2F3-C706FE87AF86}">
      <dgm:prSet/>
      <dgm:spPr/>
      <dgm:t>
        <a:bodyPr/>
        <a:lstStyle/>
        <a:p>
          <a:endParaRPr lang="en-US"/>
        </a:p>
      </dgm:t>
    </dgm:pt>
    <dgm:pt modelId="{D917A959-3180-4C22-B33E-9C225F829125}" type="pres">
      <dgm:prSet presAssocID="{86B1849B-B877-466D-A806-98F13612ED3C}" presName="Name0" presStyleCnt="0">
        <dgm:presLayoutVars>
          <dgm:chPref val="1"/>
          <dgm:dir/>
          <dgm:animOne val="branch"/>
          <dgm:animLvl val="lvl"/>
          <dgm:resizeHandles/>
        </dgm:presLayoutVars>
      </dgm:prSet>
      <dgm:spPr/>
    </dgm:pt>
    <dgm:pt modelId="{AEB00D05-A304-45AE-9472-1CF1BB7EE636}" type="pres">
      <dgm:prSet presAssocID="{44628DB9-23B8-4C4D-815B-ED30ED5C03B7}" presName="vertOne" presStyleCnt="0"/>
      <dgm:spPr/>
    </dgm:pt>
    <dgm:pt modelId="{5A514E9B-2478-41EA-96E8-0B812D93B238}" type="pres">
      <dgm:prSet presAssocID="{44628DB9-23B8-4C4D-815B-ED30ED5C03B7}" presName="txOne" presStyleLbl="node0" presStyleIdx="0" presStyleCnt="1" custScaleX="100047">
        <dgm:presLayoutVars>
          <dgm:chPref val="3"/>
        </dgm:presLayoutVars>
      </dgm:prSet>
      <dgm:spPr>
        <a:prstGeom prst="rect">
          <a:avLst/>
        </a:prstGeom>
      </dgm:spPr>
    </dgm:pt>
    <dgm:pt modelId="{D1354E20-831D-4F6E-A7E4-E0C1BE4420A8}" type="pres">
      <dgm:prSet presAssocID="{44628DB9-23B8-4C4D-815B-ED30ED5C03B7}" presName="parTransOne" presStyleCnt="0"/>
      <dgm:spPr/>
    </dgm:pt>
    <dgm:pt modelId="{2B4270F6-8A34-4988-A316-933F801B72A4}" type="pres">
      <dgm:prSet presAssocID="{44628DB9-23B8-4C4D-815B-ED30ED5C03B7}" presName="horzOne" presStyleCnt="0"/>
      <dgm:spPr/>
    </dgm:pt>
    <dgm:pt modelId="{4F677C53-CF25-4307-918F-012468DECA34}" type="pres">
      <dgm:prSet presAssocID="{4F35176A-7375-4455-9141-A1842CBCF7D5}" presName="vertTwo" presStyleCnt="0"/>
      <dgm:spPr/>
    </dgm:pt>
    <dgm:pt modelId="{67ADAEDD-EA43-4A92-A582-EF9C6BBB92D7}" type="pres">
      <dgm:prSet presAssocID="{4F35176A-7375-4455-9141-A1842CBCF7D5}" presName="txTwo" presStyleLbl="node2" presStyleIdx="0" presStyleCnt="1">
        <dgm:presLayoutVars>
          <dgm:chPref val="3"/>
        </dgm:presLayoutVars>
      </dgm:prSet>
      <dgm:spPr>
        <a:prstGeom prst="rect">
          <a:avLst/>
        </a:prstGeom>
      </dgm:spPr>
    </dgm:pt>
    <dgm:pt modelId="{C7A3DBFB-6BE8-40B5-8CDC-5A1B85C6C5F5}" type="pres">
      <dgm:prSet presAssocID="{4F35176A-7375-4455-9141-A1842CBCF7D5}" presName="parTransTwo" presStyleCnt="0"/>
      <dgm:spPr/>
    </dgm:pt>
    <dgm:pt modelId="{9BA23F4D-1EE8-4CF1-A441-BA8B88B8DF28}" type="pres">
      <dgm:prSet presAssocID="{4F35176A-7375-4455-9141-A1842CBCF7D5}" presName="horzTwo" presStyleCnt="0"/>
      <dgm:spPr/>
    </dgm:pt>
    <dgm:pt modelId="{A2399284-9949-4D25-8132-C10A718D0745}" type="pres">
      <dgm:prSet presAssocID="{E31290A8-9EF6-44B4-BEDD-2F48CA0D878E}" presName="vertThree" presStyleCnt="0"/>
      <dgm:spPr/>
    </dgm:pt>
    <dgm:pt modelId="{14CDF810-D567-42F4-AAC4-4F336CD744E2}" type="pres">
      <dgm:prSet presAssocID="{E31290A8-9EF6-44B4-BEDD-2F48CA0D878E}" presName="txThree" presStyleLbl="node3" presStyleIdx="0" presStyleCnt="2">
        <dgm:presLayoutVars>
          <dgm:chPref val="3"/>
        </dgm:presLayoutVars>
      </dgm:prSet>
      <dgm:spPr>
        <a:prstGeom prst="rect">
          <a:avLst/>
        </a:prstGeom>
      </dgm:spPr>
    </dgm:pt>
    <dgm:pt modelId="{5D4B204F-7F95-4EB4-B77A-67BB58CB0292}" type="pres">
      <dgm:prSet presAssocID="{E31290A8-9EF6-44B4-BEDD-2F48CA0D878E}" presName="parTransThree" presStyleCnt="0"/>
      <dgm:spPr/>
    </dgm:pt>
    <dgm:pt modelId="{F04294D0-5345-443F-B1DA-BD3C3A307230}" type="pres">
      <dgm:prSet presAssocID="{E31290A8-9EF6-44B4-BEDD-2F48CA0D878E}" presName="horzThree" presStyleCnt="0"/>
      <dgm:spPr/>
    </dgm:pt>
    <dgm:pt modelId="{2FEE24CC-A2FA-4401-BFFE-640103A3760A}" type="pres">
      <dgm:prSet presAssocID="{24C73B99-422A-44E9-BC80-304AAC0EA604}" presName="vertFour" presStyleCnt="0">
        <dgm:presLayoutVars>
          <dgm:chPref val="3"/>
        </dgm:presLayoutVars>
      </dgm:prSet>
      <dgm:spPr/>
    </dgm:pt>
    <dgm:pt modelId="{0BADA3F3-3EEA-4EAE-99EF-B8AC32C67904}" type="pres">
      <dgm:prSet presAssocID="{24C73B99-422A-44E9-BC80-304AAC0EA604}" presName="txFour" presStyleLbl="node4" presStyleIdx="0" presStyleCnt="24">
        <dgm:presLayoutVars>
          <dgm:chPref val="3"/>
        </dgm:presLayoutVars>
      </dgm:prSet>
      <dgm:spPr>
        <a:prstGeom prst="rect">
          <a:avLst/>
        </a:prstGeom>
      </dgm:spPr>
    </dgm:pt>
    <dgm:pt modelId="{59DCE518-D0DB-48AF-9636-2F6BAA712EC9}" type="pres">
      <dgm:prSet presAssocID="{24C73B99-422A-44E9-BC80-304AAC0EA604}" presName="parTransFour" presStyleCnt="0"/>
      <dgm:spPr/>
    </dgm:pt>
    <dgm:pt modelId="{7EBC825F-7EC0-4F1C-89C1-26D510FF33F9}" type="pres">
      <dgm:prSet presAssocID="{24C73B99-422A-44E9-BC80-304AAC0EA604}" presName="horzFour" presStyleCnt="0"/>
      <dgm:spPr/>
    </dgm:pt>
    <dgm:pt modelId="{7B419728-1A0E-4358-BFA0-B1E90088BAD0}" type="pres">
      <dgm:prSet presAssocID="{6FF15434-A4BA-4E61-A3AB-3399D6A28662}" presName="vertFour" presStyleCnt="0">
        <dgm:presLayoutVars>
          <dgm:chPref val="3"/>
        </dgm:presLayoutVars>
      </dgm:prSet>
      <dgm:spPr/>
    </dgm:pt>
    <dgm:pt modelId="{6F786B55-9647-41A7-815D-5DD0FAB69113}" type="pres">
      <dgm:prSet presAssocID="{6FF15434-A4BA-4E61-A3AB-3399D6A28662}" presName="txFour" presStyleLbl="node4" presStyleIdx="1" presStyleCnt="24">
        <dgm:presLayoutVars>
          <dgm:chPref val="3"/>
        </dgm:presLayoutVars>
      </dgm:prSet>
      <dgm:spPr>
        <a:prstGeom prst="rect">
          <a:avLst/>
        </a:prstGeom>
      </dgm:spPr>
    </dgm:pt>
    <dgm:pt modelId="{0CC1E673-DA46-4503-A53F-52365EF175FF}" type="pres">
      <dgm:prSet presAssocID="{6FF15434-A4BA-4E61-A3AB-3399D6A28662}" presName="parTransFour" presStyleCnt="0"/>
      <dgm:spPr/>
    </dgm:pt>
    <dgm:pt modelId="{B32743E5-A9BB-44B2-961A-A48CB04429C0}" type="pres">
      <dgm:prSet presAssocID="{6FF15434-A4BA-4E61-A3AB-3399D6A28662}" presName="horzFour" presStyleCnt="0"/>
      <dgm:spPr/>
    </dgm:pt>
    <dgm:pt modelId="{A8AA063E-E1C8-46B0-9FB3-8B338D2DA283}" type="pres">
      <dgm:prSet presAssocID="{3FF61452-7E1F-411E-80EB-7E62D511CC4D}" presName="vertFour" presStyleCnt="0">
        <dgm:presLayoutVars>
          <dgm:chPref val="3"/>
        </dgm:presLayoutVars>
      </dgm:prSet>
      <dgm:spPr/>
    </dgm:pt>
    <dgm:pt modelId="{86D9AD88-5394-4E8D-9F7E-D4E24DA2D003}" type="pres">
      <dgm:prSet presAssocID="{3FF61452-7E1F-411E-80EB-7E62D511CC4D}" presName="txFour" presStyleLbl="node4" presStyleIdx="2" presStyleCnt="24">
        <dgm:presLayoutVars>
          <dgm:chPref val="3"/>
        </dgm:presLayoutVars>
      </dgm:prSet>
      <dgm:spPr>
        <a:prstGeom prst="rect">
          <a:avLst/>
        </a:prstGeom>
      </dgm:spPr>
    </dgm:pt>
    <dgm:pt modelId="{42EF2C45-8852-4F41-BCF7-ACF75A83B99E}" type="pres">
      <dgm:prSet presAssocID="{3FF61452-7E1F-411E-80EB-7E62D511CC4D}" presName="horzFour" presStyleCnt="0"/>
      <dgm:spPr/>
    </dgm:pt>
    <dgm:pt modelId="{5654BDBD-0CF0-49A0-9307-4A81D308405B}" type="pres">
      <dgm:prSet presAssocID="{63E1B991-F2E4-447D-8411-1850B408D024}" presName="sibSpaceFour" presStyleCnt="0"/>
      <dgm:spPr/>
    </dgm:pt>
    <dgm:pt modelId="{E7AB9492-AFF0-46B7-A0A9-2299C5A6C106}" type="pres">
      <dgm:prSet presAssocID="{D594F806-95BC-4C26-8617-0AADC22FF2D1}" presName="vertFour" presStyleCnt="0">
        <dgm:presLayoutVars>
          <dgm:chPref val="3"/>
        </dgm:presLayoutVars>
      </dgm:prSet>
      <dgm:spPr/>
    </dgm:pt>
    <dgm:pt modelId="{01E0467D-AA7E-4FDC-9041-EB94C35C8CA9}" type="pres">
      <dgm:prSet presAssocID="{D594F806-95BC-4C26-8617-0AADC22FF2D1}" presName="txFour" presStyleLbl="node4" presStyleIdx="3" presStyleCnt="24">
        <dgm:presLayoutVars>
          <dgm:chPref val="3"/>
        </dgm:presLayoutVars>
      </dgm:prSet>
      <dgm:spPr>
        <a:prstGeom prst="rect">
          <a:avLst/>
        </a:prstGeom>
      </dgm:spPr>
    </dgm:pt>
    <dgm:pt modelId="{D22DAF66-218A-4268-9390-015156D36078}" type="pres">
      <dgm:prSet presAssocID="{D594F806-95BC-4C26-8617-0AADC22FF2D1}" presName="parTransFour" presStyleCnt="0"/>
      <dgm:spPr/>
    </dgm:pt>
    <dgm:pt modelId="{88FCC37B-C4B9-481B-9EBC-9AE161C3A8A8}" type="pres">
      <dgm:prSet presAssocID="{D594F806-95BC-4C26-8617-0AADC22FF2D1}" presName="horzFour" presStyleCnt="0"/>
      <dgm:spPr/>
    </dgm:pt>
    <dgm:pt modelId="{D3E94BE8-92A0-4286-809B-63483F671128}" type="pres">
      <dgm:prSet presAssocID="{56F7AD07-6614-42C3-BBCE-4DDFAACC6D26}" presName="vertFour" presStyleCnt="0">
        <dgm:presLayoutVars>
          <dgm:chPref val="3"/>
        </dgm:presLayoutVars>
      </dgm:prSet>
      <dgm:spPr/>
    </dgm:pt>
    <dgm:pt modelId="{88218D0A-770C-44A1-8BB7-DFD31E400AB2}" type="pres">
      <dgm:prSet presAssocID="{56F7AD07-6614-42C3-BBCE-4DDFAACC6D26}" presName="txFour" presStyleLbl="node4" presStyleIdx="4" presStyleCnt="24">
        <dgm:presLayoutVars>
          <dgm:chPref val="3"/>
        </dgm:presLayoutVars>
      </dgm:prSet>
      <dgm:spPr>
        <a:prstGeom prst="rect">
          <a:avLst/>
        </a:prstGeom>
      </dgm:spPr>
    </dgm:pt>
    <dgm:pt modelId="{5098F0B5-2999-4298-900F-1C3B731EF248}" type="pres">
      <dgm:prSet presAssocID="{56F7AD07-6614-42C3-BBCE-4DDFAACC6D26}" presName="horzFour" presStyleCnt="0"/>
      <dgm:spPr/>
    </dgm:pt>
    <dgm:pt modelId="{05ACDBC4-A8ED-46E8-9DC3-9AF498640214}" type="pres">
      <dgm:prSet presAssocID="{6F01AAAE-9EAE-4EF9-BE7A-538C447F444E}" presName="sibSpaceFour" presStyleCnt="0"/>
      <dgm:spPr/>
    </dgm:pt>
    <dgm:pt modelId="{715BBC6C-27CB-41F3-AE36-BA838E8F9103}" type="pres">
      <dgm:prSet presAssocID="{41E242D4-946C-4154-B748-310F76BD893A}" presName="vertFour" presStyleCnt="0">
        <dgm:presLayoutVars>
          <dgm:chPref val="3"/>
        </dgm:presLayoutVars>
      </dgm:prSet>
      <dgm:spPr/>
    </dgm:pt>
    <dgm:pt modelId="{37D4AFE5-7BDA-4F77-A2CC-C2003D7AAB0B}" type="pres">
      <dgm:prSet presAssocID="{41E242D4-946C-4154-B748-310F76BD893A}" presName="txFour" presStyleLbl="node4" presStyleIdx="5" presStyleCnt="24">
        <dgm:presLayoutVars>
          <dgm:chPref val="3"/>
        </dgm:presLayoutVars>
      </dgm:prSet>
      <dgm:spPr>
        <a:prstGeom prst="rect">
          <a:avLst/>
        </a:prstGeom>
      </dgm:spPr>
    </dgm:pt>
    <dgm:pt modelId="{F6C09917-E17D-40C2-9494-7A7EB6E66671}" type="pres">
      <dgm:prSet presAssocID="{41E242D4-946C-4154-B748-310F76BD893A}" presName="horzFour" presStyleCnt="0"/>
      <dgm:spPr/>
    </dgm:pt>
    <dgm:pt modelId="{C6155320-3B94-44CE-B931-C15CB5843270}" type="pres">
      <dgm:prSet presAssocID="{CB3E11D6-DA21-44FD-9DDE-DFA5D7BB259B}" presName="sibSpaceFour" presStyleCnt="0"/>
      <dgm:spPr/>
    </dgm:pt>
    <dgm:pt modelId="{18145BB8-BE8A-4034-8852-0841A0E59AED}" type="pres">
      <dgm:prSet presAssocID="{4E219921-B0D4-4F1D-AE26-7FEEB3D754B0}" presName="vertFour" presStyleCnt="0">
        <dgm:presLayoutVars>
          <dgm:chPref val="3"/>
        </dgm:presLayoutVars>
      </dgm:prSet>
      <dgm:spPr/>
    </dgm:pt>
    <dgm:pt modelId="{D866815D-5F92-42F6-98A6-BB894939ED38}" type="pres">
      <dgm:prSet presAssocID="{4E219921-B0D4-4F1D-AE26-7FEEB3D754B0}" presName="txFour" presStyleLbl="node4" presStyleIdx="6" presStyleCnt="24">
        <dgm:presLayoutVars>
          <dgm:chPref val="3"/>
        </dgm:presLayoutVars>
      </dgm:prSet>
      <dgm:spPr>
        <a:prstGeom prst="rect">
          <a:avLst/>
        </a:prstGeom>
      </dgm:spPr>
    </dgm:pt>
    <dgm:pt modelId="{A4ED848A-58F0-4DA1-93D6-66488D41E52B}" type="pres">
      <dgm:prSet presAssocID="{4E219921-B0D4-4F1D-AE26-7FEEB3D754B0}" presName="parTransFour" presStyleCnt="0"/>
      <dgm:spPr/>
    </dgm:pt>
    <dgm:pt modelId="{E70B7542-3A5D-4424-8FA5-D50DBC271659}" type="pres">
      <dgm:prSet presAssocID="{4E219921-B0D4-4F1D-AE26-7FEEB3D754B0}" presName="horzFour" presStyleCnt="0"/>
      <dgm:spPr/>
    </dgm:pt>
    <dgm:pt modelId="{2E2AB85E-86F6-4734-ADEA-A2C03071F8FC}" type="pres">
      <dgm:prSet presAssocID="{DF1279B7-BA79-45EE-85E7-54C1FD0DB7F0}" presName="vertFour" presStyleCnt="0">
        <dgm:presLayoutVars>
          <dgm:chPref val="3"/>
        </dgm:presLayoutVars>
      </dgm:prSet>
      <dgm:spPr/>
    </dgm:pt>
    <dgm:pt modelId="{C982B33A-5593-43FC-A54F-CFC3B2923D99}" type="pres">
      <dgm:prSet presAssocID="{DF1279B7-BA79-45EE-85E7-54C1FD0DB7F0}" presName="txFour" presStyleLbl="node4" presStyleIdx="7" presStyleCnt="24">
        <dgm:presLayoutVars>
          <dgm:chPref val="3"/>
        </dgm:presLayoutVars>
      </dgm:prSet>
      <dgm:spPr>
        <a:prstGeom prst="rect">
          <a:avLst/>
        </a:prstGeom>
      </dgm:spPr>
    </dgm:pt>
    <dgm:pt modelId="{F5097F2E-B173-4966-99AC-0312C08AD576}" type="pres">
      <dgm:prSet presAssocID="{DF1279B7-BA79-45EE-85E7-54C1FD0DB7F0}" presName="parTransFour" presStyleCnt="0"/>
      <dgm:spPr/>
    </dgm:pt>
    <dgm:pt modelId="{26C9BDA0-B809-4984-A97D-850AC865923C}" type="pres">
      <dgm:prSet presAssocID="{DF1279B7-BA79-45EE-85E7-54C1FD0DB7F0}" presName="horzFour" presStyleCnt="0"/>
      <dgm:spPr/>
    </dgm:pt>
    <dgm:pt modelId="{9A7DBD60-4FFD-40EB-B301-2446C7BCDF23}" type="pres">
      <dgm:prSet presAssocID="{06666933-7D84-4A28-B023-FA2F49A3F5D2}" presName="vertFour" presStyleCnt="0">
        <dgm:presLayoutVars>
          <dgm:chPref val="3"/>
        </dgm:presLayoutVars>
      </dgm:prSet>
      <dgm:spPr/>
    </dgm:pt>
    <dgm:pt modelId="{955CDDE3-EC09-491B-B65F-03175C3F783D}" type="pres">
      <dgm:prSet presAssocID="{06666933-7D84-4A28-B023-FA2F49A3F5D2}" presName="txFour" presStyleLbl="node4" presStyleIdx="8" presStyleCnt="24">
        <dgm:presLayoutVars>
          <dgm:chPref val="3"/>
        </dgm:presLayoutVars>
      </dgm:prSet>
      <dgm:spPr>
        <a:prstGeom prst="rect">
          <a:avLst/>
        </a:prstGeom>
      </dgm:spPr>
    </dgm:pt>
    <dgm:pt modelId="{A8B55A87-2CF7-4D86-B110-C2160C7BF1AC}" type="pres">
      <dgm:prSet presAssocID="{06666933-7D84-4A28-B023-FA2F49A3F5D2}" presName="horzFour" presStyleCnt="0"/>
      <dgm:spPr/>
    </dgm:pt>
    <dgm:pt modelId="{D3EA426E-65BE-4AA7-A291-88C89005A39C}" type="pres">
      <dgm:prSet presAssocID="{478F9B9C-338D-457C-B094-E7CD87586DA5}" presName="sibSpaceFour" presStyleCnt="0"/>
      <dgm:spPr/>
    </dgm:pt>
    <dgm:pt modelId="{E6F7C7BB-4ED5-445F-B128-035CD843CC17}" type="pres">
      <dgm:prSet presAssocID="{882801EF-AE70-4D17-AA5A-48A58EF86CE8}" presName="vertFour" presStyleCnt="0">
        <dgm:presLayoutVars>
          <dgm:chPref val="3"/>
        </dgm:presLayoutVars>
      </dgm:prSet>
      <dgm:spPr/>
    </dgm:pt>
    <dgm:pt modelId="{F2809D8E-1760-4C6D-99B8-F8011BCFA348}" type="pres">
      <dgm:prSet presAssocID="{882801EF-AE70-4D17-AA5A-48A58EF86CE8}" presName="txFour" presStyleLbl="node4" presStyleIdx="9" presStyleCnt="24">
        <dgm:presLayoutVars>
          <dgm:chPref val="3"/>
        </dgm:presLayoutVars>
      </dgm:prSet>
      <dgm:spPr>
        <a:prstGeom prst="rect">
          <a:avLst/>
        </a:prstGeom>
      </dgm:spPr>
    </dgm:pt>
    <dgm:pt modelId="{FB6F3862-56C4-429F-B86E-88361959C2D0}" type="pres">
      <dgm:prSet presAssocID="{882801EF-AE70-4D17-AA5A-48A58EF86CE8}" presName="parTransFour" presStyleCnt="0"/>
      <dgm:spPr/>
    </dgm:pt>
    <dgm:pt modelId="{754F7124-F194-4B58-B0B5-2ACFE2C19464}" type="pres">
      <dgm:prSet presAssocID="{882801EF-AE70-4D17-AA5A-48A58EF86CE8}" presName="horzFour" presStyleCnt="0"/>
      <dgm:spPr/>
    </dgm:pt>
    <dgm:pt modelId="{785914D1-55C7-4A08-9157-92CB31127948}" type="pres">
      <dgm:prSet presAssocID="{6D2FC7F8-4E72-4254-8CF4-60C8D772D530}" presName="vertFour" presStyleCnt="0">
        <dgm:presLayoutVars>
          <dgm:chPref val="3"/>
        </dgm:presLayoutVars>
      </dgm:prSet>
      <dgm:spPr/>
    </dgm:pt>
    <dgm:pt modelId="{3FC530B8-3306-46FF-9A32-54F1B6926098}" type="pres">
      <dgm:prSet presAssocID="{6D2FC7F8-4E72-4254-8CF4-60C8D772D530}" presName="txFour" presStyleLbl="node4" presStyleIdx="10" presStyleCnt="24">
        <dgm:presLayoutVars>
          <dgm:chPref val="3"/>
        </dgm:presLayoutVars>
      </dgm:prSet>
      <dgm:spPr>
        <a:prstGeom prst="rect">
          <a:avLst/>
        </a:prstGeom>
      </dgm:spPr>
    </dgm:pt>
    <dgm:pt modelId="{AEC6204A-E563-4ADF-921F-6468C398306B}" type="pres">
      <dgm:prSet presAssocID="{6D2FC7F8-4E72-4254-8CF4-60C8D772D530}" presName="horzFour" presStyleCnt="0"/>
      <dgm:spPr/>
    </dgm:pt>
    <dgm:pt modelId="{7766D71B-A18D-42E1-B6A4-6753B6A5682A}" type="pres">
      <dgm:prSet presAssocID="{55C59786-26A1-4709-BA6E-AB465C6EE089}" presName="sibSpaceFour" presStyleCnt="0"/>
      <dgm:spPr/>
    </dgm:pt>
    <dgm:pt modelId="{9D5370BB-2A00-4438-B847-0E2EAC7EC48E}" type="pres">
      <dgm:prSet presAssocID="{BCF1A177-77F1-464F-A10C-5EDADAEEDCEA}" presName="vertFour" presStyleCnt="0">
        <dgm:presLayoutVars>
          <dgm:chPref val="3"/>
        </dgm:presLayoutVars>
      </dgm:prSet>
      <dgm:spPr/>
    </dgm:pt>
    <dgm:pt modelId="{7E37AE0C-A678-4D55-AA56-131416818982}" type="pres">
      <dgm:prSet presAssocID="{BCF1A177-77F1-464F-A10C-5EDADAEEDCEA}" presName="txFour" presStyleLbl="node4" presStyleIdx="11" presStyleCnt="24">
        <dgm:presLayoutVars>
          <dgm:chPref val="3"/>
        </dgm:presLayoutVars>
      </dgm:prSet>
      <dgm:spPr>
        <a:prstGeom prst="rect">
          <a:avLst/>
        </a:prstGeom>
      </dgm:spPr>
    </dgm:pt>
    <dgm:pt modelId="{31B836FD-96A8-4694-A68A-17A5FD28AD77}" type="pres">
      <dgm:prSet presAssocID="{BCF1A177-77F1-464F-A10C-5EDADAEEDCEA}" presName="horzFour" presStyleCnt="0"/>
      <dgm:spPr/>
    </dgm:pt>
    <dgm:pt modelId="{5B5F6F50-B80D-4618-8C0F-3EAD0117CA54}" type="pres">
      <dgm:prSet presAssocID="{DB73D025-535B-4072-A3CB-98E95F57A3E3}" presName="sibSpaceThree" presStyleCnt="0"/>
      <dgm:spPr/>
    </dgm:pt>
    <dgm:pt modelId="{0C3C8E5D-8066-40B1-86CE-2C5A2DC983B0}" type="pres">
      <dgm:prSet presAssocID="{B33B1E2D-061F-4838-B719-4BEC5DEF14C2}" presName="vertThree" presStyleCnt="0"/>
      <dgm:spPr/>
    </dgm:pt>
    <dgm:pt modelId="{E132D8FA-6D69-42A3-B380-F16B7C57A8C4}" type="pres">
      <dgm:prSet presAssocID="{B33B1E2D-061F-4838-B719-4BEC5DEF14C2}" presName="txThree" presStyleLbl="node3" presStyleIdx="1" presStyleCnt="2">
        <dgm:presLayoutVars>
          <dgm:chPref val="3"/>
        </dgm:presLayoutVars>
      </dgm:prSet>
      <dgm:spPr>
        <a:prstGeom prst="rect">
          <a:avLst/>
        </a:prstGeom>
      </dgm:spPr>
    </dgm:pt>
    <dgm:pt modelId="{DB6C9ED4-4D2D-451A-A921-9911E72EA27B}" type="pres">
      <dgm:prSet presAssocID="{B33B1E2D-061F-4838-B719-4BEC5DEF14C2}" presName="parTransThree" presStyleCnt="0"/>
      <dgm:spPr/>
    </dgm:pt>
    <dgm:pt modelId="{0CD90C35-B443-486E-9222-566830AB4182}" type="pres">
      <dgm:prSet presAssocID="{B33B1E2D-061F-4838-B719-4BEC5DEF14C2}" presName="horzThree" presStyleCnt="0"/>
      <dgm:spPr/>
    </dgm:pt>
    <dgm:pt modelId="{7BD1EA93-E02B-4ED0-91AA-95A994885F3E}" type="pres">
      <dgm:prSet presAssocID="{71E762FB-62EE-4A5D-A700-8046C5A719A7}" presName="vertFour" presStyleCnt="0">
        <dgm:presLayoutVars>
          <dgm:chPref val="3"/>
        </dgm:presLayoutVars>
      </dgm:prSet>
      <dgm:spPr/>
    </dgm:pt>
    <dgm:pt modelId="{472FB27F-C5C0-4CF5-94F5-6645C6C5E598}" type="pres">
      <dgm:prSet presAssocID="{71E762FB-62EE-4A5D-A700-8046C5A719A7}" presName="txFour" presStyleLbl="node4" presStyleIdx="12" presStyleCnt="24">
        <dgm:presLayoutVars>
          <dgm:chPref val="3"/>
        </dgm:presLayoutVars>
      </dgm:prSet>
      <dgm:spPr>
        <a:prstGeom prst="rect">
          <a:avLst/>
        </a:prstGeom>
      </dgm:spPr>
    </dgm:pt>
    <dgm:pt modelId="{57A4ADDA-4B65-4DED-A851-61FC1EAE3AB7}" type="pres">
      <dgm:prSet presAssocID="{71E762FB-62EE-4A5D-A700-8046C5A719A7}" presName="parTransFour" presStyleCnt="0"/>
      <dgm:spPr/>
    </dgm:pt>
    <dgm:pt modelId="{5647EFF8-3745-4B3F-AC88-4FDC7D11E5F9}" type="pres">
      <dgm:prSet presAssocID="{71E762FB-62EE-4A5D-A700-8046C5A719A7}" presName="horzFour" presStyleCnt="0"/>
      <dgm:spPr/>
    </dgm:pt>
    <dgm:pt modelId="{DD1D0833-24C6-4259-8748-13FAE9CCD0A1}" type="pres">
      <dgm:prSet presAssocID="{CE7BFC38-ABFD-4219-AA53-C3BD283A0211}" presName="vertFour" presStyleCnt="0">
        <dgm:presLayoutVars>
          <dgm:chPref val="3"/>
        </dgm:presLayoutVars>
      </dgm:prSet>
      <dgm:spPr/>
    </dgm:pt>
    <dgm:pt modelId="{1297F07F-0E12-4033-919A-529421A89DA5}" type="pres">
      <dgm:prSet presAssocID="{CE7BFC38-ABFD-4219-AA53-C3BD283A0211}" presName="txFour" presStyleLbl="node4" presStyleIdx="13" presStyleCnt="24">
        <dgm:presLayoutVars>
          <dgm:chPref val="3"/>
        </dgm:presLayoutVars>
      </dgm:prSet>
      <dgm:spPr>
        <a:prstGeom prst="rect">
          <a:avLst/>
        </a:prstGeom>
      </dgm:spPr>
    </dgm:pt>
    <dgm:pt modelId="{DC602477-C1EA-464B-B18F-80A59E2FDC90}" type="pres">
      <dgm:prSet presAssocID="{CE7BFC38-ABFD-4219-AA53-C3BD283A0211}" presName="parTransFour" presStyleCnt="0"/>
      <dgm:spPr/>
    </dgm:pt>
    <dgm:pt modelId="{3E4B73F1-A540-4F07-9BBF-F67279AC9C83}" type="pres">
      <dgm:prSet presAssocID="{CE7BFC38-ABFD-4219-AA53-C3BD283A0211}" presName="horzFour" presStyleCnt="0"/>
      <dgm:spPr/>
    </dgm:pt>
    <dgm:pt modelId="{069B0FEE-0809-48A3-91EB-5A54DD7D380C}" type="pres">
      <dgm:prSet presAssocID="{692A9193-501E-482B-8BBC-7AAF356BF8E9}" presName="vertFour" presStyleCnt="0">
        <dgm:presLayoutVars>
          <dgm:chPref val="3"/>
        </dgm:presLayoutVars>
      </dgm:prSet>
      <dgm:spPr/>
    </dgm:pt>
    <dgm:pt modelId="{B9A1E995-AD45-4169-981D-36814634A3B0}" type="pres">
      <dgm:prSet presAssocID="{692A9193-501E-482B-8BBC-7AAF356BF8E9}" presName="txFour" presStyleLbl="node4" presStyleIdx="14" presStyleCnt="24">
        <dgm:presLayoutVars>
          <dgm:chPref val="3"/>
        </dgm:presLayoutVars>
      </dgm:prSet>
      <dgm:spPr>
        <a:prstGeom prst="rect">
          <a:avLst/>
        </a:prstGeom>
      </dgm:spPr>
    </dgm:pt>
    <dgm:pt modelId="{37F0B16B-D691-4400-8409-63C1CE1DADB2}" type="pres">
      <dgm:prSet presAssocID="{692A9193-501E-482B-8BBC-7AAF356BF8E9}" presName="horzFour" presStyleCnt="0"/>
      <dgm:spPr/>
    </dgm:pt>
    <dgm:pt modelId="{63136FD3-652E-4C53-AF87-BF1D254ED4AF}" type="pres">
      <dgm:prSet presAssocID="{967161A1-B7E5-41DC-9476-D177523DEDBE}" presName="sibSpaceFour" presStyleCnt="0"/>
      <dgm:spPr/>
    </dgm:pt>
    <dgm:pt modelId="{A559B335-1154-4297-AD25-A549926DCCEA}" type="pres">
      <dgm:prSet presAssocID="{5AA67313-3CA2-4207-A9D5-A368BF3493CD}" presName="vertFour" presStyleCnt="0">
        <dgm:presLayoutVars>
          <dgm:chPref val="3"/>
        </dgm:presLayoutVars>
      </dgm:prSet>
      <dgm:spPr/>
    </dgm:pt>
    <dgm:pt modelId="{9808D4D1-C2A3-4842-BDF6-B1EB6BF775C3}" type="pres">
      <dgm:prSet presAssocID="{5AA67313-3CA2-4207-A9D5-A368BF3493CD}" presName="txFour" presStyleLbl="node4" presStyleIdx="15" presStyleCnt="24">
        <dgm:presLayoutVars>
          <dgm:chPref val="3"/>
        </dgm:presLayoutVars>
      </dgm:prSet>
      <dgm:spPr>
        <a:prstGeom prst="rect">
          <a:avLst/>
        </a:prstGeom>
      </dgm:spPr>
    </dgm:pt>
    <dgm:pt modelId="{12FE5332-201D-4330-83D2-7387ADD95E99}" type="pres">
      <dgm:prSet presAssocID="{5AA67313-3CA2-4207-A9D5-A368BF3493CD}" presName="parTransFour" presStyleCnt="0"/>
      <dgm:spPr/>
    </dgm:pt>
    <dgm:pt modelId="{DF01FE0F-FFA2-4178-8D2B-079555C0D79C}" type="pres">
      <dgm:prSet presAssocID="{5AA67313-3CA2-4207-A9D5-A368BF3493CD}" presName="horzFour" presStyleCnt="0"/>
      <dgm:spPr/>
    </dgm:pt>
    <dgm:pt modelId="{C2652956-DEB7-447B-8A78-5254A0CDA033}" type="pres">
      <dgm:prSet presAssocID="{248DFDFD-D6E6-49F7-B677-5C272A81744E}" presName="vertFour" presStyleCnt="0">
        <dgm:presLayoutVars>
          <dgm:chPref val="3"/>
        </dgm:presLayoutVars>
      </dgm:prSet>
      <dgm:spPr/>
    </dgm:pt>
    <dgm:pt modelId="{933F0E81-EA34-4B35-B315-801276BB53C8}" type="pres">
      <dgm:prSet presAssocID="{248DFDFD-D6E6-49F7-B677-5C272A81744E}" presName="txFour" presStyleLbl="node4" presStyleIdx="16" presStyleCnt="24">
        <dgm:presLayoutVars>
          <dgm:chPref val="3"/>
        </dgm:presLayoutVars>
      </dgm:prSet>
      <dgm:spPr>
        <a:prstGeom prst="rect">
          <a:avLst/>
        </a:prstGeom>
      </dgm:spPr>
    </dgm:pt>
    <dgm:pt modelId="{FBBB28C0-3D25-4D5C-970A-2BB76B74B9D1}" type="pres">
      <dgm:prSet presAssocID="{248DFDFD-D6E6-49F7-B677-5C272A81744E}" presName="horzFour" presStyleCnt="0"/>
      <dgm:spPr/>
    </dgm:pt>
    <dgm:pt modelId="{68407786-1272-4B19-A685-505F548281B5}" type="pres">
      <dgm:prSet presAssocID="{A7D31F74-AB42-4AF4-B171-1A5851543155}" presName="sibSpaceFour" presStyleCnt="0"/>
      <dgm:spPr/>
    </dgm:pt>
    <dgm:pt modelId="{C44257AF-653B-46F7-9859-F94F2F087AFA}" type="pres">
      <dgm:prSet presAssocID="{50E20A1F-53DF-4822-8F96-14E6F69ADA2B}" presName="vertFour" presStyleCnt="0">
        <dgm:presLayoutVars>
          <dgm:chPref val="3"/>
        </dgm:presLayoutVars>
      </dgm:prSet>
      <dgm:spPr/>
    </dgm:pt>
    <dgm:pt modelId="{18CF7BF0-DDC1-467D-A664-AEF8A1C84C56}" type="pres">
      <dgm:prSet presAssocID="{50E20A1F-53DF-4822-8F96-14E6F69ADA2B}" presName="txFour" presStyleLbl="node4" presStyleIdx="17" presStyleCnt="24">
        <dgm:presLayoutVars>
          <dgm:chPref val="3"/>
        </dgm:presLayoutVars>
      </dgm:prSet>
      <dgm:spPr>
        <a:prstGeom prst="rect">
          <a:avLst/>
        </a:prstGeom>
      </dgm:spPr>
    </dgm:pt>
    <dgm:pt modelId="{56D8B1B7-1A68-479F-B213-56F8F6BA5C35}" type="pres">
      <dgm:prSet presAssocID="{50E20A1F-53DF-4822-8F96-14E6F69ADA2B}" presName="horzFour" presStyleCnt="0"/>
      <dgm:spPr/>
    </dgm:pt>
    <dgm:pt modelId="{911ABE88-C389-48DC-80C4-4404BFB131EC}" type="pres">
      <dgm:prSet presAssocID="{74D0A74A-1C9E-4070-A032-397750D0CF0D}" presName="sibSpaceFour" presStyleCnt="0"/>
      <dgm:spPr/>
    </dgm:pt>
    <dgm:pt modelId="{9D7EE3C9-BEF7-4637-9473-69F5493664B9}" type="pres">
      <dgm:prSet presAssocID="{EFA2AE6B-3736-45FF-973C-0B6E9636AFF3}" presName="vertFour" presStyleCnt="0">
        <dgm:presLayoutVars>
          <dgm:chPref val="3"/>
        </dgm:presLayoutVars>
      </dgm:prSet>
      <dgm:spPr/>
    </dgm:pt>
    <dgm:pt modelId="{7CE4C90D-050F-4D40-B75D-C5F19E002553}" type="pres">
      <dgm:prSet presAssocID="{EFA2AE6B-3736-45FF-973C-0B6E9636AFF3}" presName="txFour" presStyleLbl="node4" presStyleIdx="18" presStyleCnt="24">
        <dgm:presLayoutVars>
          <dgm:chPref val="3"/>
        </dgm:presLayoutVars>
      </dgm:prSet>
      <dgm:spPr>
        <a:prstGeom prst="rect">
          <a:avLst/>
        </a:prstGeom>
      </dgm:spPr>
    </dgm:pt>
    <dgm:pt modelId="{0DF00482-09C9-4255-99ED-8459662C3CE6}" type="pres">
      <dgm:prSet presAssocID="{EFA2AE6B-3736-45FF-973C-0B6E9636AFF3}" presName="parTransFour" presStyleCnt="0"/>
      <dgm:spPr/>
    </dgm:pt>
    <dgm:pt modelId="{A9048931-CAD5-4805-8F90-9D1940F1F877}" type="pres">
      <dgm:prSet presAssocID="{EFA2AE6B-3736-45FF-973C-0B6E9636AFF3}" presName="horzFour" presStyleCnt="0"/>
      <dgm:spPr/>
    </dgm:pt>
    <dgm:pt modelId="{8B4D96A4-BEBE-4ECE-9EA1-0C772386EA1D}" type="pres">
      <dgm:prSet presAssocID="{447728AA-BC55-470E-9570-109663FFCBB6}" presName="vertFour" presStyleCnt="0">
        <dgm:presLayoutVars>
          <dgm:chPref val="3"/>
        </dgm:presLayoutVars>
      </dgm:prSet>
      <dgm:spPr/>
    </dgm:pt>
    <dgm:pt modelId="{2826843C-3871-4BD9-9E6D-E7F01C237C24}" type="pres">
      <dgm:prSet presAssocID="{447728AA-BC55-470E-9570-109663FFCBB6}" presName="txFour" presStyleLbl="node4" presStyleIdx="19" presStyleCnt="24">
        <dgm:presLayoutVars>
          <dgm:chPref val="3"/>
        </dgm:presLayoutVars>
      </dgm:prSet>
      <dgm:spPr>
        <a:prstGeom prst="rect">
          <a:avLst/>
        </a:prstGeom>
      </dgm:spPr>
    </dgm:pt>
    <dgm:pt modelId="{DC8924CD-2487-42E6-ACD5-6D77269C2848}" type="pres">
      <dgm:prSet presAssocID="{447728AA-BC55-470E-9570-109663FFCBB6}" presName="parTransFour" presStyleCnt="0"/>
      <dgm:spPr/>
    </dgm:pt>
    <dgm:pt modelId="{2F9E7D98-CD1E-4C4B-AA3A-91F86763EFCD}" type="pres">
      <dgm:prSet presAssocID="{447728AA-BC55-470E-9570-109663FFCBB6}" presName="horzFour" presStyleCnt="0"/>
      <dgm:spPr/>
    </dgm:pt>
    <dgm:pt modelId="{BE16067D-32F8-4063-9F25-F4C434EC18B3}" type="pres">
      <dgm:prSet presAssocID="{E9F00584-6211-4C83-8830-5B8CC931232D}" presName="vertFour" presStyleCnt="0">
        <dgm:presLayoutVars>
          <dgm:chPref val="3"/>
        </dgm:presLayoutVars>
      </dgm:prSet>
      <dgm:spPr/>
    </dgm:pt>
    <dgm:pt modelId="{7656BD3E-1BE5-4162-98E3-614EDC513FB6}" type="pres">
      <dgm:prSet presAssocID="{E9F00584-6211-4C83-8830-5B8CC931232D}" presName="txFour" presStyleLbl="node4" presStyleIdx="20" presStyleCnt="24">
        <dgm:presLayoutVars>
          <dgm:chPref val="3"/>
        </dgm:presLayoutVars>
      </dgm:prSet>
      <dgm:spPr>
        <a:prstGeom prst="rect">
          <a:avLst/>
        </a:prstGeom>
      </dgm:spPr>
    </dgm:pt>
    <dgm:pt modelId="{23F39864-4C84-4812-A3ED-2EF5246BCBAF}" type="pres">
      <dgm:prSet presAssocID="{E9F00584-6211-4C83-8830-5B8CC931232D}" presName="horzFour" presStyleCnt="0"/>
      <dgm:spPr/>
    </dgm:pt>
    <dgm:pt modelId="{A4E7D480-64F8-4369-936B-9126AB48A5A6}" type="pres">
      <dgm:prSet presAssocID="{3839FF2D-213A-44F8-A58F-2AF866EEB69C}" presName="sibSpaceFour" presStyleCnt="0"/>
      <dgm:spPr/>
    </dgm:pt>
    <dgm:pt modelId="{07E153CA-C932-46F3-82FF-B154AA48D1D7}" type="pres">
      <dgm:prSet presAssocID="{9F16BAA9-3130-489E-A686-7F5CA853DAA9}" presName="vertFour" presStyleCnt="0">
        <dgm:presLayoutVars>
          <dgm:chPref val="3"/>
        </dgm:presLayoutVars>
      </dgm:prSet>
      <dgm:spPr/>
    </dgm:pt>
    <dgm:pt modelId="{32E5C864-0E11-490C-AF14-D40F4CCB5F00}" type="pres">
      <dgm:prSet presAssocID="{9F16BAA9-3130-489E-A686-7F5CA853DAA9}" presName="txFour" presStyleLbl="node4" presStyleIdx="21" presStyleCnt="24">
        <dgm:presLayoutVars>
          <dgm:chPref val="3"/>
        </dgm:presLayoutVars>
      </dgm:prSet>
      <dgm:spPr>
        <a:prstGeom prst="rect">
          <a:avLst/>
        </a:prstGeom>
      </dgm:spPr>
    </dgm:pt>
    <dgm:pt modelId="{9FF95E8B-40F0-49A9-8B97-9E770720A84B}" type="pres">
      <dgm:prSet presAssocID="{9F16BAA9-3130-489E-A686-7F5CA853DAA9}" presName="parTransFour" presStyleCnt="0"/>
      <dgm:spPr/>
    </dgm:pt>
    <dgm:pt modelId="{6C040767-9185-4C4A-A1A6-598301B01517}" type="pres">
      <dgm:prSet presAssocID="{9F16BAA9-3130-489E-A686-7F5CA853DAA9}" presName="horzFour" presStyleCnt="0"/>
      <dgm:spPr/>
    </dgm:pt>
    <dgm:pt modelId="{0D8B77AB-DD2E-43CF-9471-3AF36200250C}" type="pres">
      <dgm:prSet presAssocID="{417505DB-2D8E-4360-9A7F-9107A7E217DF}" presName="vertFour" presStyleCnt="0">
        <dgm:presLayoutVars>
          <dgm:chPref val="3"/>
        </dgm:presLayoutVars>
      </dgm:prSet>
      <dgm:spPr/>
    </dgm:pt>
    <dgm:pt modelId="{DA45CBDA-30BD-4D5A-84B9-217A079DE5E2}" type="pres">
      <dgm:prSet presAssocID="{417505DB-2D8E-4360-9A7F-9107A7E217DF}" presName="txFour" presStyleLbl="node4" presStyleIdx="22" presStyleCnt="24">
        <dgm:presLayoutVars>
          <dgm:chPref val="3"/>
        </dgm:presLayoutVars>
      </dgm:prSet>
      <dgm:spPr>
        <a:prstGeom prst="rect">
          <a:avLst/>
        </a:prstGeom>
      </dgm:spPr>
    </dgm:pt>
    <dgm:pt modelId="{1176B15C-F331-4C91-B27C-C7A7CA2BFA5B}" type="pres">
      <dgm:prSet presAssocID="{417505DB-2D8E-4360-9A7F-9107A7E217DF}" presName="horzFour" presStyleCnt="0"/>
      <dgm:spPr/>
    </dgm:pt>
    <dgm:pt modelId="{6B503664-7316-41AF-8EBD-A2A4EB3DD70C}" type="pres">
      <dgm:prSet presAssocID="{CC1D59FD-EC20-463B-A5CF-BE993CD4AC2A}" presName="sibSpaceFour" presStyleCnt="0"/>
      <dgm:spPr/>
    </dgm:pt>
    <dgm:pt modelId="{B682AF9D-1821-449D-955C-DC047B619171}" type="pres">
      <dgm:prSet presAssocID="{2848111E-8CCB-4D5F-9A63-9F70A88101A6}" presName="vertFour" presStyleCnt="0">
        <dgm:presLayoutVars>
          <dgm:chPref val="3"/>
        </dgm:presLayoutVars>
      </dgm:prSet>
      <dgm:spPr/>
    </dgm:pt>
    <dgm:pt modelId="{B76682FE-8E37-49A2-AE62-41633511FE4B}" type="pres">
      <dgm:prSet presAssocID="{2848111E-8CCB-4D5F-9A63-9F70A88101A6}" presName="txFour" presStyleLbl="node4" presStyleIdx="23" presStyleCnt="24">
        <dgm:presLayoutVars>
          <dgm:chPref val="3"/>
        </dgm:presLayoutVars>
      </dgm:prSet>
      <dgm:spPr>
        <a:prstGeom prst="rect">
          <a:avLst/>
        </a:prstGeom>
      </dgm:spPr>
    </dgm:pt>
    <dgm:pt modelId="{226D10EF-02E6-44D2-8075-8FACFA15B3E4}" type="pres">
      <dgm:prSet presAssocID="{2848111E-8CCB-4D5F-9A63-9F70A88101A6}" presName="horzFour" presStyleCnt="0"/>
      <dgm:spPr/>
    </dgm:pt>
  </dgm:ptLst>
  <dgm:cxnLst>
    <dgm:cxn modelId="{ED2CED05-EC88-49AD-B8AC-27660CA281A4}" type="presOf" srcId="{06666933-7D84-4A28-B023-FA2F49A3F5D2}" destId="{955CDDE3-EC09-491B-B65F-03175C3F783D}" srcOrd="0" destOrd="0" presId="urn:microsoft.com/office/officeart/2005/8/layout/hierarchy4"/>
    <dgm:cxn modelId="{7939E308-945C-456F-9809-810B71FCC57D}" type="presOf" srcId="{44628DB9-23B8-4C4D-815B-ED30ED5C03B7}" destId="{5A514E9B-2478-41EA-96E8-0B812D93B238}" srcOrd="0" destOrd="0" presId="urn:microsoft.com/office/officeart/2005/8/layout/hierarchy4"/>
    <dgm:cxn modelId="{2B29F909-643A-4488-A393-57683BC9E70A}" srcId="{CE7BFC38-ABFD-4219-AA53-C3BD283A0211}" destId="{692A9193-501E-482B-8BBC-7AAF356BF8E9}" srcOrd="0" destOrd="0" parTransId="{01ED0CD7-8EEE-44E3-A3CD-43004AC0CF4C}" sibTransId="{05164259-6CE3-4FA7-AED4-D3EBF627FC3D}"/>
    <dgm:cxn modelId="{EF3F9114-2F14-484F-B2BE-036968E40A18}" srcId="{9F16BAA9-3130-489E-A686-7F5CA853DAA9}" destId="{417505DB-2D8E-4360-9A7F-9107A7E217DF}" srcOrd="0" destOrd="0" parTransId="{90303BE8-43E8-46D9-8F11-90A1226EB62D}" sibTransId="{CC1D59FD-EC20-463B-A5CF-BE993CD4AC2A}"/>
    <dgm:cxn modelId="{70F72D16-0404-4651-A48D-A0DB9C31946A}" type="presOf" srcId="{E9F00584-6211-4C83-8830-5B8CC931232D}" destId="{7656BD3E-1BE5-4162-98E3-614EDC513FB6}" srcOrd="0" destOrd="0" presId="urn:microsoft.com/office/officeart/2005/8/layout/hierarchy4"/>
    <dgm:cxn modelId="{D9DE1B1E-531F-4F7E-B063-80709DAB289C}" type="presOf" srcId="{6FF15434-A4BA-4E61-A3AB-3399D6A28662}" destId="{6F786B55-9647-41A7-815D-5DD0FAB69113}" srcOrd="0" destOrd="0" presId="urn:microsoft.com/office/officeart/2005/8/layout/hierarchy4"/>
    <dgm:cxn modelId="{3680B525-1916-4662-A2FF-447202C78460}" srcId="{B33B1E2D-061F-4838-B719-4BEC5DEF14C2}" destId="{71E762FB-62EE-4A5D-A700-8046C5A719A7}" srcOrd="0" destOrd="0" parTransId="{A3CDCE4A-49DF-4892-9CF3-934A8CC049CE}" sibTransId="{74D0A74A-1C9E-4070-A032-397750D0CF0D}"/>
    <dgm:cxn modelId="{61869727-013E-40F8-A2BC-2991FF232C2E}" srcId="{B33B1E2D-061F-4838-B719-4BEC5DEF14C2}" destId="{EFA2AE6B-3736-45FF-973C-0B6E9636AFF3}" srcOrd="1" destOrd="0" parTransId="{1195ABC1-0125-4A65-86E9-139806684872}" sibTransId="{01D37F69-21FE-409D-86E9-B9779B811496}"/>
    <dgm:cxn modelId="{9042ED2B-69B9-4175-980E-60E5FBBC46C3}" type="presOf" srcId="{5AA67313-3CA2-4207-A9D5-A368BF3493CD}" destId="{9808D4D1-C2A3-4842-BDF6-B1EB6BF775C3}" srcOrd="0" destOrd="0" presId="urn:microsoft.com/office/officeart/2005/8/layout/hierarchy4"/>
    <dgm:cxn modelId="{DC7C2434-82FF-4541-99BB-BA82FC07DE5E}" type="presOf" srcId="{3FF61452-7E1F-411E-80EB-7E62D511CC4D}" destId="{86D9AD88-5394-4E8D-9F7E-D4E24DA2D003}" srcOrd="0" destOrd="0" presId="urn:microsoft.com/office/officeart/2005/8/layout/hierarchy4"/>
    <dgm:cxn modelId="{CE6DA834-235C-432A-A362-C241070E5018}" srcId="{4F35176A-7375-4455-9141-A1842CBCF7D5}" destId="{B33B1E2D-061F-4838-B719-4BEC5DEF14C2}" srcOrd="1" destOrd="0" parTransId="{12BEC3E8-847F-4494-9E2E-30A60D61A52C}" sibTransId="{040B2A28-D9EF-4BB6-BCF7-229EA60710F5}"/>
    <dgm:cxn modelId="{51034639-4EF7-4955-9A9C-CE4A2CF44109}" type="presOf" srcId="{E31290A8-9EF6-44B4-BEDD-2F48CA0D878E}" destId="{14CDF810-D567-42F4-AAC4-4F336CD744E2}" srcOrd="0" destOrd="0" presId="urn:microsoft.com/office/officeart/2005/8/layout/hierarchy4"/>
    <dgm:cxn modelId="{DFDF9C3D-3A9F-42EB-9CA6-D6A981EDB23D}" type="presOf" srcId="{248DFDFD-D6E6-49F7-B677-5C272A81744E}" destId="{933F0E81-EA34-4B35-B315-801276BB53C8}" srcOrd="0" destOrd="0" presId="urn:microsoft.com/office/officeart/2005/8/layout/hierarchy4"/>
    <dgm:cxn modelId="{7C1C1B3E-8CC8-404E-B395-515C2FBCE1CB}" srcId="{D594F806-95BC-4C26-8617-0AADC22FF2D1}" destId="{41E242D4-946C-4154-B748-310F76BD893A}" srcOrd="1" destOrd="0" parTransId="{E8CD66A8-C3C3-480E-B443-ED803F4D5E64}" sibTransId="{F6B50A8D-F45F-469D-8FD0-8C0265957C87}"/>
    <dgm:cxn modelId="{1C83D740-8D8B-4280-AF3D-F6A3F51BF63B}" srcId="{EFA2AE6B-3736-45FF-973C-0B6E9636AFF3}" destId="{9F16BAA9-3130-489E-A686-7F5CA853DAA9}" srcOrd="1" destOrd="0" parTransId="{31C64A5B-FADA-439D-AD6F-1812B3E7A0C3}" sibTransId="{60BB2984-F790-4CA6-B2F8-78047988993A}"/>
    <dgm:cxn modelId="{8E76C55E-E132-4501-BCF5-491BB5ED47E1}" type="presOf" srcId="{D594F806-95BC-4C26-8617-0AADC22FF2D1}" destId="{01E0467D-AA7E-4FDC-9041-EB94C35C8CA9}" srcOrd="0" destOrd="0" presId="urn:microsoft.com/office/officeart/2005/8/layout/hierarchy4"/>
    <dgm:cxn modelId="{1848D55F-D9CA-462A-9DBA-088D95A2DCDC}" type="presOf" srcId="{41E242D4-946C-4154-B748-310F76BD893A}" destId="{37D4AFE5-7BDA-4F77-A2CC-C2003D7AAB0B}" srcOrd="0" destOrd="0" presId="urn:microsoft.com/office/officeart/2005/8/layout/hierarchy4"/>
    <dgm:cxn modelId="{C9AE0E60-1DF1-4A15-9ADE-4B21B09E96B3}" type="presOf" srcId="{56F7AD07-6614-42C3-BBCE-4DDFAACC6D26}" destId="{88218D0A-770C-44A1-8BB7-DFD31E400AB2}" srcOrd="0" destOrd="0" presId="urn:microsoft.com/office/officeart/2005/8/layout/hierarchy4"/>
    <dgm:cxn modelId="{C7053F61-50FF-44EE-8B18-E9B1635A0A21}" type="presOf" srcId="{417505DB-2D8E-4360-9A7F-9107A7E217DF}" destId="{DA45CBDA-30BD-4D5A-84B9-217A079DE5E2}" srcOrd="0" destOrd="0" presId="urn:microsoft.com/office/officeart/2005/8/layout/hierarchy4"/>
    <dgm:cxn modelId="{FA3FC541-1ED6-4D83-A344-9F634C4CCDF5}" srcId="{6FF15434-A4BA-4E61-A3AB-3399D6A28662}" destId="{3FF61452-7E1F-411E-80EB-7E62D511CC4D}" srcOrd="0" destOrd="0" parTransId="{027C6623-D566-4C51-851F-17F7489B708B}" sibTransId="{0430D492-DE65-4D9C-AEFF-200ACF9B5B98}"/>
    <dgm:cxn modelId="{BF7E6764-1717-4F13-8E86-DAF111C0690C}" type="presOf" srcId="{CE7BFC38-ABFD-4219-AA53-C3BD283A0211}" destId="{1297F07F-0E12-4033-919A-529421A89DA5}" srcOrd="0" destOrd="0" presId="urn:microsoft.com/office/officeart/2005/8/layout/hierarchy4"/>
    <dgm:cxn modelId="{D4AC3A45-32E5-47ED-97CF-FFD2717E3889}" srcId="{EFA2AE6B-3736-45FF-973C-0B6E9636AFF3}" destId="{447728AA-BC55-470E-9570-109663FFCBB6}" srcOrd="0" destOrd="0" parTransId="{A143739B-E0E8-47CB-8D57-B0B41A657279}" sibTransId="{3839FF2D-213A-44F8-A58F-2AF866EEB69C}"/>
    <dgm:cxn modelId="{BD962648-12C8-42CF-902E-158D020ECE11}" type="presOf" srcId="{24C73B99-422A-44E9-BC80-304AAC0EA604}" destId="{0BADA3F3-3EEA-4EAE-99EF-B8AC32C67904}" srcOrd="0" destOrd="0" presId="urn:microsoft.com/office/officeart/2005/8/layout/hierarchy4"/>
    <dgm:cxn modelId="{FFDF5A68-3B79-4A7B-B16A-8406BAF1A45F}" type="presOf" srcId="{2848111E-8CCB-4D5F-9A63-9F70A88101A6}" destId="{B76682FE-8E37-49A2-AE62-41633511FE4B}" srcOrd="0" destOrd="0" presId="urn:microsoft.com/office/officeart/2005/8/layout/hierarchy4"/>
    <dgm:cxn modelId="{FDD59A68-A17F-4D8A-88F4-17BEC29ED70A}" type="presOf" srcId="{DF1279B7-BA79-45EE-85E7-54C1FD0DB7F0}" destId="{C982B33A-5593-43FC-A54F-CFC3B2923D99}" srcOrd="0" destOrd="0" presId="urn:microsoft.com/office/officeart/2005/8/layout/hierarchy4"/>
    <dgm:cxn modelId="{B288A948-DB79-4486-BFC4-68A90AB8AB4B}" srcId="{71E762FB-62EE-4A5D-A700-8046C5A719A7}" destId="{5AA67313-3CA2-4207-A9D5-A368BF3493CD}" srcOrd="1" destOrd="0" parTransId="{11592366-16F8-42B4-8242-D9AB24BFB31A}" sibTransId="{76BC1BAB-F1E4-402D-9C12-3A01E84C9188}"/>
    <dgm:cxn modelId="{B3541769-8AA0-4ECB-9E1B-36E2BF7EEF90}" srcId="{24C73B99-422A-44E9-BC80-304AAC0EA604}" destId="{6FF15434-A4BA-4E61-A3AB-3399D6A28662}" srcOrd="0" destOrd="0" parTransId="{C6535677-73FE-48F1-BB8A-ECFD583FE120}" sibTransId="{63E1B991-F2E4-447D-8411-1850B408D024}"/>
    <dgm:cxn modelId="{FA648669-3F84-40C4-922B-94DAE326F1B0}" type="presOf" srcId="{6D2FC7F8-4E72-4254-8CF4-60C8D772D530}" destId="{3FC530B8-3306-46FF-9A32-54F1B6926098}" srcOrd="0" destOrd="0" presId="urn:microsoft.com/office/officeart/2005/8/layout/hierarchy4"/>
    <dgm:cxn modelId="{2EDC004A-87BD-4B92-90F8-A86BA391CB85}" srcId="{71E762FB-62EE-4A5D-A700-8046C5A719A7}" destId="{CE7BFC38-ABFD-4219-AA53-C3BD283A0211}" srcOrd="0" destOrd="0" parTransId="{5C64A504-4CB2-4557-A336-94C4893592ED}" sibTransId="{967161A1-B7E5-41DC-9476-D177523DEDBE}"/>
    <dgm:cxn modelId="{B1D10D6B-3344-4AE2-928F-E6CAC1BCCC4C}" type="presOf" srcId="{4F35176A-7375-4455-9141-A1842CBCF7D5}" destId="{67ADAEDD-EA43-4A92-A582-EF9C6BBB92D7}" srcOrd="0" destOrd="0" presId="urn:microsoft.com/office/officeart/2005/8/layout/hierarchy4"/>
    <dgm:cxn modelId="{52E47A6C-FCE1-4154-91F6-7FAE0559BA15}" srcId="{DF1279B7-BA79-45EE-85E7-54C1FD0DB7F0}" destId="{06666933-7D84-4A28-B023-FA2F49A3F5D2}" srcOrd="0" destOrd="0" parTransId="{2CD9E7E1-5594-4C70-8704-A269BA4AD4C4}" sibTransId="{3630674B-24C3-4ECB-940C-597F66A5F928}"/>
    <dgm:cxn modelId="{21C0D370-57FA-462E-B8D1-88ED27AFAB06}" srcId="{5AA67313-3CA2-4207-A9D5-A368BF3493CD}" destId="{50E20A1F-53DF-4822-8F96-14E6F69ADA2B}" srcOrd="1" destOrd="0" parTransId="{E87F08BD-55EC-4266-9D07-3A5B8102A4F0}" sibTransId="{6D35C801-AB18-40EA-94DE-B1E3AB1EA4B3}"/>
    <dgm:cxn modelId="{D4093273-2CF4-426E-8AA0-630D0FDDB08F}" type="presOf" srcId="{692A9193-501E-482B-8BBC-7AAF356BF8E9}" destId="{B9A1E995-AD45-4169-981D-36814634A3B0}" srcOrd="0" destOrd="0" presId="urn:microsoft.com/office/officeart/2005/8/layout/hierarchy4"/>
    <dgm:cxn modelId="{21F05B53-961F-4028-9F17-99B38BC4CC9B}" type="presOf" srcId="{9F16BAA9-3130-489E-A686-7F5CA853DAA9}" destId="{32E5C864-0E11-490C-AF14-D40F4CCB5F00}" srcOrd="0" destOrd="0" presId="urn:microsoft.com/office/officeart/2005/8/layout/hierarchy4"/>
    <dgm:cxn modelId="{5806BD79-5F55-4E49-9E3C-8D6B3BE9B2CA}" srcId="{D594F806-95BC-4C26-8617-0AADC22FF2D1}" destId="{56F7AD07-6614-42C3-BBCE-4DDFAACC6D26}" srcOrd="0" destOrd="0" parTransId="{95588ECA-511C-40E6-86F7-CECBA5DDC95F}" sibTransId="{6F01AAAE-9EAE-4EF9-BE7A-538C447F444E}"/>
    <dgm:cxn modelId="{6948DD79-0FE3-45B3-9ED2-2D5636283974}" srcId="{E31290A8-9EF6-44B4-BEDD-2F48CA0D878E}" destId="{4E219921-B0D4-4F1D-AE26-7FEEB3D754B0}" srcOrd="1" destOrd="0" parTransId="{220129B3-69AC-46CB-9DC6-01B1F5D826A2}" sibTransId="{30225928-8F13-479D-B1A4-42BF5BE859E1}"/>
    <dgm:cxn modelId="{1698EB7A-EBCA-4BC0-A0D1-5CD6E6C54A66}" srcId="{882801EF-AE70-4D17-AA5A-48A58EF86CE8}" destId="{6D2FC7F8-4E72-4254-8CF4-60C8D772D530}" srcOrd="0" destOrd="0" parTransId="{8B61795F-61A0-4B6C-8C8B-B97C6DE4DD02}" sibTransId="{55C59786-26A1-4709-BA6E-AB465C6EE089}"/>
    <dgm:cxn modelId="{A454EB8B-C2EA-4F6D-BFBB-32681E99BA83}" type="presOf" srcId="{EFA2AE6B-3736-45FF-973C-0B6E9636AFF3}" destId="{7CE4C90D-050F-4D40-B75D-C5F19E002553}" srcOrd="0" destOrd="0" presId="urn:microsoft.com/office/officeart/2005/8/layout/hierarchy4"/>
    <dgm:cxn modelId="{D4185191-96D1-4EC9-8616-5D6F2CA08514}" type="presOf" srcId="{4E219921-B0D4-4F1D-AE26-7FEEB3D754B0}" destId="{D866815D-5F92-42F6-98A6-BB894939ED38}" srcOrd="0" destOrd="0" presId="urn:microsoft.com/office/officeart/2005/8/layout/hierarchy4"/>
    <dgm:cxn modelId="{FA8F7193-B98F-486A-AC66-40C7BD83F16D}" srcId="{5AA67313-3CA2-4207-A9D5-A368BF3493CD}" destId="{248DFDFD-D6E6-49F7-B677-5C272A81744E}" srcOrd="0" destOrd="0" parTransId="{E2104EFD-A256-4F05-BA66-ECBD037AFFD3}" sibTransId="{A7D31F74-AB42-4AF4-B171-1A5851543155}"/>
    <dgm:cxn modelId="{DF6B1498-7D86-4192-A5A9-127ED0C7E717}" srcId="{4F35176A-7375-4455-9141-A1842CBCF7D5}" destId="{E31290A8-9EF6-44B4-BEDD-2F48CA0D878E}" srcOrd="0" destOrd="0" parTransId="{06D405D7-831C-4F35-9B23-CA52CB530F7D}" sibTransId="{DB73D025-535B-4072-A3CB-98E95F57A3E3}"/>
    <dgm:cxn modelId="{EAF2799E-BEB6-4C05-A0B5-6F9F96CC6936}" type="presOf" srcId="{882801EF-AE70-4D17-AA5A-48A58EF86CE8}" destId="{F2809D8E-1760-4C6D-99B8-F8011BCFA348}" srcOrd="0" destOrd="0" presId="urn:microsoft.com/office/officeart/2005/8/layout/hierarchy4"/>
    <dgm:cxn modelId="{2434D3A0-7727-4892-9306-73779135C978}" srcId="{4E219921-B0D4-4F1D-AE26-7FEEB3D754B0}" destId="{DF1279B7-BA79-45EE-85E7-54C1FD0DB7F0}" srcOrd="0" destOrd="0" parTransId="{8DF82029-9485-49E3-879F-96500276C221}" sibTransId="{478F9B9C-338D-457C-B094-E7CD87586DA5}"/>
    <dgm:cxn modelId="{D85DA6AC-B3A6-4685-AC83-0416BBF07F10}" type="presOf" srcId="{B33B1E2D-061F-4838-B719-4BEC5DEF14C2}" destId="{E132D8FA-6D69-42A3-B380-F16B7C57A8C4}" srcOrd="0" destOrd="0" presId="urn:microsoft.com/office/officeart/2005/8/layout/hierarchy4"/>
    <dgm:cxn modelId="{BEE8C5B3-86F9-4ABA-9BF1-B6B310C2E1E7}" srcId="{44628DB9-23B8-4C4D-815B-ED30ED5C03B7}" destId="{4F35176A-7375-4455-9141-A1842CBCF7D5}" srcOrd="0" destOrd="0" parTransId="{86EBEC38-0B67-4C38-B81D-D1003C75C744}" sibTransId="{A3DE594A-B49A-426A-AFD1-DE0B15D19979}"/>
    <dgm:cxn modelId="{60583EB9-6CD5-432F-97E2-91B713C23A51}" type="presOf" srcId="{50E20A1F-53DF-4822-8F96-14E6F69ADA2B}" destId="{18CF7BF0-DDC1-467D-A664-AEF8A1C84C56}" srcOrd="0" destOrd="0" presId="urn:microsoft.com/office/officeart/2005/8/layout/hierarchy4"/>
    <dgm:cxn modelId="{497A02BA-A3F9-4EC2-B2F3-C706FE87AF86}" srcId="{9F16BAA9-3130-489E-A686-7F5CA853DAA9}" destId="{2848111E-8CCB-4D5F-9A63-9F70A88101A6}" srcOrd="1" destOrd="0" parTransId="{0677B04C-46B7-4AA5-9883-C7C9DFBE6331}" sibTransId="{91722D83-BCC6-4953-9B4B-10C434B169A7}"/>
    <dgm:cxn modelId="{BA431BC1-A2FD-4672-A21A-C8685A04C163}" srcId="{86B1849B-B877-466D-A806-98F13612ED3C}" destId="{44628DB9-23B8-4C4D-815B-ED30ED5C03B7}" srcOrd="0" destOrd="0" parTransId="{CF132573-2CE4-4A8F-9939-E646DA368E79}" sibTransId="{9F1516E0-056A-4736-9501-1BD493A6C2E8}"/>
    <dgm:cxn modelId="{04CF69C3-5DBE-403D-B164-32326A3B6BE1}" srcId="{882801EF-AE70-4D17-AA5A-48A58EF86CE8}" destId="{BCF1A177-77F1-464F-A10C-5EDADAEEDCEA}" srcOrd="1" destOrd="0" parTransId="{2515BDC0-97EB-4FE3-BE72-642FC9EB8351}" sibTransId="{9A332DE0-DCFC-438C-A7FC-D1EED1CE10EB}"/>
    <dgm:cxn modelId="{B85513C5-C8E2-400B-BA22-51C05E2892E5}" type="presOf" srcId="{86B1849B-B877-466D-A806-98F13612ED3C}" destId="{D917A959-3180-4C22-B33E-9C225F829125}" srcOrd="0" destOrd="0" presId="urn:microsoft.com/office/officeart/2005/8/layout/hierarchy4"/>
    <dgm:cxn modelId="{A127C8CB-7193-4191-8077-9004F6627355}" type="presOf" srcId="{BCF1A177-77F1-464F-A10C-5EDADAEEDCEA}" destId="{7E37AE0C-A678-4D55-AA56-131416818982}" srcOrd="0" destOrd="0" presId="urn:microsoft.com/office/officeart/2005/8/layout/hierarchy4"/>
    <dgm:cxn modelId="{444762DC-3F22-4715-87AB-06D7105FBB12}" srcId="{E31290A8-9EF6-44B4-BEDD-2F48CA0D878E}" destId="{24C73B99-422A-44E9-BC80-304AAC0EA604}" srcOrd="0" destOrd="0" parTransId="{B7D1FB43-4912-41EF-940E-F1810F8752CD}" sibTransId="{CB3E11D6-DA21-44FD-9DDE-DFA5D7BB259B}"/>
    <dgm:cxn modelId="{625865E1-70C4-48BB-9FCE-19AA57C88D80}" srcId="{4E219921-B0D4-4F1D-AE26-7FEEB3D754B0}" destId="{882801EF-AE70-4D17-AA5A-48A58EF86CE8}" srcOrd="1" destOrd="0" parTransId="{654C7748-133B-4B58-9B8B-C8656079AC2E}" sibTransId="{AB543F7E-3CB1-4AB5-8AED-54CCC652F095}"/>
    <dgm:cxn modelId="{E88C1BE5-91E4-444A-909F-A98B821BD226}" srcId="{447728AA-BC55-470E-9570-109663FFCBB6}" destId="{E9F00584-6211-4C83-8830-5B8CC931232D}" srcOrd="0" destOrd="0" parTransId="{73EF6D3F-F2C2-449A-A83C-214722905637}" sibTransId="{2ABB340A-CBE1-4415-9A77-46A5A2EE6CCC}"/>
    <dgm:cxn modelId="{EF3B33EF-0EDF-46EA-8D56-50A105711F48}" type="presOf" srcId="{71E762FB-62EE-4A5D-A700-8046C5A719A7}" destId="{472FB27F-C5C0-4CF5-94F5-6645C6C5E598}" srcOrd="0" destOrd="0" presId="urn:microsoft.com/office/officeart/2005/8/layout/hierarchy4"/>
    <dgm:cxn modelId="{909152F1-BA6B-4841-A5A4-AE908DB6A092}" type="presOf" srcId="{447728AA-BC55-470E-9570-109663FFCBB6}" destId="{2826843C-3871-4BD9-9E6D-E7F01C237C24}" srcOrd="0" destOrd="0" presId="urn:microsoft.com/office/officeart/2005/8/layout/hierarchy4"/>
    <dgm:cxn modelId="{11E9F9F7-B7B6-45C1-8C35-C2EE573D3E0F}" srcId="{24C73B99-422A-44E9-BC80-304AAC0EA604}" destId="{D594F806-95BC-4C26-8617-0AADC22FF2D1}" srcOrd="1" destOrd="0" parTransId="{1424577E-872D-4B03-8EF9-84A3417D9BB5}" sibTransId="{82FD3D45-464D-42E1-AF90-7A701CCA826E}"/>
    <dgm:cxn modelId="{848FEA8C-B050-4987-BD9B-7C6CE5F8A962}" type="presParOf" srcId="{D917A959-3180-4C22-B33E-9C225F829125}" destId="{AEB00D05-A304-45AE-9472-1CF1BB7EE636}" srcOrd="0" destOrd="0" presId="urn:microsoft.com/office/officeart/2005/8/layout/hierarchy4"/>
    <dgm:cxn modelId="{3BA58A63-9403-4418-8497-E5427D912C67}" type="presParOf" srcId="{AEB00D05-A304-45AE-9472-1CF1BB7EE636}" destId="{5A514E9B-2478-41EA-96E8-0B812D93B238}" srcOrd="0" destOrd="0" presId="urn:microsoft.com/office/officeart/2005/8/layout/hierarchy4"/>
    <dgm:cxn modelId="{1954DE77-CEA7-4927-A122-2C555E47A1A2}" type="presParOf" srcId="{AEB00D05-A304-45AE-9472-1CF1BB7EE636}" destId="{D1354E20-831D-4F6E-A7E4-E0C1BE4420A8}" srcOrd="1" destOrd="0" presId="urn:microsoft.com/office/officeart/2005/8/layout/hierarchy4"/>
    <dgm:cxn modelId="{A3EF0A7A-2AF1-4DF7-86C0-EDA09291F367}" type="presParOf" srcId="{AEB00D05-A304-45AE-9472-1CF1BB7EE636}" destId="{2B4270F6-8A34-4988-A316-933F801B72A4}" srcOrd="2" destOrd="0" presId="urn:microsoft.com/office/officeart/2005/8/layout/hierarchy4"/>
    <dgm:cxn modelId="{8764091F-7954-4746-86DE-CB8342902D71}" type="presParOf" srcId="{2B4270F6-8A34-4988-A316-933F801B72A4}" destId="{4F677C53-CF25-4307-918F-012468DECA34}" srcOrd="0" destOrd="0" presId="urn:microsoft.com/office/officeart/2005/8/layout/hierarchy4"/>
    <dgm:cxn modelId="{7D7504B1-7123-4BA0-897D-498500D9235C}" type="presParOf" srcId="{4F677C53-CF25-4307-918F-012468DECA34}" destId="{67ADAEDD-EA43-4A92-A582-EF9C6BBB92D7}" srcOrd="0" destOrd="0" presId="urn:microsoft.com/office/officeart/2005/8/layout/hierarchy4"/>
    <dgm:cxn modelId="{0ED609C4-D1B8-48E0-81B9-4E24839D386C}" type="presParOf" srcId="{4F677C53-CF25-4307-918F-012468DECA34}" destId="{C7A3DBFB-6BE8-40B5-8CDC-5A1B85C6C5F5}" srcOrd="1" destOrd="0" presId="urn:microsoft.com/office/officeart/2005/8/layout/hierarchy4"/>
    <dgm:cxn modelId="{1DE44874-E3AB-4868-BFC2-E47E21365BA1}" type="presParOf" srcId="{4F677C53-CF25-4307-918F-012468DECA34}" destId="{9BA23F4D-1EE8-4CF1-A441-BA8B88B8DF28}" srcOrd="2" destOrd="0" presId="urn:microsoft.com/office/officeart/2005/8/layout/hierarchy4"/>
    <dgm:cxn modelId="{7D05F387-1896-4F78-9E43-B63B4C92437B}" type="presParOf" srcId="{9BA23F4D-1EE8-4CF1-A441-BA8B88B8DF28}" destId="{A2399284-9949-4D25-8132-C10A718D0745}" srcOrd="0" destOrd="0" presId="urn:microsoft.com/office/officeart/2005/8/layout/hierarchy4"/>
    <dgm:cxn modelId="{D6A6A08F-A8C8-4BFF-A094-815BFAFD1604}" type="presParOf" srcId="{A2399284-9949-4D25-8132-C10A718D0745}" destId="{14CDF810-D567-42F4-AAC4-4F336CD744E2}" srcOrd="0" destOrd="0" presId="urn:microsoft.com/office/officeart/2005/8/layout/hierarchy4"/>
    <dgm:cxn modelId="{C2DD8829-CA58-4305-9415-E02AA65E99F5}" type="presParOf" srcId="{A2399284-9949-4D25-8132-C10A718D0745}" destId="{5D4B204F-7F95-4EB4-B77A-67BB58CB0292}" srcOrd="1" destOrd="0" presId="urn:microsoft.com/office/officeart/2005/8/layout/hierarchy4"/>
    <dgm:cxn modelId="{033E4BC4-81C7-4376-8D0A-0608A4E016C1}" type="presParOf" srcId="{A2399284-9949-4D25-8132-C10A718D0745}" destId="{F04294D0-5345-443F-B1DA-BD3C3A307230}" srcOrd="2" destOrd="0" presId="urn:microsoft.com/office/officeart/2005/8/layout/hierarchy4"/>
    <dgm:cxn modelId="{EE204B8F-1645-406F-8502-60E554A48CF2}" type="presParOf" srcId="{F04294D0-5345-443F-B1DA-BD3C3A307230}" destId="{2FEE24CC-A2FA-4401-BFFE-640103A3760A}" srcOrd="0" destOrd="0" presId="urn:microsoft.com/office/officeart/2005/8/layout/hierarchy4"/>
    <dgm:cxn modelId="{73C9132E-E638-4601-9A2D-6A786E8B5530}" type="presParOf" srcId="{2FEE24CC-A2FA-4401-BFFE-640103A3760A}" destId="{0BADA3F3-3EEA-4EAE-99EF-B8AC32C67904}" srcOrd="0" destOrd="0" presId="urn:microsoft.com/office/officeart/2005/8/layout/hierarchy4"/>
    <dgm:cxn modelId="{4CBA0C83-98AC-40C5-B2A0-29FCF94AA1FE}" type="presParOf" srcId="{2FEE24CC-A2FA-4401-BFFE-640103A3760A}" destId="{59DCE518-D0DB-48AF-9636-2F6BAA712EC9}" srcOrd="1" destOrd="0" presId="urn:microsoft.com/office/officeart/2005/8/layout/hierarchy4"/>
    <dgm:cxn modelId="{3642E3E7-EDCE-471A-B208-2F709F053B6D}" type="presParOf" srcId="{2FEE24CC-A2FA-4401-BFFE-640103A3760A}" destId="{7EBC825F-7EC0-4F1C-89C1-26D510FF33F9}" srcOrd="2" destOrd="0" presId="urn:microsoft.com/office/officeart/2005/8/layout/hierarchy4"/>
    <dgm:cxn modelId="{9A09BCA3-8606-4D8F-BD9E-A6B5D983EE10}" type="presParOf" srcId="{7EBC825F-7EC0-4F1C-89C1-26D510FF33F9}" destId="{7B419728-1A0E-4358-BFA0-B1E90088BAD0}" srcOrd="0" destOrd="0" presId="urn:microsoft.com/office/officeart/2005/8/layout/hierarchy4"/>
    <dgm:cxn modelId="{FC9CECE5-0EAA-418F-B780-81A682A470DA}" type="presParOf" srcId="{7B419728-1A0E-4358-BFA0-B1E90088BAD0}" destId="{6F786B55-9647-41A7-815D-5DD0FAB69113}" srcOrd="0" destOrd="0" presId="urn:microsoft.com/office/officeart/2005/8/layout/hierarchy4"/>
    <dgm:cxn modelId="{93ACE171-3ADA-4AE4-A956-EA392461AB3F}" type="presParOf" srcId="{7B419728-1A0E-4358-BFA0-B1E90088BAD0}" destId="{0CC1E673-DA46-4503-A53F-52365EF175FF}" srcOrd="1" destOrd="0" presId="urn:microsoft.com/office/officeart/2005/8/layout/hierarchy4"/>
    <dgm:cxn modelId="{2B47605D-B73F-4954-BD5A-473477DC9F7F}" type="presParOf" srcId="{7B419728-1A0E-4358-BFA0-B1E90088BAD0}" destId="{B32743E5-A9BB-44B2-961A-A48CB04429C0}" srcOrd="2" destOrd="0" presId="urn:microsoft.com/office/officeart/2005/8/layout/hierarchy4"/>
    <dgm:cxn modelId="{9CF784B9-EE74-4646-B819-1B56E310BBE8}" type="presParOf" srcId="{B32743E5-A9BB-44B2-961A-A48CB04429C0}" destId="{A8AA063E-E1C8-46B0-9FB3-8B338D2DA283}" srcOrd="0" destOrd="0" presId="urn:microsoft.com/office/officeart/2005/8/layout/hierarchy4"/>
    <dgm:cxn modelId="{1DB0127C-9F94-44A3-B6CA-412C32076402}" type="presParOf" srcId="{A8AA063E-E1C8-46B0-9FB3-8B338D2DA283}" destId="{86D9AD88-5394-4E8D-9F7E-D4E24DA2D003}" srcOrd="0" destOrd="0" presId="urn:microsoft.com/office/officeart/2005/8/layout/hierarchy4"/>
    <dgm:cxn modelId="{42430BEF-0D5A-4EDA-9E84-3BB8C0AEFCAC}" type="presParOf" srcId="{A8AA063E-E1C8-46B0-9FB3-8B338D2DA283}" destId="{42EF2C45-8852-4F41-BCF7-ACF75A83B99E}" srcOrd="1" destOrd="0" presId="urn:microsoft.com/office/officeart/2005/8/layout/hierarchy4"/>
    <dgm:cxn modelId="{24BA341C-2E14-419A-A325-7859795095BE}" type="presParOf" srcId="{7EBC825F-7EC0-4F1C-89C1-26D510FF33F9}" destId="{5654BDBD-0CF0-49A0-9307-4A81D308405B}" srcOrd="1" destOrd="0" presId="urn:microsoft.com/office/officeart/2005/8/layout/hierarchy4"/>
    <dgm:cxn modelId="{018DDF4C-CA07-4999-9D5A-E1A74B77C6CE}" type="presParOf" srcId="{7EBC825F-7EC0-4F1C-89C1-26D510FF33F9}" destId="{E7AB9492-AFF0-46B7-A0A9-2299C5A6C106}" srcOrd="2" destOrd="0" presId="urn:microsoft.com/office/officeart/2005/8/layout/hierarchy4"/>
    <dgm:cxn modelId="{7B1081F5-DB22-46CE-B4A8-567E27D5B148}" type="presParOf" srcId="{E7AB9492-AFF0-46B7-A0A9-2299C5A6C106}" destId="{01E0467D-AA7E-4FDC-9041-EB94C35C8CA9}" srcOrd="0" destOrd="0" presId="urn:microsoft.com/office/officeart/2005/8/layout/hierarchy4"/>
    <dgm:cxn modelId="{F4F42EFB-CA2E-48A2-AFFC-32CE72ABDB8D}" type="presParOf" srcId="{E7AB9492-AFF0-46B7-A0A9-2299C5A6C106}" destId="{D22DAF66-218A-4268-9390-015156D36078}" srcOrd="1" destOrd="0" presId="urn:microsoft.com/office/officeart/2005/8/layout/hierarchy4"/>
    <dgm:cxn modelId="{B352CFF3-43E5-4E2F-AE84-5E2FE2431BA8}" type="presParOf" srcId="{E7AB9492-AFF0-46B7-A0A9-2299C5A6C106}" destId="{88FCC37B-C4B9-481B-9EBC-9AE161C3A8A8}" srcOrd="2" destOrd="0" presId="urn:microsoft.com/office/officeart/2005/8/layout/hierarchy4"/>
    <dgm:cxn modelId="{8899BDB8-8F85-477F-99DD-E02ECF9422A0}" type="presParOf" srcId="{88FCC37B-C4B9-481B-9EBC-9AE161C3A8A8}" destId="{D3E94BE8-92A0-4286-809B-63483F671128}" srcOrd="0" destOrd="0" presId="urn:microsoft.com/office/officeart/2005/8/layout/hierarchy4"/>
    <dgm:cxn modelId="{5F2D11F9-BAD5-4113-A9B8-C0DEC195FEB0}" type="presParOf" srcId="{D3E94BE8-92A0-4286-809B-63483F671128}" destId="{88218D0A-770C-44A1-8BB7-DFD31E400AB2}" srcOrd="0" destOrd="0" presId="urn:microsoft.com/office/officeart/2005/8/layout/hierarchy4"/>
    <dgm:cxn modelId="{DC1FAAA4-8752-40D4-8FB2-183484E163F7}" type="presParOf" srcId="{D3E94BE8-92A0-4286-809B-63483F671128}" destId="{5098F0B5-2999-4298-900F-1C3B731EF248}" srcOrd="1" destOrd="0" presId="urn:microsoft.com/office/officeart/2005/8/layout/hierarchy4"/>
    <dgm:cxn modelId="{EBF9418A-9009-4C67-B68E-2C42EE84FB8A}" type="presParOf" srcId="{88FCC37B-C4B9-481B-9EBC-9AE161C3A8A8}" destId="{05ACDBC4-A8ED-46E8-9DC3-9AF498640214}" srcOrd="1" destOrd="0" presId="urn:microsoft.com/office/officeart/2005/8/layout/hierarchy4"/>
    <dgm:cxn modelId="{0C1914A6-4E28-42A9-A020-E3E7299FEF74}" type="presParOf" srcId="{88FCC37B-C4B9-481B-9EBC-9AE161C3A8A8}" destId="{715BBC6C-27CB-41F3-AE36-BA838E8F9103}" srcOrd="2" destOrd="0" presId="urn:microsoft.com/office/officeart/2005/8/layout/hierarchy4"/>
    <dgm:cxn modelId="{1DF26787-3E9D-4F5E-B186-0CE1A2C93CF4}" type="presParOf" srcId="{715BBC6C-27CB-41F3-AE36-BA838E8F9103}" destId="{37D4AFE5-7BDA-4F77-A2CC-C2003D7AAB0B}" srcOrd="0" destOrd="0" presId="urn:microsoft.com/office/officeart/2005/8/layout/hierarchy4"/>
    <dgm:cxn modelId="{2EB33F22-6BF0-4C2B-8902-BEF8A3F704B3}" type="presParOf" srcId="{715BBC6C-27CB-41F3-AE36-BA838E8F9103}" destId="{F6C09917-E17D-40C2-9494-7A7EB6E66671}" srcOrd="1" destOrd="0" presId="urn:microsoft.com/office/officeart/2005/8/layout/hierarchy4"/>
    <dgm:cxn modelId="{41DD515E-FABE-43F3-993B-BCC1A5D89D3D}" type="presParOf" srcId="{F04294D0-5345-443F-B1DA-BD3C3A307230}" destId="{C6155320-3B94-44CE-B931-C15CB5843270}" srcOrd="1" destOrd="0" presId="urn:microsoft.com/office/officeart/2005/8/layout/hierarchy4"/>
    <dgm:cxn modelId="{98FC2246-0266-4A70-95D3-56F40224DD43}" type="presParOf" srcId="{F04294D0-5345-443F-B1DA-BD3C3A307230}" destId="{18145BB8-BE8A-4034-8852-0841A0E59AED}" srcOrd="2" destOrd="0" presId="urn:microsoft.com/office/officeart/2005/8/layout/hierarchy4"/>
    <dgm:cxn modelId="{5CFE9F32-52DF-4FF6-A1C1-3E9D1688F1CE}" type="presParOf" srcId="{18145BB8-BE8A-4034-8852-0841A0E59AED}" destId="{D866815D-5F92-42F6-98A6-BB894939ED38}" srcOrd="0" destOrd="0" presId="urn:microsoft.com/office/officeart/2005/8/layout/hierarchy4"/>
    <dgm:cxn modelId="{4AEE5CA5-1129-4C7C-A92F-43E889D44CC6}" type="presParOf" srcId="{18145BB8-BE8A-4034-8852-0841A0E59AED}" destId="{A4ED848A-58F0-4DA1-93D6-66488D41E52B}" srcOrd="1" destOrd="0" presId="urn:microsoft.com/office/officeart/2005/8/layout/hierarchy4"/>
    <dgm:cxn modelId="{C4D8FD49-3041-4E15-8DE9-168C5F1063C5}" type="presParOf" srcId="{18145BB8-BE8A-4034-8852-0841A0E59AED}" destId="{E70B7542-3A5D-4424-8FA5-D50DBC271659}" srcOrd="2" destOrd="0" presId="urn:microsoft.com/office/officeart/2005/8/layout/hierarchy4"/>
    <dgm:cxn modelId="{F98EA188-05E9-4EB7-9549-DF204D2B2001}" type="presParOf" srcId="{E70B7542-3A5D-4424-8FA5-D50DBC271659}" destId="{2E2AB85E-86F6-4734-ADEA-A2C03071F8FC}" srcOrd="0" destOrd="0" presId="urn:microsoft.com/office/officeart/2005/8/layout/hierarchy4"/>
    <dgm:cxn modelId="{B11CD331-B653-4466-B578-5FF3DAC714BC}" type="presParOf" srcId="{2E2AB85E-86F6-4734-ADEA-A2C03071F8FC}" destId="{C982B33A-5593-43FC-A54F-CFC3B2923D99}" srcOrd="0" destOrd="0" presId="urn:microsoft.com/office/officeart/2005/8/layout/hierarchy4"/>
    <dgm:cxn modelId="{68E328AB-11A7-4A88-887B-357A3A85BFC2}" type="presParOf" srcId="{2E2AB85E-86F6-4734-ADEA-A2C03071F8FC}" destId="{F5097F2E-B173-4966-99AC-0312C08AD576}" srcOrd="1" destOrd="0" presId="urn:microsoft.com/office/officeart/2005/8/layout/hierarchy4"/>
    <dgm:cxn modelId="{05344958-ED23-4A6F-804F-F1B9AE3D4CDE}" type="presParOf" srcId="{2E2AB85E-86F6-4734-ADEA-A2C03071F8FC}" destId="{26C9BDA0-B809-4984-A97D-850AC865923C}" srcOrd="2" destOrd="0" presId="urn:microsoft.com/office/officeart/2005/8/layout/hierarchy4"/>
    <dgm:cxn modelId="{AF0BEF00-C631-427D-9BF2-B7F2BF36D6AA}" type="presParOf" srcId="{26C9BDA0-B809-4984-A97D-850AC865923C}" destId="{9A7DBD60-4FFD-40EB-B301-2446C7BCDF23}" srcOrd="0" destOrd="0" presId="urn:microsoft.com/office/officeart/2005/8/layout/hierarchy4"/>
    <dgm:cxn modelId="{97302F0D-CE61-41D8-8E77-694C48A965DF}" type="presParOf" srcId="{9A7DBD60-4FFD-40EB-B301-2446C7BCDF23}" destId="{955CDDE3-EC09-491B-B65F-03175C3F783D}" srcOrd="0" destOrd="0" presId="urn:microsoft.com/office/officeart/2005/8/layout/hierarchy4"/>
    <dgm:cxn modelId="{67264F0E-6CA0-4CB4-9DB7-AB288B7E591A}" type="presParOf" srcId="{9A7DBD60-4FFD-40EB-B301-2446C7BCDF23}" destId="{A8B55A87-2CF7-4D86-B110-C2160C7BF1AC}" srcOrd="1" destOrd="0" presId="urn:microsoft.com/office/officeart/2005/8/layout/hierarchy4"/>
    <dgm:cxn modelId="{5F9686FA-911E-4304-9B60-4FABEA27A38F}" type="presParOf" srcId="{E70B7542-3A5D-4424-8FA5-D50DBC271659}" destId="{D3EA426E-65BE-4AA7-A291-88C89005A39C}" srcOrd="1" destOrd="0" presId="urn:microsoft.com/office/officeart/2005/8/layout/hierarchy4"/>
    <dgm:cxn modelId="{FB507660-520F-45EB-9EF3-7AAB023A59EA}" type="presParOf" srcId="{E70B7542-3A5D-4424-8FA5-D50DBC271659}" destId="{E6F7C7BB-4ED5-445F-B128-035CD843CC17}" srcOrd="2" destOrd="0" presId="urn:microsoft.com/office/officeart/2005/8/layout/hierarchy4"/>
    <dgm:cxn modelId="{F3C3F92D-EB34-443C-997E-4BE62C11EA29}" type="presParOf" srcId="{E6F7C7BB-4ED5-445F-B128-035CD843CC17}" destId="{F2809D8E-1760-4C6D-99B8-F8011BCFA348}" srcOrd="0" destOrd="0" presId="urn:microsoft.com/office/officeart/2005/8/layout/hierarchy4"/>
    <dgm:cxn modelId="{763E2D4D-2F8B-4AA1-9226-BE1136AE8357}" type="presParOf" srcId="{E6F7C7BB-4ED5-445F-B128-035CD843CC17}" destId="{FB6F3862-56C4-429F-B86E-88361959C2D0}" srcOrd="1" destOrd="0" presId="urn:microsoft.com/office/officeart/2005/8/layout/hierarchy4"/>
    <dgm:cxn modelId="{F51456DB-C1BA-4F3D-A773-6E42B49DF66F}" type="presParOf" srcId="{E6F7C7BB-4ED5-445F-B128-035CD843CC17}" destId="{754F7124-F194-4B58-B0B5-2ACFE2C19464}" srcOrd="2" destOrd="0" presId="urn:microsoft.com/office/officeart/2005/8/layout/hierarchy4"/>
    <dgm:cxn modelId="{5A3A3436-8693-4703-B727-A4A1FD3AF165}" type="presParOf" srcId="{754F7124-F194-4B58-B0B5-2ACFE2C19464}" destId="{785914D1-55C7-4A08-9157-92CB31127948}" srcOrd="0" destOrd="0" presId="urn:microsoft.com/office/officeart/2005/8/layout/hierarchy4"/>
    <dgm:cxn modelId="{24DCFD3B-45AA-4E43-A507-D5F233980A69}" type="presParOf" srcId="{785914D1-55C7-4A08-9157-92CB31127948}" destId="{3FC530B8-3306-46FF-9A32-54F1B6926098}" srcOrd="0" destOrd="0" presId="urn:microsoft.com/office/officeart/2005/8/layout/hierarchy4"/>
    <dgm:cxn modelId="{D20834C3-9365-43D5-9A7E-25FA3B2DE56C}" type="presParOf" srcId="{785914D1-55C7-4A08-9157-92CB31127948}" destId="{AEC6204A-E563-4ADF-921F-6468C398306B}" srcOrd="1" destOrd="0" presId="urn:microsoft.com/office/officeart/2005/8/layout/hierarchy4"/>
    <dgm:cxn modelId="{3A55F0F8-93BE-49A2-A9A9-7D06EF02B4DD}" type="presParOf" srcId="{754F7124-F194-4B58-B0B5-2ACFE2C19464}" destId="{7766D71B-A18D-42E1-B6A4-6753B6A5682A}" srcOrd="1" destOrd="0" presId="urn:microsoft.com/office/officeart/2005/8/layout/hierarchy4"/>
    <dgm:cxn modelId="{1EB434A0-7AAD-41CA-8C87-8F2232B29683}" type="presParOf" srcId="{754F7124-F194-4B58-B0B5-2ACFE2C19464}" destId="{9D5370BB-2A00-4438-B847-0E2EAC7EC48E}" srcOrd="2" destOrd="0" presId="urn:microsoft.com/office/officeart/2005/8/layout/hierarchy4"/>
    <dgm:cxn modelId="{69C9912E-F738-4581-B5C7-56E55CB89E7E}" type="presParOf" srcId="{9D5370BB-2A00-4438-B847-0E2EAC7EC48E}" destId="{7E37AE0C-A678-4D55-AA56-131416818982}" srcOrd="0" destOrd="0" presId="urn:microsoft.com/office/officeart/2005/8/layout/hierarchy4"/>
    <dgm:cxn modelId="{27BDCCB3-6F71-406E-BDDC-94BBB14013E8}" type="presParOf" srcId="{9D5370BB-2A00-4438-B847-0E2EAC7EC48E}" destId="{31B836FD-96A8-4694-A68A-17A5FD28AD77}" srcOrd="1" destOrd="0" presId="urn:microsoft.com/office/officeart/2005/8/layout/hierarchy4"/>
    <dgm:cxn modelId="{196705B9-9FD4-4DD3-ACB6-2AEB0CFD7869}" type="presParOf" srcId="{9BA23F4D-1EE8-4CF1-A441-BA8B88B8DF28}" destId="{5B5F6F50-B80D-4618-8C0F-3EAD0117CA54}" srcOrd="1" destOrd="0" presId="urn:microsoft.com/office/officeart/2005/8/layout/hierarchy4"/>
    <dgm:cxn modelId="{484B6192-04DE-413F-AA1C-A5697DBAD2B9}" type="presParOf" srcId="{9BA23F4D-1EE8-4CF1-A441-BA8B88B8DF28}" destId="{0C3C8E5D-8066-40B1-86CE-2C5A2DC983B0}" srcOrd="2" destOrd="0" presId="urn:microsoft.com/office/officeart/2005/8/layout/hierarchy4"/>
    <dgm:cxn modelId="{D653F0A8-D343-4373-AB43-94C812DF353A}" type="presParOf" srcId="{0C3C8E5D-8066-40B1-86CE-2C5A2DC983B0}" destId="{E132D8FA-6D69-42A3-B380-F16B7C57A8C4}" srcOrd="0" destOrd="0" presId="urn:microsoft.com/office/officeart/2005/8/layout/hierarchy4"/>
    <dgm:cxn modelId="{C1260C1A-6CDA-40CC-ACDD-205DD1FEB0DC}" type="presParOf" srcId="{0C3C8E5D-8066-40B1-86CE-2C5A2DC983B0}" destId="{DB6C9ED4-4D2D-451A-A921-9911E72EA27B}" srcOrd="1" destOrd="0" presId="urn:microsoft.com/office/officeart/2005/8/layout/hierarchy4"/>
    <dgm:cxn modelId="{219E1B2D-A974-4C4C-A562-F73073BF46B6}" type="presParOf" srcId="{0C3C8E5D-8066-40B1-86CE-2C5A2DC983B0}" destId="{0CD90C35-B443-486E-9222-566830AB4182}" srcOrd="2" destOrd="0" presId="urn:microsoft.com/office/officeart/2005/8/layout/hierarchy4"/>
    <dgm:cxn modelId="{38AA4595-3F16-482D-982A-261FF7B4D79A}" type="presParOf" srcId="{0CD90C35-B443-486E-9222-566830AB4182}" destId="{7BD1EA93-E02B-4ED0-91AA-95A994885F3E}" srcOrd="0" destOrd="0" presId="urn:microsoft.com/office/officeart/2005/8/layout/hierarchy4"/>
    <dgm:cxn modelId="{561C2AD9-BB89-4828-9E02-7E08BC0AB458}" type="presParOf" srcId="{7BD1EA93-E02B-4ED0-91AA-95A994885F3E}" destId="{472FB27F-C5C0-4CF5-94F5-6645C6C5E598}" srcOrd="0" destOrd="0" presId="urn:microsoft.com/office/officeart/2005/8/layout/hierarchy4"/>
    <dgm:cxn modelId="{4020504E-8A68-4DF8-A0B5-18C890414EBD}" type="presParOf" srcId="{7BD1EA93-E02B-4ED0-91AA-95A994885F3E}" destId="{57A4ADDA-4B65-4DED-A851-61FC1EAE3AB7}" srcOrd="1" destOrd="0" presId="urn:microsoft.com/office/officeart/2005/8/layout/hierarchy4"/>
    <dgm:cxn modelId="{D036D292-73A2-4E69-B7D6-BE62618D0607}" type="presParOf" srcId="{7BD1EA93-E02B-4ED0-91AA-95A994885F3E}" destId="{5647EFF8-3745-4B3F-AC88-4FDC7D11E5F9}" srcOrd="2" destOrd="0" presId="urn:microsoft.com/office/officeart/2005/8/layout/hierarchy4"/>
    <dgm:cxn modelId="{E2B9351C-1BD9-4062-B8D2-E0256AD1197E}" type="presParOf" srcId="{5647EFF8-3745-4B3F-AC88-4FDC7D11E5F9}" destId="{DD1D0833-24C6-4259-8748-13FAE9CCD0A1}" srcOrd="0" destOrd="0" presId="urn:microsoft.com/office/officeart/2005/8/layout/hierarchy4"/>
    <dgm:cxn modelId="{D0304EEB-001C-4D90-8EE8-864A74351C50}" type="presParOf" srcId="{DD1D0833-24C6-4259-8748-13FAE9CCD0A1}" destId="{1297F07F-0E12-4033-919A-529421A89DA5}" srcOrd="0" destOrd="0" presId="urn:microsoft.com/office/officeart/2005/8/layout/hierarchy4"/>
    <dgm:cxn modelId="{0E871DFB-AFD2-418B-82E0-D8F5AA39B355}" type="presParOf" srcId="{DD1D0833-24C6-4259-8748-13FAE9CCD0A1}" destId="{DC602477-C1EA-464B-B18F-80A59E2FDC90}" srcOrd="1" destOrd="0" presId="urn:microsoft.com/office/officeart/2005/8/layout/hierarchy4"/>
    <dgm:cxn modelId="{B91430F3-DBF7-4242-A310-C05A1BEDFFC5}" type="presParOf" srcId="{DD1D0833-24C6-4259-8748-13FAE9CCD0A1}" destId="{3E4B73F1-A540-4F07-9BBF-F67279AC9C83}" srcOrd="2" destOrd="0" presId="urn:microsoft.com/office/officeart/2005/8/layout/hierarchy4"/>
    <dgm:cxn modelId="{EBF0DA56-2E04-4818-9DD7-E9C2E48831F9}" type="presParOf" srcId="{3E4B73F1-A540-4F07-9BBF-F67279AC9C83}" destId="{069B0FEE-0809-48A3-91EB-5A54DD7D380C}" srcOrd="0" destOrd="0" presId="urn:microsoft.com/office/officeart/2005/8/layout/hierarchy4"/>
    <dgm:cxn modelId="{F2A92C8D-BECA-41B1-81AF-3F7EF7AD9A04}" type="presParOf" srcId="{069B0FEE-0809-48A3-91EB-5A54DD7D380C}" destId="{B9A1E995-AD45-4169-981D-36814634A3B0}" srcOrd="0" destOrd="0" presId="urn:microsoft.com/office/officeart/2005/8/layout/hierarchy4"/>
    <dgm:cxn modelId="{61951901-02A3-4757-A414-FCBE6AB0B25C}" type="presParOf" srcId="{069B0FEE-0809-48A3-91EB-5A54DD7D380C}" destId="{37F0B16B-D691-4400-8409-63C1CE1DADB2}" srcOrd="1" destOrd="0" presId="urn:microsoft.com/office/officeart/2005/8/layout/hierarchy4"/>
    <dgm:cxn modelId="{4E10B6E1-1613-47D1-BC9A-AD5435EA8C84}" type="presParOf" srcId="{5647EFF8-3745-4B3F-AC88-4FDC7D11E5F9}" destId="{63136FD3-652E-4C53-AF87-BF1D254ED4AF}" srcOrd="1" destOrd="0" presId="urn:microsoft.com/office/officeart/2005/8/layout/hierarchy4"/>
    <dgm:cxn modelId="{6CB71460-062A-441B-9B55-71E49140D1E1}" type="presParOf" srcId="{5647EFF8-3745-4B3F-AC88-4FDC7D11E5F9}" destId="{A559B335-1154-4297-AD25-A549926DCCEA}" srcOrd="2" destOrd="0" presId="urn:microsoft.com/office/officeart/2005/8/layout/hierarchy4"/>
    <dgm:cxn modelId="{2DFBD8A3-3253-4B7C-9059-48964DA65106}" type="presParOf" srcId="{A559B335-1154-4297-AD25-A549926DCCEA}" destId="{9808D4D1-C2A3-4842-BDF6-B1EB6BF775C3}" srcOrd="0" destOrd="0" presId="urn:microsoft.com/office/officeart/2005/8/layout/hierarchy4"/>
    <dgm:cxn modelId="{9CDF686B-DE13-4723-BEAE-7D50AAC686A8}" type="presParOf" srcId="{A559B335-1154-4297-AD25-A549926DCCEA}" destId="{12FE5332-201D-4330-83D2-7387ADD95E99}" srcOrd="1" destOrd="0" presId="urn:microsoft.com/office/officeart/2005/8/layout/hierarchy4"/>
    <dgm:cxn modelId="{EBC31F65-57C6-4CD9-AAE7-94943EE8B2DA}" type="presParOf" srcId="{A559B335-1154-4297-AD25-A549926DCCEA}" destId="{DF01FE0F-FFA2-4178-8D2B-079555C0D79C}" srcOrd="2" destOrd="0" presId="urn:microsoft.com/office/officeart/2005/8/layout/hierarchy4"/>
    <dgm:cxn modelId="{A466388E-3C55-484F-A25A-83F1089780DF}" type="presParOf" srcId="{DF01FE0F-FFA2-4178-8D2B-079555C0D79C}" destId="{C2652956-DEB7-447B-8A78-5254A0CDA033}" srcOrd="0" destOrd="0" presId="urn:microsoft.com/office/officeart/2005/8/layout/hierarchy4"/>
    <dgm:cxn modelId="{9B8374CC-B94A-40F0-AE90-A4898BA0E189}" type="presParOf" srcId="{C2652956-DEB7-447B-8A78-5254A0CDA033}" destId="{933F0E81-EA34-4B35-B315-801276BB53C8}" srcOrd="0" destOrd="0" presId="urn:microsoft.com/office/officeart/2005/8/layout/hierarchy4"/>
    <dgm:cxn modelId="{84E847CE-79D8-4C42-8185-C86063CD420C}" type="presParOf" srcId="{C2652956-DEB7-447B-8A78-5254A0CDA033}" destId="{FBBB28C0-3D25-4D5C-970A-2BB76B74B9D1}" srcOrd="1" destOrd="0" presId="urn:microsoft.com/office/officeart/2005/8/layout/hierarchy4"/>
    <dgm:cxn modelId="{709B350F-3A6A-4C5B-B842-2F64FF67B03F}" type="presParOf" srcId="{DF01FE0F-FFA2-4178-8D2B-079555C0D79C}" destId="{68407786-1272-4B19-A685-505F548281B5}" srcOrd="1" destOrd="0" presId="urn:microsoft.com/office/officeart/2005/8/layout/hierarchy4"/>
    <dgm:cxn modelId="{78064F7D-534A-4DEB-95C2-51E03DF0900A}" type="presParOf" srcId="{DF01FE0F-FFA2-4178-8D2B-079555C0D79C}" destId="{C44257AF-653B-46F7-9859-F94F2F087AFA}" srcOrd="2" destOrd="0" presId="urn:microsoft.com/office/officeart/2005/8/layout/hierarchy4"/>
    <dgm:cxn modelId="{6BAC699C-9959-49E5-9E8B-1EE0955C3D54}" type="presParOf" srcId="{C44257AF-653B-46F7-9859-F94F2F087AFA}" destId="{18CF7BF0-DDC1-467D-A664-AEF8A1C84C56}" srcOrd="0" destOrd="0" presId="urn:microsoft.com/office/officeart/2005/8/layout/hierarchy4"/>
    <dgm:cxn modelId="{0F55F5EC-9AA3-4081-B3E6-FBE28F87A4AD}" type="presParOf" srcId="{C44257AF-653B-46F7-9859-F94F2F087AFA}" destId="{56D8B1B7-1A68-479F-B213-56F8F6BA5C35}" srcOrd="1" destOrd="0" presId="urn:microsoft.com/office/officeart/2005/8/layout/hierarchy4"/>
    <dgm:cxn modelId="{61AF1D22-05D3-450A-A413-508A864586D3}" type="presParOf" srcId="{0CD90C35-B443-486E-9222-566830AB4182}" destId="{911ABE88-C389-48DC-80C4-4404BFB131EC}" srcOrd="1" destOrd="0" presId="urn:microsoft.com/office/officeart/2005/8/layout/hierarchy4"/>
    <dgm:cxn modelId="{0A46B267-8B73-4970-BAB9-135E3FC29E29}" type="presParOf" srcId="{0CD90C35-B443-486E-9222-566830AB4182}" destId="{9D7EE3C9-BEF7-4637-9473-69F5493664B9}" srcOrd="2" destOrd="0" presId="urn:microsoft.com/office/officeart/2005/8/layout/hierarchy4"/>
    <dgm:cxn modelId="{7C5A2B59-4AB1-4587-BF93-5F47CAA259A1}" type="presParOf" srcId="{9D7EE3C9-BEF7-4637-9473-69F5493664B9}" destId="{7CE4C90D-050F-4D40-B75D-C5F19E002553}" srcOrd="0" destOrd="0" presId="urn:microsoft.com/office/officeart/2005/8/layout/hierarchy4"/>
    <dgm:cxn modelId="{9CD168CE-0000-4FC0-8AC7-4D66D55CD166}" type="presParOf" srcId="{9D7EE3C9-BEF7-4637-9473-69F5493664B9}" destId="{0DF00482-09C9-4255-99ED-8459662C3CE6}" srcOrd="1" destOrd="0" presId="urn:microsoft.com/office/officeart/2005/8/layout/hierarchy4"/>
    <dgm:cxn modelId="{DCDB1E8D-A3BE-4E47-A0FD-2E7A98346046}" type="presParOf" srcId="{9D7EE3C9-BEF7-4637-9473-69F5493664B9}" destId="{A9048931-CAD5-4805-8F90-9D1940F1F877}" srcOrd="2" destOrd="0" presId="urn:microsoft.com/office/officeart/2005/8/layout/hierarchy4"/>
    <dgm:cxn modelId="{3EC6A01F-FAF1-428A-94E3-3E44D63518C8}" type="presParOf" srcId="{A9048931-CAD5-4805-8F90-9D1940F1F877}" destId="{8B4D96A4-BEBE-4ECE-9EA1-0C772386EA1D}" srcOrd="0" destOrd="0" presId="urn:microsoft.com/office/officeart/2005/8/layout/hierarchy4"/>
    <dgm:cxn modelId="{18E177A6-6FC4-4956-8F72-7D7CF9F322B5}" type="presParOf" srcId="{8B4D96A4-BEBE-4ECE-9EA1-0C772386EA1D}" destId="{2826843C-3871-4BD9-9E6D-E7F01C237C24}" srcOrd="0" destOrd="0" presId="urn:microsoft.com/office/officeart/2005/8/layout/hierarchy4"/>
    <dgm:cxn modelId="{92944208-1672-4DFB-ADBA-2AE820013AF5}" type="presParOf" srcId="{8B4D96A4-BEBE-4ECE-9EA1-0C772386EA1D}" destId="{DC8924CD-2487-42E6-ACD5-6D77269C2848}" srcOrd="1" destOrd="0" presId="urn:microsoft.com/office/officeart/2005/8/layout/hierarchy4"/>
    <dgm:cxn modelId="{3046F5E9-64CD-45D1-B55D-6D5C663BC6D5}" type="presParOf" srcId="{8B4D96A4-BEBE-4ECE-9EA1-0C772386EA1D}" destId="{2F9E7D98-CD1E-4C4B-AA3A-91F86763EFCD}" srcOrd="2" destOrd="0" presId="urn:microsoft.com/office/officeart/2005/8/layout/hierarchy4"/>
    <dgm:cxn modelId="{3F8CE3AE-5015-448E-B0E9-E609A58FB7D0}" type="presParOf" srcId="{2F9E7D98-CD1E-4C4B-AA3A-91F86763EFCD}" destId="{BE16067D-32F8-4063-9F25-F4C434EC18B3}" srcOrd="0" destOrd="0" presId="urn:microsoft.com/office/officeart/2005/8/layout/hierarchy4"/>
    <dgm:cxn modelId="{1FBB5722-89F4-4AE0-BD06-9777C4C73BF2}" type="presParOf" srcId="{BE16067D-32F8-4063-9F25-F4C434EC18B3}" destId="{7656BD3E-1BE5-4162-98E3-614EDC513FB6}" srcOrd="0" destOrd="0" presId="urn:microsoft.com/office/officeart/2005/8/layout/hierarchy4"/>
    <dgm:cxn modelId="{060752D0-B5B1-45AA-9ECB-0EE8392F550D}" type="presParOf" srcId="{BE16067D-32F8-4063-9F25-F4C434EC18B3}" destId="{23F39864-4C84-4812-A3ED-2EF5246BCBAF}" srcOrd="1" destOrd="0" presId="urn:microsoft.com/office/officeart/2005/8/layout/hierarchy4"/>
    <dgm:cxn modelId="{E12A3110-326E-4CF4-9DA7-40B51BB7C656}" type="presParOf" srcId="{A9048931-CAD5-4805-8F90-9D1940F1F877}" destId="{A4E7D480-64F8-4369-936B-9126AB48A5A6}" srcOrd="1" destOrd="0" presId="urn:microsoft.com/office/officeart/2005/8/layout/hierarchy4"/>
    <dgm:cxn modelId="{BB514E4E-9D07-4E66-9138-6F9A81D8F59A}" type="presParOf" srcId="{A9048931-CAD5-4805-8F90-9D1940F1F877}" destId="{07E153CA-C932-46F3-82FF-B154AA48D1D7}" srcOrd="2" destOrd="0" presId="urn:microsoft.com/office/officeart/2005/8/layout/hierarchy4"/>
    <dgm:cxn modelId="{66163512-12DB-4619-9109-3489AC37C480}" type="presParOf" srcId="{07E153CA-C932-46F3-82FF-B154AA48D1D7}" destId="{32E5C864-0E11-490C-AF14-D40F4CCB5F00}" srcOrd="0" destOrd="0" presId="urn:microsoft.com/office/officeart/2005/8/layout/hierarchy4"/>
    <dgm:cxn modelId="{C3FDC60C-39CD-4AA3-9F73-F77E299920DD}" type="presParOf" srcId="{07E153CA-C932-46F3-82FF-B154AA48D1D7}" destId="{9FF95E8B-40F0-49A9-8B97-9E770720A84B}" srcOrd="1" destOrd="0" presId="urn:microsoft.com/office/officeart/2005/8/layout/hierarchy4"/>
    <dgm:cxn modelId="{82C1E895-2E5D-4B25-9E19-801FB5DB989A}" type="presParOf" srcId="{07E153CA-C932-46F3-82FF-B154AA48D1D7}" destId="{6C040767-9185-4C4A-A1A6-598301B01517}" srcOrd="2" destOrd="0" presId="urn:microsoft.com/office/officeart/2005/8/layout/hierarchy4"/>
    <dgm:cxn modelId="{90CD070B-5A5E-48C8-89C0-16B47966BF75}" type="presParOf" srcId="{6C040767-9185-4C4A-A1A6-598301B01517}" destId="{0D8B77AB-DD2E-43CF-9471-3AF36200250C}" srcOrd="0" destOrd="0" presId="urn:microsoft.com/office/officeart/2005/8/layout/hierarchy4"/>
    <dgm:cxn modelId="{8EECC211-E934-4535-BB3F-F17CA1E4E281}" type="presParOf" srcId="{0D8B77AB-DD2E-43CF-9471-3AF36200250C}" destId="{DA45CBDA-30BD-4D5A-84B9-217A079DE5E2}" srcOrd="0" destOrd="0" presId="urn:microsoft.com/office/officeart/2005/8/layout/hierarchy4"/>
    <dgm:cxn modelId="{17C5654A-C32E-4036-A5F2-5EC268C1E62A}" type="presParOf" srcId="{0D8B77AB-DD2E-43CF-9471-3AF36200250C}" destId="{1176B15C-F331-4C91-B27C-C7A7CA2BFA5B}" srcOrd="1" destOrd="0" presId="urn:microsoft.com/office/officeart/2005/8/layout/hierarchy4"/>
    <dgm:cxn modelId="{4484A1CC-38B9-4B7F-B90C-85FB54EDD322}" type="presParOf" srcId="{6C040767-9185-4C4A-A1A6-598301B01517}" destId="{6B503664-7316-41AF-8EBD-A2A4EB3DD70C}" srcOrd="1" destOrd="0" presId="urn:microsoft.com/office/officeart/2005/8/layout/hierarchy4"/>
    <dgm:cxn modelId="{0A76D2AA-E726-4644-808F-334A57A78EE6}" type="presParOf" srcId="{6C040767-9185-4C4A-A1A6-598301B01517}" destId="{B682AF9D-1821-449D-955C-DC047B619171}" srcOrd="2" destOrd="0" presId="urn:microsoft.com/office/officeart/2005/8/layout/hierarchy4"/>
    <dgm:cxn modelId="{7C33BCFD-7843-449E-9C1F-D8FF71377DC8}" type="presParOf" srcId="{B682AF9D-1821-449D-955C-DC047B619171}" destId="{B76682FE-8E37-49A2-AE62-41633511FE4B}" srcOrd="0" destOrd="0" presId="urn:microsoft.com/office/officeart/2005/8/layout/hierarchy4"/>
    <dgm:cxn modelId="{76567D96-9D54-45C4-848C-D1AAA0F74A54}" type="presParOf" srcId="{B682AF9D-1821-449D-955C-DC047B619171}" destId="{226D10EF-02E6-44D2-8075-8FACFA15B3E4}" srcOrd="1" destOrd="0" presId="urn:microsoft.com/office/officeart/2005/8/layout/hierarchy4"/>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9CD3A24-F2D7-4EBB-9ACD-A609570F4973}"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en-US"/>
        </a:p>
      </dgm:t>
    </dgm:pt>
    <dgm:pt modelId="{82A3A5CE-AE07-4435-A526-1E2479BDB1AD}" type="asst">
      <dgm:prSet phldrT="[Text]"/>
      <dgm:spPr>
        <a:ln>
          <a:solidFill>
            <a:schemeClr val="accent3"/>
          </a:solidFill>
        </a:ln>
      </dgm:spPr>
      <dgm:t>
        <a:bodyPr/>
        <a:lstStyle/>
        <a:p>
          <a:r>
            <a:rPr lang="en-US" b="0"/>
            <a:t>Yes</a:t>
          </a:r>
        </a:p>
      </dgm:t>
    </dgm:pt>
    <dgm:pt modelId="{2C004CD6-FB86-4F39-8779-DF27415DD1FD}" type="parTrans" cxnId="{201039CB-99F8-45B9-BAFE-5256261B9869}">
      <dgm:prSet/>
      <dgm:spPr/>
      <dgm:t>
        <a:bodyPr/>
        <a:lstStyle/>
        <a:p>
          <a:endParaRPr lang="en-US" b="0"/>
        </a:p>
      </dgm:t>
    </dgm:pt>
    <dgm:pt modelId="{AD68E38A-F45A-462E-8930-44CB9FB988CD}" type="sibTrans" cxnId="{201039CB-99F8-45B9-BAFE-5256261B9869}">
      <dgm:prSet/>
      <dgm:spPr/>
      <dgm:t>
        <a:bodyPr/>
        <a:lstStyle/>
        <a:p>
          <a:endParaRPr lang="en-US"/>
        </a:p>
      </dgm:t>
    </dgm:pt>
    <dgm:pt modelId="{D33D6565-38A6-47C3-B33F-6B319A64BF6A}" type="asst">
      <dgm:prSet phldrT="[Text]"/>
      <dgm:spPr>
        <a:ln>
          <a:solidFill>
            <a:schemeClr val="accent3"/>
          </a:solidFill>
        </a:ln>
      </dgm:spPr>
      <dgm:t>
        <a:bodyPr/>
        <a:lstStyle/>
        <a:p>
          <a:r>
            <a:rPr lang="en-US" b="0"/>
            <a:t>No</a:t>
          </a:r>
        </a:p>
      </dgm:t>
    </dgm:pt>
    <dgm:pt modelId="{401A1BBC-75E1-443D-91CD-FFB33BFF7A47}" type="parTrans" cxnId="{D9F53BAA-DFA0-4521-99FB-E488F40FDE0D}">
      <dgm:prSet/>
      <dgm:spPr/>
      <dgm:t>
        <a:bodyPr/>
        <a:lstStyle/>
        <a:p>
          <a:endParaRPr lang="en-US" b="0"/>
        </a:p>
      </dgm:t>
    </dgm:pt>
    <dgm:pt modelId="{5A012095-E5DA-4356-B36E-17E89E23F1CB}" type="sibTrans" cxnId="{D9F53BAA-DFA0-4521-99FB-E488F40FDE0D}">
      <dgm:prSet/>
      <dgm:spPr/>
      <dgm:t>
        <a:bodyPr/>
        <a:lstStyle/>
        <a:p>
          <a:endParaRPr lang="en-US"/>
        </a:p>
      </dgm:t>
    </dgm:pt>
    <dgm:pt modelId="{B0FF6C84-0C0A-415F-949C-6CD058A2BB3E}" type="asst">
      <dgm:prSet phldrT="[Text]"/>
      <dgm:spPr/>
      <dgm:t>
        <a:bodyPr/>
        <a:lstStyle/>
        <a:p>
          <a:r>
            <a:rPr lang="en-US" b="1"/>
            <a:t>Is the owner related to any household member by blood or marriage?</a:t>
          </a:r>
        </a:p>
      </dgm:t>
    </dgm:pt>
    <dgm:pt modelId="{170250AC-7198-4D88-81B4-5B152852176D}" type="parTrans" cxnId="{CE82CD2A-7A09-4A89-BB43-70144416CA25}">
      <dgm:prSet/>
      <dgm:spPr/>
      <dgm:t>
        <a:bodyPr/>
        <a:lstStyle/>
        <a:p>
          <a:endParaRPr lang="en-US" b="0"/>
        </a:p>
      </dgm:t>
    </dgm:pt>
    <dgm:pt modelId="{653A6514-0830-4F61-BFE8-88CDFAD92622}" type="sibTrans" cxnId="{CE82CD2A-7A09-4A89-BB43-70144416CA25}">
      <dgm:prSet/>
      <dgm:spPr/>
      <dgm:t>
        <a:bodyPr/>
        <a:lstStyle/>
        <a:p>
          <a:endParaRPr lang="en-US"/>
        </a:p>
      </dgm:t>
    </dgm:pt>
    <dgm:pt modelId="{05213EA8-EA42-4065-91F0-3AF50A1606DA}" type="asst">
      <dgm:prSet phldrT="[Text]"/>
      <dgm:spPr/>
      <dgm:t>
        <a:bodyPr/>
        <a:lstStyle/>
        <a:p>
          <a:r>
            <a:rPr lang="en-US" b="1"/>
            <a:t>Is the owner the parent, child, grandparent, grandchild, sister, or brother of any household member?</a:t>
          </a:r>
        </a:p>
      </dgm:t>
    </dgm:pt>
    <dgm:pt modelId="{F9BA189A-1391-4B84-AAA9-55F3B6D5FA4B}" type="parTrans" cxnId="{7FFC4F57-F4DB-469D-9A3E-947A00767D2D}">
      <dgm:prSet/>
      <dgm:spPr/>
      <dgm:t>
        <a:bodyPr/>
        <a:lstStyle/>
        <a:p>
          <a:endParaRPr lang="en-US" b="0"/>
        </a:p>
      </dgm:t>
    </dgm:pt>
    <dgm:pt modelId="{24787A9F-A4DF-4929-A635-9C528ECDF816}" type="sibTrans" cxnId="{7FFC4F57-F4DB-469D-9A3E-947A00767D2D}">
      <dgm:prSet/>
      <dgm:spPr/>
      <dgm:t>
        <a:bodyPr/>
        <a:lstStyle/>
        <a:p>
          <a:endParaRPr lang="en-US"/>
        </a:p>
      </dgm:t>
    </dgm:pt>
    <dgm:pt modelId="{E2486E5C-66D5-450C-B60E-5CE47D82583C}">
      <dgm:prSet phldrT="[Text]"/>
      <dgm:spPr/>
      <dgm:t>
        <a:bodyPr/>
        <a:lstStyle/>
        <a:p>
          <a:r>
            <a:rPr lang="en-US" b="1"/>
            <a:t>Does the owner live in the unit?</a:t>
          </a:r>
        </a:p>
      </dgm:t>
    </dgm:pt>
    <dgm:pt modelId="{5C84039F-5B9F-41C2-B47F-87FCFAE75EA9}" type="parTrans" cxnId="{4B2C2BD3-B282-42EE-9556-D81B34A987B3}">
      <dgm:prSet/>
      <dgm:spPr/>
      <dgm:t>
        <a:bodyPr/>
        <a:lstStyle/>
        <a:p>
          <a:endParaRPr lang="en-US"/>
        </a:p>
      </dgm:t>
    </dgm:pt>
    <dgm:pt modelId="{198FFC54-F363-49B9-A8EF-95A2FD3B8A37}" type="sibTrans" cxnId="{4B2C2BD3-B282-42EE-9556-D81B34A987B3}">
      <dgm:prSet/>
      <dgm:spPr/>
      <dgm:t>
        <a:bodyPr/>
        <a:lstStyle/>
        <a:p>
          <a:endParaRPr lang="en-US"/>
        </a:p>
      </dgm:t>
    </dgm:pt>
    <dgm:pt modelId="{3152955F-8D41-48E8-B3B9-DE3D919483CC}" type="asst">
      <dgm:prSet phldrT="[Text]"/>
      <dgm:spPr/>
      <dgm:t>
        <a:bodyPr/>
        <a:lstStyle/>
        <a:p>
          <a:r>
            <a:rPr lang="en-US" b="1"/>
            <a:t>Are there enough bedrooms to accommodate both the client and owner households?</a:t>
          </a:r>
        </a:p>
      </dgm:t>
    </dgm:pt>
    <dgm:pt modelId="{8DB8FE3A-01DF-4B90-94F0-CAFC35EEB1FF}" type="parTrans" cxnId="{E562146A-A8FF-469A-AB1C-5926DBC14B3D}">
      <dgm:prSet/>
      <dgm:spPr/>
      <dgm:t>
        <a:bodyPr/>
        <a:lstStyle/>
        <a:p>
          <a:endParaRPr lang="en-US" b="0"/>
        </a:p>
      </dgm:t>
    </dgm:pt>
    <dgm:pt modelId="{63C374A5-4B50-4932-970D-85739AD36DA8}" type="sibTrans" cxnId="{E562146A-A8FF-469A-AB1C-5926DBC14B3D}">
      <dgm:prSet/>
      <dgm:spPr/>
      <dgm:t>
        <a:bodyPr/>
        <a:lstStyle/>
        <a:p>
          <a:endParaRPr lang="en-US"/>
        </a:p>
      </dgm:t>
    </dgm:pt>
    <dgm:pt modelId="{6AE12DE2-FD80-4250-BA09-9C32EBA5C490}" type="asst">
      <dgm:prSet phldrT="[Text]"/>
      <dgm:spPr>
        <a:ln>
          <a:solidFill>
            <a:schemeClr val="accent3"/>
          </a:solidFill>
        </a:ln>
      </dgm:spPr>
      <dgm:t>
        <a:bodyPr/>
        <a:lstStyle/>
        <a:p>
          <a:r>
            <a:rPr lang="en-US" b="0"/>
            <a:t>Yes</a:t>
          </a:r>
        </a:p>
      </dgm:t>
    </dgm:pt>
    <dgm:pt modelId="{3D73234C-9D62-4A2A-966B-E32D05F71CC6}" type="parTrans" cxnId="{134B508F-D5DD-4802-97FC-029E9FEA4BF4}">
      <dgm:prSet/>
      <dgm:spPr/>
      <dgm:t>
        <a:bodyPr/>
        <a:lstStyle/>
        <a:p>
          <a:endParaRPr lang="en-US" b="0"/>
        </a:p>
      </dgm:t>
    </dgm:pt>
    <dgm:pt modelId="{03C1379E-A0E1-4167-9330-69F03E96158A}" type="sibTrans" cxnId="{134B508F-D5DD-4802-97FC-029E9FEA4BF4}">
      <dgm:prSet/>
      <dgm:spPr/>
      <dgm:t>
        <a:bodyPr/>
        <a:lstStyle/>
        <a:p>
          <a:endParaRPr lang="en-US"/>
        </a:p>
      </dgm:t>
    </dgm:pt>
    <dgm:pt modelId="{95E14F67-23E0-463F-990B-0173FF9DC9C6}" type="asst">
      <dgm:prSet phldrT="[Text]"/>
      <dgm:spPr>
        <a:ln>
          <a:solidFill>
            <a:schemeClr val="accent3"/>
          </a:solidFill>
        </a:ln>
      </dgm:spPr>
      <dgm:t>
        <a:bodyPr/>
        <a:lstStyle/>
        <a:p>
          <a:r>
            <a:rPr lang="en-US" b="0"/>
            <a:t>Yes</a:t>
          </a:r>
        </a:p>
      </dgm:t>
    </dgm:pt>
    <dgm:pt modelId="{D6C8CB50-62DF-4DC3-82A3-EC44EA894923}" type="parTrans" cxnId="{0C0D4D47-6EB4-4C38-8DD5-0A78BF7B2595}">
      <dgm:prSet/>
      <dgm:spPr/>
      <dgm:t>
        <a:bodyPr/>
        <a:lstStyle/>
        <a:p>
          <a:endParaRPr lang="en-US" b="0"/>
        </a:p>
      </dgm:t>
    </dgm:pt>
    <dgm:pt modelId="{CE2C05FF-4729-473F-A55D-176D5507DEC9}" type="sibTrans" cxnId="{0C0D4D47-6EB4-4C38-8DD5-0A78BF7B2595}">
      <dgm:prSet/>
      <dgm:spPr/>
      <dgm:t>
        <a:bodyPr/>
        <a:lstStyle/>
        <a:p>
          <a:endParaRPr lang="en-US"/>
        </a:p>
      </dgm:t>
    </dgm:pt>
    <dgm:pt modelId="{82A42CAE-C2DD-4BC7-B846-B7FA77A69A31}" type="asst">
      <dgm:prSet phldrT="[Text]"/>
      <dgm:spPr/>
      <dgm:t>
        <a:bodyPr/>
        <a:lstStyle/>
        <a:p>
          <a:r>
            <a:rPr lang="en-US" b="1"/>
            <a:t>Do you have the owner's IRS Form W-9?</a:t>
          </a:r>
        </a:p>
      </dgm:t>
    </dgm:pt>
    <dgm:pt modelId="{2C899149-66BD-4205-B6F8-21B8E3EA0D9C}" type="parTrans" cxnId="{31A65D1E-C24A-434F-BF2F-DD60CA9D98EF}">
      <dgm:prSet/>
      <dgm:spPr/>
      <dgm:t>
        <a:bodyPr/>
        <a:lstStyle/>
        <a:p>
          <a:endParaRPr lang="en-US" b="0"/>
        </a:p>
      </dgm:t>
    </dgm:pt>
    <dgm:pt modelId="{FFD54F17-3087-407C-9343-0EB772DAA898}" type="sibTrans" cxnId="{31A65D1E-C24A-434F-BF2F-DD60CA9D98EF}">
      <dgm:prSet/>
      <dgm:spPr/>
      <dgm:t>
        <a:bodyPr/>
        <a:lstStyle/>
        <a:p>
          <a:endParaRPr lang="en-US"/>
        </a:p>
      </dgm:t>
    </dgm:pt>
    <dgm:pt modelId="{6E5E9362-F65C-4101-A516-6F2846FF8A6C}" type="asst">
      <dgm:prSet phldrT="[Text]"/>
      <dgm:spPr>
        <a:ln>
          <a:solidFill>
            <a:schemeClr val="accent3"/>
          </a:solidFill>
        </a:ln>
      </dgm:spPr>
      <dgm:t>
        <a:bodyPr/>
        <a:lstStyle/>
        <a:p>
          <a:r>
            <a:rPr lang="en-US" b="0"/>
            <a:t>Yes</a:t>
          </a:r>
        </a:p>
      </dgm:t>
    </dgm:pt>
    <dgm:pt modelId="{70B9E2A9-85C0-4ECD-AB69-5B840A5C8569}" type="parTrans" cxnId="{DE6DBFF2-6DB7-477A-9FB5-0A4EB86816F9}">
      <dgm:prSet/>
      <dgm:spPr/>
      <dgm:t>
        <a:bodyPr/>
        <a:lstStyle/>
        <a:p>
          <a:endParaRPr lang="en-US" b="0"/>
        </a:p>
      </dgm:t>
    </dgm:pt>
    <dgm:pt modelId="{31104171-2585-47B7-8BEE-5AFFBDA118C4}" type="sibTrans" cxnId="{DE6DBFF2-6DB7-477A-9FB5-0A4EB86816F9}">
      <dgm:prSet/>
      <dgm:spPr/>
      <dgm:t>
        <a:bodyPr/>
        <a:lstStyle/>
        <a:p>
          <a:endParaRPr lang="en-US"/>
        </a:p>
      </dgm:t>
    </dgm:pt>
    <dgm:pt modelId="{F2380881-D391-4647-AAD3-62425485075B}" type="asst">
      <dgm:prSet phldrT="[Text]"/>
      <dgm:spPr>
        <a:ln>
          <a:solidFill>
            <a:schemeClr val="accent3"/>
          </a:solidFill>
        </a:ln>
      </dgm:spPr>
      <dgm:t>
        <a:bodyPr/>
        <a:lstStyle/>
        <a:p>
          <a:r>
            <a:rPr lang="en-US" b="0"/>
            <a:t>No</a:t>
          </a:r>
        </a:p>
      </dgm:t>
    </dgm:pt>
    <dgm:pt modelId="{4086D9C4-76F1-4D87-B7EA-50563658E20A}" type="parTrans" cxnId="{23E46274-FE95-422A-84B9-794909E7D10C}">
      <dgm:prSet/>
      <dgm:spPr/>
      <dgm:t>
        <a:bodyPr/>
        <a:lstStyle/>
        <a:p>
          <a:endParaRPr lang="en-US" b="0"/>
        </a:p>
      </dgm:t>
    </dgm:pt>
    <dgm:pt modelId="{3ABC77CC-E7A5-414F-A8A4-61E7A775FC12}" type="sibTrans" cxnId="{23E46274-FE95-422A-84B9-794909E7D10C}">
      <dgm:prSet/>
      <dgm:spPr/>
      <dgm:t>
        <a:bodyPr/>
        <a:lstStyle/>
        <a:p>
          <a:endParaRPr lang="en-US"/>
        </a:p>
      </dgm:t>
    </dgm:pt>
    <dgm:pt modelId="{CE4415E1-AF94-47BA-B8B3-29C5FE4649E3}" type="asst">
      <dgm:prSet phldrT="[Text]"/>
      <dgm:spPr>
        <a:ln>
          <a:solidFill>
            <a:schemeClr val="accent2"/>
          </a:solidFill>
        </a:ln>
      </dgm:spPr>
      <dgm:t>
        <a:bodyPr/>
        <a:lstStyle/>
        <a:p>
          <a:r>
            <a:rPr lang="en-US" b="0"/>
            <a:t>You cannot pay this owner until you have their W-9.</a:t>
          </a:r>
        </a:p>
      </dgm:t>
    </dgm:pt>
    <dgm:pt modelId="{5B47B43F-8D56-4690-92AC-E47A19B33DE3}" type="parTrans" cxnId="{362CE22D-AC6D-4AA2-9B81-D86B9EF0450E}">
      <dgm:prSet/>
      <dgm:spPr/>
      <dgm:t>
        <a:bodyPr/>
        <a:lstStyle/>
        <a:p>
          <a:endParaRPr lang="en-US" b="0"/>
        </a:p>
      </dgm:t>
    </dgm:pt>
    <dgm:pt modelId="{EC29C077-CB64-4DB4-9307-C9A6C051DADD}" type="sibTrans" cxnId="{362CE22D-AC6D-4AA2-9B81-D86B9EF0450E}">
      <dgm:prSet/>
      <dgm:spPr/>
      <dgm:t>
        <a:bodyPr/>
        <a:lstStyle/>
        <a:p>
          <a:endParaRPr lang="en-US"/>
        </a:p>
      </dgm:t>
    </dgm:pt>
    <dgm:pt modelId="{53F0FAF3-6D8B-4B68-B1D4-E6FED25D3C2A}" type="asst">
      <dgm:prSet phldrT="[Text]"/>
      <dgm:spPr>
        <a:ln>
          <a:solidFill>
            <a:schemeClr val="accent6"/>
          </a:solidFill>
        </a:ln>
      </dgm:spPr>
      <dgm:t>
        <a:bodyPr/>
        <a:lstStyle/>
        <a:p>
          <a:r>
            <a:rPr lang="en-US" b="0"/>
            <a:t>You can pay this owner.</a:t>
          </a:r>
        </a:p>
      </dgm:t>
    </dgm:pt>
    <dgm:pt modelId="{68BBC084-2CA7-4022-9BE9-8F2574AB6039}" type="parTrans" cxnId="{8081E67E-E28C-4883-9242-B877E30792FC}">
      <dgm:prSet/>
      <dgm:spPr/>
      <dgm:t>
        <a:bodyPr/>
        <a:lstStyle/>
        <a:p>
          <a:endParaRPr lang="en-US" b="0"/>
        </a:p>
      </dgm:t>
    </dgm:pt>
    <dgm:pt modelId="{E54DA551-6CB8-4080-9E7C-CD161F8146F1}" type="sibTrans" cxnId="{8081E67E-E28C-4883-9242-B877E30792FC}">
      <dgm:prSet/>
      <dgm:spPr/>
      <dgm:t>
        <a:bodyPr/>
        <a:lstStyle/>
        <a:p>
          <a:endParaRPr lang="en-US"/>
        </a:p>
      </dgm:t>
    </dgm:pt>
    <dgm:pt modelId="{E4655AD1-8D14-4047-A6B2-A283DB2CD62F}" type="asst">
      <dgm:prSet phldrT="[Text]"/>
      <dgm:spPr>
        <a:ln>
          <a:solidFill>
            <a:schemeClr val="accent2"/>
          </a:solidFill>
        </a:ln>
      </dgm:spPr>
      <dgm:t>
        <a:bodyPr/>
        <a:lstStyle/>
        <a:p>
          <a:r>
            <a:rPr lang="en-US" b="0"/>
            <a:t>You cannot pay this owner.</a:t>
          </a:r>
        </a:p>
      </dgm:t>
    </dgm:pt>
    <dgm:pt modelId="{8C8B2C94-23AF-4CC7-9D43-1164ED1982A4}" type="parTrans" cxnId="{1D1583CA-A650-4B45-979E-82B3B1E38DB6}">
      <dgm:prSet/>
      <dgm:spPr/>
      <dgm:t>
        <a:bodyPr/>
        <a:lstStyle/>
        <a:p>
          <a:endParaRPr lang="en-US" b="0"/>
        </a:p>
      </dgm:t>
    </dgm:pt>
    <dgm:pt modelId="{729C0F22-00CE-4377-84D0-F174F2054D0E}" type="sibTrans" cxnId="{1D1583CA-A650-4B45-979E-82B3B1E38DB6}">
      <dgm:prSet/>
      <dgm:spPr/>
      <dgm:t>
        <a:bodyPr/>
        <a:lstStyle/>
        <a:p>
          <a:endParaRPr lang="en-US"/>
        </a:p>
      </dgm:t>
    </dgm:pt>
    <dgm:pt modelId="{E4AEAAA2-8B83-4B8B-B8C9-F53F8A266480}" type="asst">
      <dgm:prSet phldrT="[Text]"/>
      <dgm:spPr>
        <a:ln>
          <a:solidFill>
            <a:schemeClr val="accent3"/>
          </a:solidFill>
        </a:ln>
      </dgm:spPr>
      <dgm:t>
        <a:bodyPr/>
        <a:lstStyle/>
        <a:p>
          <a:r>
            <a:rPr lang="en-US" b="0"/>
            <a:t>Yes</a:t>
          </a:r>
        </a:p>
      </dgm:t>
    </dgm:pt>
    <dgm:pt modelId="{2C20AC21-D271-4423-99D6-52F87059DF50}" type="parTrans" cxnId="{8F6C8D48-678B-4BA2-BAFB-D504EA2CD557}">
      <dgm:prSet/>
      <dgm:spPr/>
      <dgm:t>
        <a:bodyPr/>
        <a:lstStyle/>
        <a:p>
          <a:endParaRPr lang="en-US" b="0"/>
        </a:p>
      </dgm:t>
    </dgm:pt>
    <dgm:pt modelId="{6F0E473A-B946-4A32-9E57-25D5C74BE062}" type="sibTrans" cxnId="{8F6C8D48-678B-4BA2-BAFB-D504EA2CD557}">
      <dgm:prSet/>
      <dgm:spPr/>
      <dgm:t>
        <a:bodyPr/>
        <a:lstStyle/>
        <a:p>
          <a:endParaRPr lang="en-US"/>
        </a:p>
      </dgm:t>
    </dgm:pt>
    <dgm:pt modelId="{D210E5C4-9340-461D-893E-EA85904B793F}" type="asst">
      <dgm:prSet phldrT="[Text]"/>
      <dgm:spPr>
        <a:ln>
          <a:solidFill>
            <a:schemeClr val="accent2"/>
          </a:solidFill>
        </a:ln>
      </dgm:spPr>
      <dgm:t>
        <a:bodyPr/>
        <a:lstStyle/>
        <a:p>
          <a:r>
            <a:rPr lang="en-US" b="0"/>
            <a:t>You cannot pay this owner.</a:t>
          </a:r>
        </a:p>
      </dgm:t>
    </dgm:pt>
    <dgm:pt modelId="{B9AC7CD1-EE89-426D-BBF6-AAF638F8B6AB}" type="parTrans" cxnId="{0B2C4E42-AE37-4345-9DA8-1C5B9B698978}">
      <dgm:prSet/>
      <dgm:spPr/>
      <dgm:t>
        <a:bodyPr/>
        <a:lstStyle/>
        <a:p>
          <a:endParaRPr lang="en-US" b="0"/>
        </a:p>
      </dgm:t>
    </dgm:pt>
    <dgm:pt modelId="{4917A7DC-C91A-4724-ABED-5AE55992AF55}" type="sibTrans" cxnId="{0B2C4E42-AE37-4345-9DA8-1C5B9B698978}">
      <dgm:prSet/>
      <dgm:spPr/>
      <dgm:t>
        <a:bodyPr/>
        <a:lstStyle/>
        <a:p>
          <a:endParaRPr lang="en-US"/>
        </a:p>
      </dgm:t>
    </dgm:pt>
    <dgm:pt modelId="{EBBF7598-0575-421B-83F7-F4D6FFFF7AAF}" type="asst">
      <dgm:prSet phldrT="[Text]"/>
      <dgm:spPr/>
      <dgm:t>
        <a:bodyPr/>
        <a:lstStyle/>
        <a:p>
          <a:r>
            <a:rPr lang="en-US" b="1"/>
            <a:t>Do you have the owner's IRS Form W-9?</a:t>
          </a:r>
        </a:p>
      </dgm:t>
    </dgm:pt>
    <dgm:pt modelId="{29D146A8-5EDA-46D4-A7FC-1EA55BE73515}" type="parTrans" cxnId="{68425CA1-6A9C-4F25-8D1E-D702862BD703}">
      <dgm:prSet/>
      <dgm:spPr/>
      <dgm:t>
        <a:bodyPr/>
        <a:lstStyle/>
        <a:p>
          <a:endParaRPr lang="en-US" b="0"/>
        </a:p>
      </dgm:t>
    </dgm:pt>
    <dgm:pt modelId="{0881652E-66CF-40CD-8114-CEA38BC8BBC1}" type="sibTrans" cxnId="{68425CA1-6A9C-4F25-8D1E-D702862BD703}">
      <dgm:prSet/>
      <dgm:spPr/>
      <dgm:t>
        <a:bodyPr/>
        <a:lstStyle/>
        <a:p>
          <a:endParaRPr lang="en-US"/>
        </a:p>
      </dgm:t>
    </dgm:pt>
    <dgm:pt modelId="{5CAE93FE-1829-4B22-ABDE-57662F074A35}" type="asst">
      <dgm:prSet phldrT="[Text]"/>
      <dgm:spPr>
        <a:ln>
          <a:solidFill>
            <a:schemeClr val="accent3"/>
          </a:solidFill>
        </a:ln>
      </dgm:spPr>
      <dgm:t>
        <a:bodyPr/>
        <a:lstStyle/>
        <a:p>
          <a:r>
            <a:rPr lang="en-US" b="0"/>
            <a:t>Yes</a:t>
          </a:r>
        </a:p>
      </dgm:t>
    </dgm:pt>
    <dgm:pt modelId="{4C537DAD-E83F-4B9F-9909-F4CFCAB7DB00}" type="parTrans" cxnId="{94ACBE68-8588-4462-9592-9532AD907602}">
      <dgm:prSet/>
      <dgm:spPr/>
      <dgm:t>
        <a:bodyPr/>
        <a:lstStyle/>
        <a:p>
          <a:endParaRPr lang="en-US" b="0"/>
        </a:p>
      </dgm:t>
    </dgm:pt>
    <dgm:pt modelId="{30AA90F3-ACCD-4465-856F-56139B2EA6DE}" type="sibTrans" cxnId="{94ACBE68-8588-4462-9592-9532AD907602}">
      <dgm:prSet/>
      <dgm:spPr/>
      <dgm:t>
        <a:bodyPr/>
        <a:lstStyle/>
        <a:p>
          <a:endParaRPr lang="en-US"/>
        </a:p>
      </dgm:t>
    </dgm:pt>
    <dgm:pt modelId="{25ACEEA2-0C60-4FBA-8AD1-B46C14E86B61}" type="asst">
      <dgm:prSet phldrT="[Text]"/>
      <dgm:spPr>
        <a:ln>
          <a:solidFill>
            <a:schemeClr val="accent3"/>
          </a:solidFill>
        </a:ln>
      </dgm:spPr>
      <dgm:t>
        <a:bodyPr/>
        <a:lstStyle/>
        <a:p>
          <a:r>
            <a:rPr lang="en-US" b="0"/>
            <a:t>No</a:t>
          </a:r>
        </a:p>
      </dgm:t>
    </dgm:pt>
    <dgm:pt modelId="{9FC21EEF-BB71-43D1-964E-F8FCFB31C3B2}" type="parTrans" cxnId="{0D52FBB6-9314-4A8A-859E-D4401335FADD}">
      <dgm:prSet/>
      <dgm:spPr/>
      <dgm:t>
        <a:bodyPr/>
        <a:lstStyle/>
        <a:p>
          <a:endParaRPr lang="en-US" b="0"/>
        </a:p>
      </dgm:t>
    </dgm:pt>
    <dgm:pt modelId="{E1E7F6A4-2BBD-43D2-8EB5-77F7936A271B}" type="sibTrans" cxnId="{0D52FBB6-9314-4A8A-859E-D4401335FADD}">
      <dgm:prSet/>
      <dgm:spPr/>
      <dgm:t>
        <a:bodyPr/>
        <a:lstStyle/>
        <a:p>
          <a:endParaRPr lang="en-US"/>
        </a:p>
      </dgm:t>
    </dgm:pt>
    <dgm:pt modelId="{7636EA8E-C376-4577-9C06-A5129A50817B}" type="asst">
      <dgm:prSet phldrT="[Text]"/>
      <dgm:spPr>
        <a:ln>
          <a:solidFill>
            <a:schemeClr val="accent6"/>
          </a:solidFill>
        </a:ln>
      </dgm:spPr>
      <dgm:t>
        <a:bodyPr/>
        <a:lstStyle/>
        <a:p>
          <a:r>
            <a:rPr lang="en-US" b="0"/>
            <a:t>You can pay this owner.</a:t>
          </a:r>
        </a:p>
      </dgm:t>
    </dgm:pt>
    <dgm:pt modelId="{6FBD0393-6534-4AF0-9B16-EB4C048E9EC5}" type="parTrans" cxnId="{721388D7-83D9-459A-8E66-77F5D2653D0D}">
      <dgm:prSet/>
      <dgm:spPr/>
      <dgm:t>
        <a:bodyPr/>
        <a:lstStyle/>
        <a:p>
          <a:endParaRPr lang="en-US" b="0"/>
        </a:p>
      </dgm:t>
    </dgm:pt>
    <dgm:pt modelId="{72B77E41-AB20-41DC-82AE-E611ADE19FEE}" type="sibTrans" cxnId="{721388D7-83D9-459A-8E66-77F5D2653D0D}">
      <dgm:prSet/>
      <dgm:spPr/>
      <dgm:t>
        <a:bodyPr/>
        <a:lstStyle/>
        <a:p>
          <a:endParaRPr lang="en-US"/>
        </a:p>
      </dgm:t>
    </dgm:pt>
    <dgm:pt modelId="{CB6D8D6A-C23C-4435-9455-DC8D00B4F68F}" type="asst">
      <dgm:prSet phldrT="[Text]"/>
      <dgm:spPr>
        <a:ln>
          <a:solidFill>
            <a:schemeClr val="accent2"/>
          </a:solidFill>
        </a:ln>
      </dgm:spPr>
      <dgm:t>
        <a:bodyPr/>
        <a:lstStyle/>
        <a:p>
          <a:r>
            <a:rPr lang="en-US" b="0"/>
            <a:t>You cannot pay this owner until you have their W-9.</a:t>
          </a:r>
        </a:p>
      </dgm:t>
    </dgm:pt>
    <dgm:pt modelId="{FB81228B-29E4-4BBC-9F9D-4C8674912E36}" type="parTrans" cxnId="{7D1ACE54-7BF2-46A9-B35B-2723640503CA}">
      <dgm:prSet/>
      <dgm:spPr/>
      <dgm:t>
        <a:bodyPr/>
        <a:lstStyle/>
        <a:p>
          <a:endParaRPr lang="en-US" b="0"/>
        </a:p>
      </dgm:t>
    </dgm:pt>
    <dgm:pt modelId="{4DE8DAE1-C224-4E01-B19E-8E79974617AB}" type="sibTrans" cxnId="{7D1ACE54-7BF2-46A9-B35B-2723640503CA}">
      <dgm:prSet/>
      <dgm:spPr/>
      <dgm:t>
        <a:bodyPr/>
        <a:lstStyle/>
        <a:p>
          <a:endParaRPr lang="en-US"/>
        </a:p>
      </dgm:t>
    </dgm:pt>
    <dgm:pt modelId="{21B3C766-61FD-42DE-B110-714E778DE023}" type="asst">
      <dgm:prSet phldrT="[Text]"/>
      <dgm:spPr>
        <a:ln>
          <a:solidFill>
            <a:schemeClr val="accent3"/>
          </a:solidFill>
        </a:ln>
      </dgm:spPr>
      <dgm:t>
        <a:bodyPr/>
        <a:lstStyle/>
        <a:p>
          <a:r>
            <a:rPr lang="en-US" b="0"/>
            <a:t>No</a:t>
          </a:r>
        </a:p>
      </dgm:t>
    </dgm:pt>
    <dgm:pt modelId="{79D7A88F-9E19-4106-B707-F7D56D9A11FE}" type="parTrans" cxnId="{841F6218-FBC1-4121-BC8E-6DD7523471FA}">
      <dgm:prSet/>
      <dgm:spPr/>
      <dgm:t>
        <a:bodyPr/>
        <a:lstStyle/>
        <a:p>
          <a:endParaRPr lang="en-US"/>
        </a:p>
      </dgm:t>
    </dgm:pt>
    <dgm:pt modelId="{9CFFEBB1-7E04-4B18-987C-1CEC31AE1609}" type="sibTrans" cxnId="{841F6218-FBC1-4121-BC8E-6DD7523471FA}">
      <dgm:prSet/>
      <dgm:spPr/>
      <dgm:t>
        <a:bodyPr/>
        <a:lstStyle/>
        <a:p>
          <a:endParaRPr lang="en-US"/>
        </a:p>
      </dgm:t>
    </dgm:pt>
    <dgm:pt modelId="{A18C2219-4F13-4AFC-AA94-9A87EDCBB93E}" type="asst">
      <dgm:prSet phldrT="[Text]"/>
      <dgm:spPr>
        <a:ln>
          <a:solidFill>
            <a:schemeClr val="accent2"/>
          </a:solidFill>
        </a:ln>
      </dgm:spPr>
      <dgm:t>
        <a:bodyPr/>
        <a:lstStyle/>
        <a:p>
          <a:r>
            <a:rPr lang="en-US" b="0"/>
            <a:t>You cannot pay this owner.</a:t>
          </a:r>
        </a:p>
      </dgm:t>
    </dgm:pt>
    <dgm:pt modelId="{909845D9-1A1D-4D7C-8BA0-625111171C87}" type="parTrans" cxnId="{B53AB5C1-D0EE-49AA-A83E-49175710D851}">
      <dgm:prSet/>
      <dgm:spPr/>
      <dgm:t>
        <a:bodyPr/>
        <a:lstStyle/>
        <a:p>
          <a:endParaRPr lang="en-US"/>
        </a:p>
      </dgm:t>
    </dgm:pt>
    <dgm:pt modelId="{906BCDA1-936B-4C3C-BB42-E5AA7813FB4E}" type="sibTrans" cxnId="{B53AB5C1-D0EE-49AA-A83E-49175710D851}">
      <dgm:prSet/>
      <dgm:spPr/>
      <dgm:t>
        <a:bodyPr/>
        <a:lstStyle/>
        <a:p>
          <a:endParaRPr lang="en-US"/>
        </a:p>
      </dgm:t>
    </dgm:pt>
    <dgm:pt modelId="{202B8271-1649-4E6E-8B85-CBC746569D95}" type="asst">
      <dgm:prSet phldrT="[Text]"/>
      <dgm:spPr>
        <a:ln>
          <a:solidFill>
            <a:schemeClr val="accent4"/>
          </a:solidFill>
        </a:ln>
      </dgm:spPr>
      <dgm:t>
        <a:bodyPr/>
        <a:lstStyle/>
        <a:p>
          <a:r>
            <a:rPr lang="en-US" b="1">
              <a:solidFill>
                <a:srgbClr val="C00000"/>
              </a:solidFill>
            </a:rPr>
            <a:t>NOTE:</a:t>
          </a:r>
          <a:r>
            <a:rPr lang="en-US" b="0">
              <a:solidFill>
                <a:srgbClr val="C00000"/>
              </a:solidFill>
            </a:rPr>
            <a:t> A Project Sponsor may approve the unit if they determine that approving the unit would provide a reasonable accommodation for household members with disabilities.</a:t>
          </a:r>
        </a:p>
      </dgm:t>
    </dgm:pt>
    <dgm:pt modelId="{8A2E4006-CF21-40BF-9CE3-26719D7339E2}" type="parTrans" cxnId="{EC33CB88-E7C2-4E60-8123-C28951D8D9B1}">
      <dgm:prSet>
        <dgm:style>
          <a:lnRef idx="1">
            <a:schemeClr val="accent5"/>
          </a:lnRef>
          <a:fillRef idx="0">
            <a:schemeClr val="accent5"/>
          </a:fillRef>
          <a:effectRef idx="0">
            <a:schemeClr val="accent5"/>
          </a:effectRef>
          <a:fontRef idx="minor">
            <a:schemeClr val="tx1"/>
          </a:fontRef>
        </dgm:style>
      </dgm:prSet>
      <dgm:spPr/>
      <dgm:t>
        <a:bodyPr/>
        <a:lstStyle/>
        <a:p>
          <a:endParaRPr lang="en-US"/>
        </a:p>
      </dgm:t>
    </dgm:pt>
    <dgm:pt modelId="{FF661F32-F150-4557-A235-69E7950B490D}" type="sibTrans" cxnId="{EC33CB88-E7C2-4E60-8123-C28951D8D9B1}">
      <dgm:prSet/>
      <dgm:spPr/>
      <dgm:t>
        <a:bodyPr/>
        <a:lstStyle/>
        <a:p>
          <a:endParaRPr lang="en-US"/>
        </a:p>
      </dgm:t>
    </dgm:pt>
    <dgm:pt modelId="{748B122A-F791-49D4-8204-CED0A66778C5}" type="asst">
      <dgm:prSet phldrT="[Text]"/>
      <dgm:spPr>
        <a:ln>
          <a:solidFill>
            <a:schemeClr val="accent3"/>
          </a:solidFill>
        </a:ln>
      </dgm:spPr>
      <dgm:t>
        <a:bodyPr/>
        <a:lstStyle/>
        <a:p>
          <a:r>
            <a:rPr lang="en-US" b="0"/>
            <a:t>No</a:t>
          </a:r>
        </a:p>
      </dgm:t>
    </dgm:pt>
    <dgm:pt modelId="{6328B2E9-E1C0-4239-9F36-0631BF260C8C}" type="sibTrans" cxnId="{6B507F1E-F606-4F17-A644-8512E5DF1805}">
      <dgm:prSet/>
      <dgm:spPr/>
      <dgm:t>
        <a:bodyPr/>
        <a:lstStyle/>
        <a:p>
          <a:endParaRPr lang="en-US"/>
        </a:p>
      </dgm:t>
    </dgm:pt>
    <dgm:pt modelId="{D5A50567-8F7D-4B20-9251-CF92C0E6C036}" type="parTrans" cxnId="{6B507F1E-F606-4F17-A644-8512E5DF1805}">
      <dgm:prSet/>
      <dgm:spPr/>
      <dgm:t>
        <a:bodyPr/>
        <a:lstStyle/>
        <a:p>
          <a:endParaRPr lang="en-US" b="0"/>
        </a:p>
      </dgm:t>
    </dgm:pt>
    <dgm:pt modelId="{5B57FB61-4EDD-4458-87CE-70E1EEFF57E4}" type="asst">
      <dgm:prSet phldrT="[Text]">
        <dgm:style>
          <a:lnRef idx="2">
            <a:schemeClr val="accent4"/>
          </a:lnRef>
          <a:fillRef idx="1">
            <a:schemeClr val="lt1"/>
          </a:fillRef>
          <a:effectRef idx="0">
            <a:schemeClr val="accent4"/>
          </a:effectRef>
          <a:fontRef idx="minor">
            <a:schemeClr val="dk1"/>
          </a:fontRef>
        </dgm:style>
      </dgm:prSet>
      <dgm:spPr>
        <a:ln/>
      </dgm:spPr>
      <dgm:t>
        <a:bodyPr/>
        <a:lstStyle/>
        <a:p>
          <a:r>
            <a:rPr lang="en-US" b="1">
              <a:solidFill>
                <a:srgbClr val="C00000"/>
              </a:solidFill>
            </a:rPr>
            <a:t>NOTE:</a:t>
          </a:r>
          <a:r>
            <a:rPr lang="en-US" b="0">
              <a:solidFill>
                <a:srgbClr val="C00000"/>
              </a:solidFill>
            </a:rPr>
            <a:t> A Project Sponsor may approve the unit if they determine that approving the unit would provide a reasonable accommodation for household members with disabilities.</a:t>
          </a:r>
        </a:p>
      </dgm:t>
    </dgm:pt>
    <dgm:pt modelId="{B27D51C8-72A3-4E50-8CAD-139C54C69623}" type="parTrans" cxnId="{EDE09A08-6B60-4FD7-8CB8-BBC7D1429FEE}">
      <dgm:prSet/>
      <dgm:spPr/>
      <dgm:t>
        <a:bodyPr/>
        <a:lstStyle/>
        <a:p>
          <a:endParaRPr lang="en-US"/>
        </a:p>
      </dgm:t>
    </dgm:pt>
    <dgm:pt modelId="{28724334-C60D-4EBB-A544-3A4AFE6928AA}" type="sibTrans" cxnId="{EDE09A08-6B60-4FD7-8CB8-BBC7D1429FEE}">
      <dgm:prSet/>
      <dgm:spPr/>
      <dgm:t>
        <a:bodyPr/>
        <a:lstStyle/>
        <a:p>
          <a:endParaRPr lang="en-US"/>
        </a:p>
      </dgm:t>
    </dgm:pt>
    <dgm:pt modelId="{DD21DEE8-7635-4A26-95E3-DFE043F45C15}" type="asst">
      <dgm:prSet phldrT="[Text]"/>
      <dgm:spPr>
        <a:ln>
          <a:solidFill>
            <a:schemeClr val="accent3"/>
          </a:solidFill>
        </a:ln>
      </dgm:spPr>
      <dgm:t>
        <a:bodyPr/>
        <a:lstStyle/>
        <a:p>
          <a:r>
            <a:rPr lang="en-US" b="0"/>
            <a:t>No</a:t>
          </a:r>
        </a:p>
      </dgm:t>
    </dgm:pt>
    <dgm:pt modelId="{D75094C1-A5F3-4B84-A787-FABA5ABA9FFB}" type="sibTrans" cxnId="{655E7250-C7C9-4D24-85F9-2F5CDB3F87B6}">
      <dgm:prSet/>
      <dgm:spPr/>
      <dgm:t>
        <a:bodyPr/>
        <a:lstStyle/>
        <a:p>
          <a:endParaRPr lang="en-US"/>
        </a:p>
      </dgm:t>
    </dgm:pt>
    <dgm:pt modelId="{C9ABB819-282E-49A3-9E9A-884BE4034F37}" type="parTrans" cxnId="{655E7250-C7C9-4D24-85F9-2F5CDB3F87B6}">
      <dgm:prSet/>
      <dgm:spPr/>
      <dgm:t>
        <a:bodyPr/>
        <a:lstStyle/>
        <a:p>
          <a:endParaRPr lang="en-US" b="0"/>
        </a:p>
      </dgm:t>
    </dgm:pt>
    <dgm:pt modelId="{B6962375-B0EE-4E36-97A6-0639CB2CD580}" type="pres">
      <dgm:prSet presAssocID="{29CD3A24-F2D7-4EBB-9ACD-A609570F4973}" presName="hierChild1" presStyleCnt="0">
        <dgm:presLayoutVars>
          <dgm:chPref val="1"/>
          <dgm:dir/>
          <dgm:animOne val="branch"/>
          <dgm:animLvl val="lvl"/>
          <dgm:resizeHandles/>
        </dgm:presLayoutVars>
      </dgm:prSet>
      <dgm:spPr/>
    </dgm:pt>
    <dgm:pt modelId="{1B6208F2-A0FD-43EF-9F1C-F8ED1DCE6DCA}" type="pres">
      <dgm:prSet presAssocID="{E2486E5C-66D5-450C-B60E-5CE47D82583C}" presName="hierRoot1" presStyleCnt="0"/>
      <dgm:spPr/>
    </dgm:pt>
    <dgm:pt modelId="{6F214507-F10D-4E5C-A5B7-80630223B40C}" type="pres">
      <dgm:prSet presAssocID="{E2486E5C-66D5-450C-B60E-5CE47D82583C}" presName="composite" presStyleCnt="0"/>
      <dgm:spPr/>
    </dgm:pt>
    <dgm:pt modelId="{EA16DB4A-B4B0-47B6-9632-F62F9858960C}" type="pres">
      <dgm:prSet presAssocID="{E2486E5C-66D5-450C-B60E-5CE47D82583C}" presName="background" presStyleLbl="node0" presStyleIdx="0" presStyleCnt="1"/>
      <dgm:spPr/>
    </dgm:pt>
    <dgm:pt modelId="{54E4F7B4-787C-41FA-AD90-F90BAF9818EC}" type="pres">
      <dgm:prSet presAssocID="{E2486E5C-66D5-450C-B60E-5CE47D82583C}" presName="text" presStyleLbl="fgAcc0" presStyleIdx="0" presStyleCnt="1" custScaleX="193315">
        <dgm:presLayoutVars>
          <dgm:chPref val="3"/>
        </dgm:presLayoutVars>
      </dgm:prSet>
      <dgm:spPr/>
    </dgm:pt>
    <dgm:pt modelId="{F74B1B06-6E84-432E-A3EB-C4BE8B523442}" type="pres">
      <dgm:prSet presAssocID="{E2486E5C-66D5-450C-B60E-5CE47D82583C}" presName="hierChild2" presStyleCnt="0"/>
      <dgm:spPr/>
    </dgm:pt>
    <dgm:pt modelId="{E761AE56-CE90-4222-9960-4A0CDDF4E0BD}" type="pres">
      <dgm:prSet presAssocID="{2C004CD6-FB86-4F39-8779-DF27415DD1FD}" presName="Name10" presStyleLbl="parChTrans1D2" presStyleIdx="0" presStyleCnt="2"/>
      <dgm:spPr/>
    </dgm:pt>
    <dgm:pt modelId="{BA979169-4986-493B-98ED-67B945E741AA}" type="pres">
      <dgm:prSet presAssocID="{82A3A5CE-AE07-4435-A526-1E2479BDB1AD}" presName="hierRoot2" presStyleCnt="0"/>
      <dgm:spPr/>
    </dgm:pt>
    <dgm:pt modelId="{B3B1404F-78F7-4BEC-A490-02A2148E72E2}" type="pres">
      <dgm:prSet presAssocID="{82A3A5CE-AE07-4435-A526-1E2479BDB1AD}" presName="composite2" presStyleCnt="0"/>
      <dgm:spPr/>
    </dgm:pt>
    <dgm:pt modelId="{1C287013-79A2-420E-9ED2-58025FF106C4}" type="pres">
      <dgm:prSet presAssocID="{82A3A5CE-AE07-4435-A526-1E2479BDB1AD}" presName="background2" presStyleLbl="asst1" presStyleIdx="0" presStyleCnt="26">
        <dgm:style>
          <a:lnRef idx="1">
            <a:schemeClr val="accent3"/>
          </a:lnRef>
          <a:fillRef idx="2">
            <a:schemeClr val="accent3"/>
          </a:fillRef>
          <a:effectRef idx="1">
            <a:schemeClr val="accent3"/>
          </a:effectRef>
          <a:fontRef idx="minor">
            <a:schemeClr val="dk1"/>
          </a:fontRef>
        </dgm:style>
      </dgm:prSet>
      <dgm:spPr/>
    </dgm:pt>
    <dgm:pt modelId="{F12333DC-4CB8-457D-9E4B-BDD4C936F717}" type="pres">
      <dgm:prSet presAssocID="{82A3A5CE-AE07-4435-A526-1E2479BDB1AD}" presName="text2" presStyleLbl="fgAcc2" presStyleIdx="0" presStyleCnt="2">
        <dgm:presLayoutVars>
          <dgm:chPref val="3"/>
        </dgm:presLayoutVars>
      </dgm:prSet>
      <dgm:spPr/>
    </dgm:pt>
    <dgm:pt modelId="{71E9605C-0221-4E98-BB39-BD4F06C54A38}" type="pres">
      <dgm:prSet presAssocID="{82A3A5CE-AE07-4435-A526-1E2479BDB1AD}" presName="hierChild3" presStyleCnt="0"/>
      <dgm:spPr/>
    </dgm:pt>
    <dgm:pt modelId="{294BA3D9-6304-45BF-ACD1-4574C36C3731}" type="pres">
      <dgm:prSet presAssocID="{8DB8FE3A-01DF-4B90-94F0-CAFC35EEB1FF}" presName="Name17" presStyleLbl="parChTrans1D3" presStyleIdx="0" presStyleCnt="2"/>
      <dgm:spPr/>
    </dgm:pt>
    <dgm:pt modelId="{D9D6F5F9-3627-4C73-8FF9-CCF8035C0785}" type="pres">
      <dgm:prSet presAssocID="{3152955F-8D41-48E8-B3B9-DE3D919483CC}" presName="hierRoot3" presStyleCnt="0"/>
      <dgm:spPr/>
    </dgm:pt>
    <dgm:pt modelId="{2EA461BF-EDBA-4CD3-99E6-767B43940972}" type="pres">
      <dgm:prSet presAssocID="{3152955F-8D41-48E8-B3B9-DE3D919483CC}" presName="composite3" presStyleCnt="0"/>
      <dgm:spPr/>
    </dgm:pt>
    <dgm:pt modelId="{58ABD3B6-8397-436A-A3FE-FB61AFD9BC0A}" type="pres">
      <dgm:prSet presAssocID="{3152955F-8D41-48E8-B3B9-DE3D919483CC}" presName="background3" presStyleLbl="asst1" presStyleIdx="1" presStyleCnt="26">
        <dgm:style>
          <a:lnRef idx="1">
            <a:schemeClr val="accent1"/>
          </a:lnRef>
          <a:fillRef idx="2">
            <a:schemeClr val="accent1"/>
          </a:fillRef>
          <a:effectRef idx="1">
            <a:schemeClr val="accent1"/>
          </a:effectRef>
          <a:fontRef idx="minor">
            <a:schemeClr val="dk1"/>
          </a:fontRef>
        </dgm:style>
      </dgm:prSet>
      <dgm:spPr/>
    </dgm:pt>
    <dgm:pt modelId="{E06DA392-4121-48FE-898C-EA9B995AC736}" type="pres">
      <dgm:prSet presAssocID="{3152955F-8D41-48E8-B3B9-DE3D919483CC}" presName="text3" presStyleLbl="fgAcc3" presStyleIdx="0" presStyleCnt="2" custScaleX="193315">
        <dgm:presLayoutVars>
          <dgm:chPref val="3"/>
        </dgm:presLayoutVars>
      </dgm:prSet>
      <dgm:spPr/>
    </dgm:pt>
    <dgm:pt modelId="{6A542069-8A76-4FEA-BD0A-208234DA3C83}" type="pres">
      <dgm:prSet presAssocID="{3152955F-8D41-48E8-B3B9-DE3D919483CC}" presName="hierChild4" presStyleCnt="0"/>
      <dgm:spPr/>
    </dgm:pt>
    <dgm:pt modelId="{EEDE4305-6BEE-4567-8055-BF058B31F6AA}" type="pres">
      <dgm:prSet presAssocID="{3D73234C-9D62-4A2A-966B-E32D05F71CC6}" presName="Name23" presStyleLbl="parChTrans1D4" presStyleIdx="0" presStyleCnt="22"/>
      <dgm:spPr/>
    </dgm:pt>
    <dgm:pt modelId="{5C3B9705-73A2-40B9-A6CC-460DAECCBC0B}" type="pres">
      <dgm:prSet presAssocID="{6AE12DE2-FD80-4250-BA09-9C32EBA5C490}" presName="hierRoot4" presStyleCnt="0"/>
      <dgm:spPr/>
    </dgm:pt>
    <dgm:pt modelId="{B2D9E29A-6074-41B9-AA92-21A90B278CBC}" type="pres">
      <dgm:prSet presAssocID="{6AE12DE2-FD80-4250-BA09-9C32EBA5C490}" presName="composite4" presStyleCnt="0"/>
      <dgm:spPr/>
    </dgm:pt>
    <dgm:pt modelId="{99E397A4-D061-4294-8191-9D0C146B0CB0}" type="pres">
      <dgm:prSet presAssocID="{6AE12DE2-FD80-4250-BA09-9C32EBA5C490}" presName="background4" presStyleLbl="asst1" presStyleIdx="2" presStyleCnt="26">
        <dgm:style>
          <a:lnRef idx="1">
            <a:schemeClr val="accent3"/>
          </a:lnRef>
          <a:fillRef idx="2">
            <a:schemeClr val="accent3"/>
          </a:fillRef>
          <a:effectRef idx="1">
            <a:schemeClr val="accent3"/>
          </a:effectRef>
          <a:fontRef idx="minor">
            <a:schemeClr val="dk1"/>
          </a:fontRef>
        </dgm:style>
      </dgm:prSet>
      <dgm:spPr/>
    </dgm:pt>
    <dgm:pt modelId="{2DFED99B-A02C-40B9-82A6-E22AE7E6381C}" type="pres">
      <dgm:prSet presAssocID="{6AE12DE2-FD80-4250-BA09-9C32EBA5C490}" presName="text4" presStyleLbl="fgAcc4" presStyleIdx="0" presStyleCnt="22">
        <dgm:presLayoutVars>
          <dgm:chPref val="3"/>
        </dgm:presLayoutVars>
      </dgm:prSet>
      <dgm:spPr/>
    </dgm:pt>
    <dgm:pt modelId="{D4D65DBA-D597-4159-A80D-A92061FCFCCD}" type="pres">
      <dgm:prSet presAssocID="{6AE12DE2-FD80-4250-BA09-9C32EBA5C490}" presName="hierChild5" presStyleCnt="0"/>
      <dgm:spPr/>
    </dgm:pt>
    <dgm:pt modelId="{22C212A0-E478-4707-9DEF-DD491731E80B}" type="pres">
      <dgm:prSet presAssocID="{170250AC-7198-4D88-81B4-5B152852176D}" presName="Name23" presStyleLbl="parChTrans1D4" presStyleIdx="1" presStyleCnt="22"/>
      <dgm:spPr/>
    </dgm:pt>
    <dgm:pt modelId="{68A3E23D-7BB1-4FA0-B96A-A6FF03E62C7E}" type="pres">
      <dgm:prSet presAssocID="{B0FF6C84-0C0A-415F-949C-6CD058A2BB3E}" presName="hierRoot4" presStyleCnt="0"/>
      <dgm:spPr/>
    </dgm:pt>
    <dgm:pt modelId="{6E089F8A-D70A-4302-8396-AB6D97FCB2B9}" type="pres">
      <dgm:prSet presAssocID="{B0FF6C84-0C0A-415F-949C-6CD058A2BB3E}" presName="composite4" presStyleCnt="0"/>
      <dgm:spPr/>
    </dgm:pt>
    <dgm:pt modelId="{086AC636-8BD2-4D7D-BBD1-784A7432974E}" type="pres">
      <dgm:prSet presAssocID="{B0FF6C84-0C0A-415F-949C-6CD058A2BB3E}" presName="background4" presStyleLbl="asst1" presStyleIdx="3" presStyleCnt="26"/>
      <dgm:spPr/>
    </dgm:pt>
    <dgm:pt modelId="{8FE8AA0D-0029-40FD-A077-5942C1A64F35}" type="pres">
      <dgm:prSet presAssocID="{B0FF6C84-0C0A-415F-949C-6CD058A2BB3E}" presName="text4" presStyleLbl="fgAcc4" presStyleIdx="1" presStyleCnt="22" custScaleX="193315">
        <dgm:presLayoutVars>
          <dgm:chPref val="3"/>
        </dgm:presLayoutVars>
      </dgm:prSet>
      <dgm:spPr/>
    </dgm:pt>
    <dgm:pt modelId="{3CBB2438-D371-434B-B2AE-CA485B448223}" type="pres">
      <dgm:prSet presAssocID="{B0FF6C84-0C0A-415F-949C-6CD058A2BB3E}" presName="hierChild5" presStyleCnt="0"/>
      <dgm:spPr/>
    </dgm:pt>
    <dgm:pt modelId="{5EEAD4BE-C588-4CAC-B192-38D48297E445}" type="pres">
      <dgm:prSet presAssocID="{D6C8CB50-62DF-4DC3-82A3-EC44EA894923}" presName="Name23" presStyleLbl="parChTrans1D4" presStyleIdx="2" presStyleCnt="22"/>
      <dgm:spPr/>
    </dgm:pt>
    <dgm:pt modelId="{082DE7BA-FFDC-47FF-8AD8-CD5386054D3D}" type="pres">
      <dgm:prSet presAssocID="{95E14F67-23E0-463F-990B-0173FF9DC9C6}" presName="hierRoot4" presStyleCnt="0"/>
      <dgm:spPr/>
    </dgm:pt>
    <dgm:pt modelId="{A9BE7FA5-0ABC-4EE3-9711-19B1B2471228}" type="pres">
      <dgm:prSet presAssocID="{95E14F67-23E0-463F-990B-0173FF9DC9C6}" presName="composite4" presStyleCnt="0"/>
      <dgm:spPr/>
    </dgm:pt>
    <dgm:pt modelId="{2448E857-2D6C-404B-A975-6B5CAA3D17BB}" type="pres">
      <dgm:prSet presAssocID="{95E14F67-23E0-463F-990B-0173FF9DC9C6}" presName="background4" presStyleLbl="asst1" presStyleIdx="4" presStyleCnt="26">
        <dgm:style>
          <a:lnRef idx="1">
            <a:schemeClr val="accent3"/>
          </a:lnRef>
          <a:fillRef idx="2">
            <a:schemeClr val="accent3"/>
          </a:fillRef>
          <a:effectRef idx="1">
            <a:schemeClr val="accent3"/>
          </a:effectRef>
          <a:fontRef idx="minor">
            <a:schemeClr val="dk1"/>
          </a:fontRef>
        </dgm:style>
      </dgm:prSet>
      <dgm:spPr/>
    </dgm:pt>
    <dgm:pt modelId="{2D1D20DF-E31C-4195-800E-C284CACED65E}" type="pres">
      <dgm:prSet presAssocID="{95E14F67-23E0-463F-990B-0173FF9DC9C6}" presName="text4" presStyleLbl="fgAcc4" presStyleIdx="2" presStyleCnt="22">
        <dgm:presLayoutVars>
          <dgm:chPref val="3"/>
        </dgm:presLayoutVars>
      </dgm:prSet>
      <dgm:spPr/>
    </dgm:pt>
    <dgm:pt modelId="{7C318DF2-D308-4A66-8400-66C1A5181A77}" type="pres">
      <dgm:prSet presAssocID="{95E14F67-23E0-463F-990B-0173FF9DC9C6}" presName="hierChild5" presStyleCnt="0"/>
      <dgm:spPr/>
    </dgm:pt>
    <dgm:pt modelId="{164A8F10-E6C7-4C03-9534-7B87F218103D}" type="pres">
      <dgm:prSet presAssocID="{8C8B2C94-23AF-4CC7-9D43-1164ED1982A4}" presName="Name23" presStyleLbl="parChTrans1D4" presStyleIdx="3" presStyleCnt="22"/>
      <dgm:spPr/>
    </dgm:pt>
    <dgm:pt modelId="{29C8ACCF-1D0B-4834-9559-4BEEA8F8A58F}" type="pres">
      <dgm:prSet presAssocID="{E4655AD1-8D14-4047-A6B2-A283DB2CD62F}" presName="hierRoot4" presStyleCnt="0"/>
      <dgm:spPr/>
    </dgm:pt>
    <dgm:pt modelId="{AAA55036-D925-4B7D-85A5-57E9A6D6C7C6}" type="pres">
      <dgm:prSet presAssocID="{E4655AD1-8D14-4047-A6B2-A283DB2CD62F}" presName="composite4" presStyleCnt="0"/>
      <dgm:spPr/>
    </dgm:pt>
    <dgm:pt modelId="{F71F2237-E56A-4259-8A34-8825B6A735BB}" type="pres">
      <dgm:prSet presAssocID="{E4655AD1-8D14-4047-A6B2-A283DB2CD62F}" presName="background4" presStyleLbl="asst1" presStyleIdx="5" presStyleCnt="26">
        <dgm:style>
          <a:lnRef idx="1">
            <a:schemeClr val="accent2"/>
          </a:lnRef>
          <a:fillRef idx="2">
            <a:schemeClr val="accent2"/>
          </a:fillRef>
          <a:effectRef idx="1">
            <a:schemeClr val="accent2"/>
          </a:effectRef>
          <a:fontRef idx="minor">
            <a:schemeClr val="dk1"/>
          </a:fontRef>
        </dgm:style>
      </dgm:prSet>
      <dgm:spPr/>
    </dgm:pt>
    <dgm:pt modelId="{1FCEEEA3-A83E-4E3D-8721-FEB322BF53C3}" type="pres">
      <dgm:prSet presAssocID="{E4655AD1-8D14-4047-A6B2-A283DB2CD62F}" presName="text4" presStyleLbl="fgAcc4" presStyleIdx="3" presStyleCnt="22">
        <dgm:presLayoutVars>
          <dgm:chPref val="3"/>
        </dgm:presLayoutVars>
      </dgm:prSet>
      <dgm:spPr/>
    </dgm:pt>
    <dgm:pt modelId="{50FCFD47-3DAD-4AB9-940D-CFFEE6273F98}" type="pres">
      <dgm:prSet presAssocID="{E4655AD1-8D14-4047-A6B2-A283DB2CD62F}" presName="hierChild5" presStyleCnt="0"/>
      <dgm:spPr/>
    </dgm:pt>
    <dgm:pt modelId="{149BA2CA-F2AA-4107-852C-3CCC7C537E4E}" type="pres">
      <dgm:prSet presAssocID="{B27D51C8-72A3-4E50-8CAD-139C54C69623}" presName="Name23" presStyleLbl="parChTrans1D4" presStyleIdx="4" presStyleCnt="22"/>
      <dgm:spPr/>
    </dgm:pt>
    <dgm:pt modelId="{7FAD321A-4D85-4972-B6B5-3EB54942BDE1}" type="pres">
      <dgm:prSet presAssocID="{5B57FB61-4EDD-4458-87CE-70E1EEFF57E4}" presName="hierRoot4" presStyleCnt="0"/>
      <dgm:spPr/>
    </dgm:pt>
    <dgm:pt modelId="{1C735934-9E59-46B2-920E-F8BC58001CDD}" type="pres">
      <dgm:prSet presAssocID="{5B57FB61-4EDD-4458-87CE-70E1EEFF57E4}" presName="composite4" presStyleCnt="0"/>
      <dgm:spPr/>
    </dgm:pt>
    <dgm:pt modelId="{59A00DA6-4271-42E4-A393-2D8BAE0EFCC6}" type="pres">
      <dgm:prSet presAssocID="{5B57FB61-4EDD-4458-87CE-70E1EEFF57E4}" presName="background4" presStyleLbl="asst1" presStyleIdx="6" presStyleCnt="26">
        <dgm:style>
          <a:lnRef idx="1">
            <a:schemeClr val="accent4"/>
          </a:lnRef>
          <a:fillRef idx="2">
            <a:schemeClr val="accent4"/>
          </a:fillRef>
          <a:effectRef idx="1">
            <a:schemeClr val="accent4"/>
          </a:effectRef>
          <a:fontRef idx="minor">
            <a:schemeClr val="dk1"/>
          </a:fontRef>
        </dgm:style>
      </dgm:prSet>
      <dgm:spPr/>
    </dgm:pt>
    <dgm:pt modelId="{983596D4-044E-411E-95A7-AE9C4EAB624C}" type="pres">
      <dgm:prSet presAssocID="{5B57FB61-4EDD-4458-87CE-70E1EEFF57E4}" presName="text4" presStyleLbl="fgAcc4" presStyleIdx="4" presStyleCnt="22" custScaleY="250994">
        <dgm:presLayoutVars>
          <dgm:chPref val="3"/>
        </dgm:presLayoutVars>
      </dgm:prSet>
      <dgm:spPr/>
    </dgm:pt>
    <dgm:pt modelId="{2CA83E1A-0DFB-4EB9-9DC2-E96F6A9350FC}" type="pres">
      <dgm:prSet presAssocID="{5B57FB61-4EDD-4458-87CE-70E1EEFF57E4}" presName="hierChild5" presStyleCnt="0"/>
      <dgm:spPr/>
    </dgm:pt>
    <dgm:pt modelId="{5E95D2B6-6701-42DA-A99E-865D17C6BC6B}" type="pres">
      <dgm:prSet presAssocID="{C9ABB819-282E-49A3-9E9A-884BE4034F37}" presName="Name23" presStyleLbl="parChTrans1D4" presStyleIdx="5" presStyleCnt="22"/>
      <dgm:spPr/>
    </dgm:pt>
    <dgm:pt modelId="{9458BE09-EDCE-4CF1-B48E-DD44F34E6F49}" type="pres">
      <dgm:prSet presAssocID="{DD21DEE8-7635-4A26-95E3-DFE043F45C15}" presName="hierRoot4" presStyleCnt="0"/>
      <dgm:spPr/>
    </dgm:pt>
    <dgm:pt modelId="{49CBB21E-BAD8-472A-A78F-0D768EFB2315}" type="pres">
      <dgm:prSet presAssocID="{DD21DEE8-7635-4A26-95E3-DFE043F45C15}" presName="composite4" presStyleCnt="0"/>
      <dgm:spPr/>
    </dgm:pt>
    <dgm:pt modelId="{86437429-71F8-48E7-B4DA-1377EB9EC492}" type="pres">
      <dgm:prSet presAssocID="{DD21DEE8-7635-4A26-95E3-DFE043F45C15}" presName="background4" presStyleLbl="asst1" presStyleIdx="7" presStyleCnt="26">
        <dgm:style>
          <a:lnRef idx="1">
            <a:schemeClr val="accent3"/>
          </a:lnRef>
          <a:fillRef idx="2">
            <a:schemeClr val="accent3"/>
          </a:fillRef>
          <a:effectRef idx="1">
            <a:schemeClr val="accent3"/>
          </a:effectRef>
          <a:fontRef idx="minor">
            <a:schemeClr val="dk1"/>
          </a:fontRef>
        </dgm:style>
      </dgm:prSet>
      <dgm:spPr/>
    </dgm:pt>
    <dgm:pt modelId="{6E265304-F110-4345-90DE-C8CF71CFA32D}" type="pres">
      <dgm:prSet presAssocID="{DD21DEE8-7635-4A26-95E3-DFE043F45C15}" presName="text4" presStyleLbl="fgAcc4" presStyleIdx="5" presStyleCnt="22">
        <dgm:presLayoutVars>
          <dgm:chPref val="3"/>
        </dgm:presLayoutVars>
      </dgm:prSet>
      <dgm:spPr/>
    </dgm:pt>
    <dgm:pt modelId="{DF8B5504-A222-4A79-AFEA-2323CF6D7DFA}" type="pres">
      <dgm:prSet presAssocID="{DD21DEE8-7635-4A26-95E3-DFE043F45C15}" presName="hierChild5" presStyleCnt="0"/>
      <dgm:spPr/>
    </dgm:pt>
    <dgm:pt modelId="{0FC271BB-A521-4B8F-A802-BFB1BD77852C}" type="pres">
      <dgm:prSet presAssocID="{2C899149-66BD-4205-B6F8-21B8E3EA0D9C}" presName="Name23" presStyleLbl="parChTrans1D4" presStyleIdx="6" presStyleCnt="22"/>
      <dgm:spPr/>
    </dgm:pt>
    <dgm:pt modelId="{03267ECB-1A73-4D62-80EC-055A980E3D7D}" type="pres">
      <dgm:prSet presAssocID="{82A42CAE-C2DD-4BC7-B846-B7FA77A69A31}" presName="hierRoot4" presStyleCnt="0"/>
      <dgm:spPr/>
    </dgm:pt>
    <dgm:pt modelId="{DB0E4800-4D91-4B7C-A5D1-C13B8F2E6BC8}" type="pres">
      <dgm:prSet presAssocID="{82A42CAE-C2DD-4BC7-B846-B7FA77A69A31}" presName="composite4" presStyleCnt="0"/>
      <dgm:spPr/>
    </dgm:pt>
    <dgm:pt modelId="{73823A58-CA92-4F0A-BEC1-FFE87CF7C155}" type="pres">
      <dgm:prSet presAssocID="{82A42CAE-C2DD-4BC7-B846-B7FA77A69A31}" presName="background4" presStyleLbl="asst1" presStyleIdx="8" presStyleCnt="26"/>
      <dgm:spPr/>
    </dgm:pt>
    <dgm:pt modelId="{58AE3842-256C-4786-BB3B-A3F59B4878E8}" type="pres">
      <dgm:prSet presAssocID="{82A42CAE-C2DD-4BC7-B846-B7FA77A69A31}" presName="text4" presStyleLbl="fgAcc4" presStyleIdx="6" presStyleCnt="22" custScaleX="194556">
        <dgm:presLayoutVars>
          <dgm:chPref val="3"/>
        </dgm:presLayoutVars>
      </dgm:prSet>
      <dgm:spPr/>
    </dgm:pt>
    <dgm:pt modelId="{8CA2330E-D8D1-49B8-B5E2-013D433472CA}" type="pres">
      <dgm:prSet presAssocID="{82A42CAE-C2DD-4BC7-B846-B7FA77A69A31}" presName="hierChild5" presStyleCnt="0"/>
      <dgm:spPr/>
    </dgm:pt>
    <dgm:pt modelId="{4CBD6ED2-EC1E-42B4-BC3A-52CED455D5D0}" type="pres">
      <dgm:prSet presAssocID="{70B9E2A9-85C0-4ECD-AB69-5B840A5C8569}" presName="Name23" presStyleLbl="parChTrans1D4" presStyleIdx="7" presStyleCnt="22"/>
      <dgm:spPr/>
    </dgm:pt>
    <dgm:pt modelId="{2B779DAF-0DFB-4214-99DA-72B04C4DB6DB}" type="pres">
      <dgm:prSet presAssocID="{6E5E9362-F65C-4101-A516-6F2846FF8A6C}" presName="hierRoot4" presStyleCnt="0"/>
      <dgm:spPr/>
    </dgm:pt>
    <dgm:pt modelId="{E5D3A435-19FE-4D57-8D11-76F2FBFB6DFF}" type="pres">
      <dgm:prSet presAssocID="{6E5E9362-F65C-4101-A516-6F2846FF8A6C}" presName="composite4" presStyleCnt="0"/>
      <dgm:spPr/>
    </dgm:pt>
    <dgm:pt modelId="{FB94D9FC-6C10-459B-B7E6-C5DB71B85728}" type="pres">
      <dgm:prSet presAssocID="{6E5E9362-F65C-4101-A516-6F2846FF8A6C}" presName="background4" presStyleLbl="asst1" presStyleIdx="9" presStyleCnt="26">
        <dgm:style>
          <a:lnRef idx="1">
            <a:schemeClr val="accent3"/>
          </a:lnRef>
          <a:fillRef idx="2">
            <a:schemeClr val="accent3"/>
          </a:fillRef>
          <a:effectRef idx="1">
            <a:schemeClr val="accent3"/>
          </a:effectRef>
          <a:fontRef idx="minor">
            <a:schemeClr val="dk1"/>
          </a:fontRef>
        </dgm:style>
      </dgm:prSet>
      <dgm:spPr/>
    </dgm:pt>
    <dgm:pt modelId="{A9BB4B6D-B6CD-4984-8673-165A873C9ECB}" type="pres">
      <dgm:prSet presAssocID="{6E5E9362-F65C-4101-A516-6F2846FF8A6C}" presName="text4" presStyleLbl="fgAcc4" presStyleIdx="7" presStyleCnt="22">
        <dgm:presLayoutVars>
          <dgm:chPref val="3"/>
        </dgm:presLayoutVars>
      </dgm:prSet>
      <dgm:spPr/>
    </dgm:pt>
    <dgm:pt modelId="{8ADD7D29-8BBA-4E81-A500-0DB9A16EBA37}" type="pres">
      <dgm:prSet presAssocID="{6E5E9362-F65C-4101-A516-6F2846FF8A6C}" presName="hierChild5" presStyleCnt="0"/>
      <dgm:spPr/>
    </dgm:pt>
    <dgm:pt modelId="{031099C9-261A-4E39-97EA-DC99D4F293E0}" type="pres">
      <dgm:prSet presAssocID="{68BBC084-2CA7-4022-9BE9-8F2574AB6039}" presName="Name23" presStyleLbl="parChTrans1D4" presStyleIdx="8" presStyleCnt="22"/>
      <dgm:spPr/>
    </dgm:pt>
    <dgm:pt modelId="{0EFF523D-071C-42E3-90A0-D6F36BE7F36C}" type="pres">
      <dgm:prSet presAssocID="{53F0FAF3-6D8B-4B68-B1D4-E6FED25D3C2A}" presName="hierRoot4" presStyleCnt="0"/>
      <dgm:spPr/>
    </dgm:pt>
    <dgm:pt modelId="{57E0BD6C-87F7-491E-AF88-2F29B410E1E3}" type="pres">
      <dgm:prSet presAssocID="{53F0FAF3-6D8B-4B68-B1D4-E6FED25D3C2A}" presName="composite4" presStyleCnt="0"/>
      <dgm:spPr/>
    </dgm:pt>
    <dgm:pt modelId="{94CC134E-6229-4ADB-A4B6-135B656712EA}" type="pres">
      <dgm:prSet presAssocID="{53F0FAF3-6D8B-4B68-B1D4-E6FED25D3C2A}" presName="background4" presStyleLbl="asst1" presStyleIdx="10" presStyleCnt="26">
        <dgm:style>
          <a:lnRef idx="1">
            <a:schemeClr val="accent6"/>
          </a:lnRef>
          <a:fillRef idx="2">
            <a:schemeClr val="accent6"/>
          </a:fillRef>
          <a:effectRef idx="1">
            <a:schemeClr val="accent6"/>
          </a:effectRef>
          <a:fontRef idx="minor">
            <a:schemeClr val="dk1"/>
          </a:fontRef>
        </dgm:style>
      </dgm:prSet>
      <dgm:spPr/>
    </dgm:pt>
    <dgm:pt modelId="{FAFB380D-5DCC-492C-9076-F56BDD0E0924}" type="pres">
      <dgm:prSet presAssocID="{53F0FAF3-6D8B-4B68-B1D4-E6FED25D3C2A}" presName="text4" presStyleLbl="fgAcc4" presStyleIdx="8" presStyleCnt="22">
        <dgm:presLayoutVars>
          <dgm:chPref val="3"/>
        </dgm:presLayoutVars>
      </dgm:prSet>
      <dgm:spPr/>
    </dgm:pt>
    <dgm:pt modelId="{B2AEF6C1-E3EA-4637-B369-546ACF72C896}" type="pres">
      <dgm:prSet presAssocID="{53F0FAF3-6D8B-4B68-B1D4-E6FED25D3C2A}" presName="hierChild5" presStyleCnt="0"/>
      <dgm:spPr/>
    </dgm:pt>
    <dgm:pt modelId="{FB2D0DD8-E41C-4046-B37E-8D68A3A657E1}" type="pres">
      <dgm:prSet presAssocID="{4086D9C4-76F1-4D87-B7EA-50563658E20A}" presName="Name23" presStyleLbl="parChTrans1D4" presStyleIdx="9" presStyleCnt="22"/>
      <dgm:spPr/>
    </dgm:pt>
    <dgm:pt modelId="{339003F8-179B-45C2-BF67-29666456FF0E}" type="pres">
      <dgm:prSet presAssocID="{F2380881-D391-4647-AAD3-62425485075B}" presName="hierRoot4" presStyleCnt="0"/>
      <dgm:spPr/>
    </dgm:pt>
    <dgm:pt modelId="{092E271C-DD1B-476F-ADE0-0159074AD4CD}" type="pres">
      <dgm:prSet presAssocID="{F2380881-D391-4647-AAD3-62425485075B}" presName="composite4" presStyleCnt="0"/>
      <dgm:spPr/>
    </dgm:pt>
    <dgm:pt modelId="{6EBEBEF6-6227-4098-A9BE-9EDA6BC92228}" type="pres">
      <dgm:prSet presAssocID="{F2380881-D391-4647-AAD3-62425485075B}" presName="background4" presStyleLbl="asst1" presStyleIdx="11" presStyleCnt="26">
        <dgm:style>
          <a:lnRef idx="1">
            <a:schemeClr val="accent3"/>
          </a:lnRef>
          <a:fillRef idx="2">
            <a:schemeClr val="accent3"/>
          </a:fillRef>
          <a:effectRef idx="1">
            <a:schemeClr val="accent3"/>
          </a:effectRef>
          <a:fontRef idx="minor">
            <a:schemeClr val="dk1"/>
          </a:fontRef>
        </dgm:style>
      </dgm:prSet>
      <dgm:spPr/>
    </dgm:pt>
    <dgm:pt modelId="{D1FFFED2-0C36-4B70-8589-E8560BB374D5}" type="pres">
      <dgm:prSet presAssocID="{F2380881-D391-4647-AAD3-62425485075B}" presName="text4" presStyleLbl="fgAcc4" presStyleIdx="9" presStyleCnt="22">
        <dgm:presLayoutVars>
          <dgm:chPref val="3"/>
        </dgm:presLayoutVars>
      </dgm:prSet>
      <dgm:spPr/>
    </dgm:pt>
    <dgm:pt modelId="{EDE7CC07-151C-42EC-8C18-51BD1E901CD9}" type="pres">
      <dgm:prSet presAssocID="{F2380881-D391-4647-AAD3-62425485075B}" presName="hierChild5" presStyleCnt="0"/>
      <dgm:spPr/>
    </dgm:pt>
    <dgm:pt modelId="{7B2FE881-08BD-4B64-93DC-1B6912F78B89}" type="pres">
      <dgm:prSet presAssocID="{5B47B43F-8D56-4690-92AC-E47A19B33DE3}" presName="Name23" presStyleLbl="parChTrans1D4" presStyleIdx="10" presStyleCnt="22"/>
      <dgm:spPr/>
    </dgm:pt>
    <dgm:pt modelId="{E9D71B97-4757-468E-8153-E1E9C5345055}" type="pres">
      <dgm:prSet presAssocID="{CE4415E1-AF94-47BA-B8B3-29C5FE4649E3}" presName="hierRoot4" presStyleCnt="0"/>
      <dgm:spPr/>
    </dgm:pt>
    <dgm:pt modelId="{13780419-7709-48B4-9DA4-1009C630AA69}" type="pres">
      <dgm:prSet presAssocID="{CE4415E1-AF94-47BA-B8B3-29C5FE4649E3}" presName="composite4" presStyleCnt="0"/>
      <dgm:spPr/>
    </dgm:pt>
    <dgm:pt modelId="{568FEB13-0A89-496F-827B-CC14E8DFAE75}" type="pres">
      <dgm:prSet presAssocID="{CE4415E1-AF94-47BA-B8B3-29C5FE4649E3}" presName="background4" presStyleLbl="asst1" presStyleIdx="12" presStyleCnt="26">
        <dgm:style>
          <a:lnRef idx="1">
            <a:schemeClr val="accent2"/>
          </a:lnRef>
          <a:fillRef idx="2">
            <a:schemeClr val="accent2"/>
          </a:fillRef>
          <a:effectRef idx="1">
            <a:schemeClr val="accent2"/>
          </a:effectRef>
          <a:fontRef idx="minor">
            <a:schemeClr val="dk1"/>
          </a:fontRef>
        </dgm:style>
      </dgm:prSet>
      <dgm:spPr/>
    </dgm:pt>
    <dgm:pt modelId="{BED0D3CA-C679-4D98-8ED0-994D8BB3EEAF}" type="pres">
      <dgm:prSet presAssocID="{CE4415E1-AF94-47BA-B8B3-29C5FE4649E3}" presName="text4" presStyleLbl="fgAcc4" presStyleIdx="10" presStyleCnt="22">
        <dgm:presLayoutVars>
          <dgm:chPref val="3"/>
        </dgm:presLayoutVars>
      </dgm:prSet>
      <dgm:spPr/>
    </dgm:pt>
    <dgm:pt modelId="{FA22AC78-0DA3-43FC-A7DC-4E934442560F}" type="pres">
      <dgm:prSet presAssocID="{CE4415E1-AF94-47BA-B8B3-29C5FE4649E3}" presName="hierChild5" presStyleCnt="0"/>
      <dgm:spPr/>
    </dgm:pt>
    <dgm:pt modelId="{4264E664-AAEB-46E6-BC0D-9254B6CC1F1D}" type="pres">
      <dgm:prSet presAssocID="{79D7A88F-9E19-4106-B707-F7D56D9A11FE}" presName="Name23" presStyleLbl="parChTrans1D4" presStyleIdx="11" presStyleCnt="22"/>
      <dgm:spPr/>
    </dgm:pt>
    <dgm:pt modelId="{A9EAF665-CC0B-403C-B98D-A8E39B0359F7}" type="pres">
      <dgm:prSet presAssocID="{21B3C766-61FD-42DE-B110-714E778DE023}" presName="hierRoot4" presStyleCnt="0"/>
      <dgm:spPr/>
    </dgm:pt>
    <dgm:pt modelId="{6A1BF725-3DE1-453D-A08C-A88F61CEFBBB}" type="pres">
      <dgm:prSet presAssocID="{21B3C766-61FD-42DE-B110-714E778DE023}" presName="composite4" presStyleCnt="0"/>
      <dgm:spPr/>
    </dgm:pt>
    <dgm:pt modelId="{9DE28170-34DD-4FB6-BF21-5AA679580E46}" type="pres">
      <dgm:prSet presAssocID="{21B3C766-61FD-42DE-B110-714E778DE023}" presName="background4" presStyleLbl="asst1" presStyleIdx="13" presStyleCnt="26">
        <dgm:style>
          <a:lnRef idx="1">
            <a:schemeClr val="accent3"/>
          </a:lnRef>
          <a:fillRef idx="2">
            <a:schemeClr val="accent3"/>
          </a:fillRef>
          <a:effectRef idx="1">
            <a:schemeClr val="accent3"/>
          </a:effectRef>
          <a:fontRef idx="minor">
            <a:schemeClr val="dk1"/>
          </a:fontRef>
        </dgm:style>
      </dgm:prSet>
      <dgm:spPr/>
    </dgm:pt>
    <dgm:pt modelId="{663049B5-6373-4B77-BC4A-D7342C3C1747}" type="pres">
      <dgm:prSet presAssocID="{21B3C766-61FD-42DE-B110-714E778DE023}" presName="text4" presStyleLbl="fgAcc4" presStyleIdx="11" presStyleCnt="22">
        <dgm:presLayoutVars>
          <dgm:chPref val="3"/>
        </dgm:presLayoutVars>
      </dgm:prSet>
      <dgm:spPr/>
    </dgm:pt>
    <dgm:pt modelId="{F39FFA75-4358-4824-BCC6-168BAAED13CD}" type="pres">
      <dgm:prSet presAssocID="{21B3C766-61FD-42DE-B110-714E778DE023}" presName="hierChild5" presStyleCnt="0"/>
      <dgm:spPr/>
    </dgm:pt>
    <dgm:pt modelId="{6180C9E9-9E17-4315-9D4C-75C2DD06707D}" type="pres">
      <dgm:prSet presAssocID="{909845D9-1A1D-4D7C-8BA0-625111171C87}" presName="Name23" presStyleLbl="parChTrans1D4" presStyleIdx="12" presStyleCnt="22"/>
      <dgm:spPr/>
    </dgm:pt>
    <dgm:pt modelId="{17B4EE6E-00C6-44B3-B85A-DFF2B7EA0A5D}" type="pres">
      <dgm:prSet presAssocID="{A18C2219-4F13-4AFC-AA94-9A87EDCBB93E}" presName="hierRoot4" presStyleCnt="0"/>
      <dgm:spPr/>
    </dgm:pt>
    <dgm:pt modelId="{61F1567F-725B-403E-90B9-DECB0B6F1C26}" type="pres">
      <dgm:prSet presAssocID="{A18C2219-4F13-4AFC-AA94-9A87EDCBB93E}" presName="composite4" presStyleCnt="0"/>
      <dgm:spPr/>
    </dgm:pt>
    <dgm:pt modelId="{F2850B31-A576-485A-BD32-7B2DC2EFD52D}" type="pres">
      <dgm:prSet presAssocID="{A18C2219-4F13-4AFC-AA94-9A87EDCBB93E}" presName="background4" presStyleLbl="asst1" presStyleIdx="14" presStyleCnt="26">
        <dgm:style>
          <a:lnRef idx="1">
            <a:schemeClr val="accent2"/>
          </a:lnRef>
          <a:fillRef idx="2">
            <a:schemeClr val="accent2"/>
          </a:fillRef>
          <a:effectRef idx="1">
            <a:schemeClr val="accent2"/>
          </a:effectRef>
          <a:fontRef idx="minor">
            <a:schemeClr val="dk1"/>
          </a:fontRef>
        </dgm:style>
      </dgm:prSet>
      <dgm:spPr/>
    </dgm:pt>
    <dgm:pt modelId="{6B701666-03A1-4D1C-B1A0-FCCECB0541C5}" type="pres">
      <dgm:prSet presAssocID="{A18C2219-4F13-4AFC-AA94-9A87EDCBB93E}" presName="text4" presStyleLbl="fgAcc4" presStyleIdx="12" presStyleCnt="22">
        <dgm:presLayoutVars>
          <dgm:chPref val="3"/>
        </dgm:presLayoutVars>
      </dgm:prSet>
      <dgm:spPr/>
    </dgm:pt>
    <dgm:pt modelId="{DC96A396-DF5A-4E95-8E6B-26D5CA1A0836}" type="pres">
      <dgm:prSet presAssocID="{A18C2219-4F13-4AFC-AA94-9A87EDCBB93E}" presName="hierChild5" presStyleCnt="0"/>
      <dgm:spPr/>
    </dgm:pt>
    <dgm:pt modelId="{C505A66B-724E-4F1B-9887-F6299AEDC661}" type="pres">
      <dgm:prSet presAssocID="{401A1BBC-75E1-443D-91CD-FFB33BFF7A47}" presName="Name10" presStyleLbl="parChTrans1D2" presStyleIdx="1" presStyleCnt="2"/>
      <dgm:spPr/>
    </dgm:pt>
    <dgm:pt modelId="{2DED8B87-063B-4E1A-97C0-B47DC50A5DCE}" type="pres">
      <dgm:prSet presAssocID="{D33D6565-38A6-47C3-B33F-6B319A64BF6A}" presName="hierRoot2" presStyleCnt="0"/>
      <dgm:spPr/>
    </dgm:pt>
    <dgm:pt modelId="{28C219AB-CF58-4ABE-8B5D-BD9B04EF4160}" type="pres">
      <dgm:prSet presAssocID="{D33D6565-38A6-47C3-B33F-6B319A64BF6A}" presName="composite2" presStyleCnt="0"/>
      <dgm:spPr/>
    </dgm:pt>
    <dgm:pt modelId="{1421A347-00D4-41B7-9BFB-B40D67ED16C4}" type="pres">
      <dgm:prSet presAssocID="{D33D6565-38A6-47C3-B33F-6B319A64BF6A}" presName="background2" presStyleLbl="asst1" presStyleIdx="15" presStyleCnt="26">
        <dgm:style>
          <a:lnRef idx="1">
            <a:schemeClr val="accent3"/>
          </a:lnRef>
          <a:fillRef idx="2">
            <a:schemeClr val="accent3"/>
          </a:fillRef>
          <a:effectRef idx="1">
            <a:schemeClr val="accent3"/>
          </a:effectRef>
          <a:fontRef idx="minor">
            <a:schemeClr val="dk1"/>
          </a:fontRef>
        </dgm:style>
      </dgm:prSet>
      <dgm:spPr/>
    </dgm:pt>
    <dgm:pt modelId="{3C0026CB-570D-4FB6-9D91-1115855B4CC7}" type="pres">
      <dgm:prSet presAssocID="{D33D6565-38A6-47C3-B33F-6B319A64BF6A}" presName="text2" presStyleLbl="fgAcc2" presStyleIdx="1" presStyleCnt="2">
        <dgm:presLayoutVars>
          <dgm:chPref val="3"/>
        </dgm:presLayoutVars>
      </dgm:prSet>
      <dgm:spPr/>
    </dgm:pt>
    <dgm:pt modelId="{86EAB9DD-EF71-4B7A-AB0F-40AC90BC62C5}" type="pres">
      <dgm:prSet presAssocID="{D33D6565-38A6-47C3-B33F-6B319A64BF6A}" presName="hierChild3" presStyleCnt="0"/>
      <dgm:spPr/>
    </dgm:pt>
    <dgm:pt modelId="{1FE43F7B-EE3B-4757-AF33-557237C55B00}" type="pres">
      <dgm:prSet presAssocID="{F9BA189A-1391-4B84-AAA9-55F3B6D5FA4B}" presName="Name17" presStyleLbl="parChTrans1D3" presStyleIdx="1" presStyleCnt="2"/>
      <dgm:spPr/>
    </dgm:pt>
    <dgm:pt modelId="{AAD141C1-AC04-491A-8FAD-7EBDE95DC36A}" type="pres">
      <dgm:prSet presAssocID="{05213EA8-EA42-4065-91F0-3AF50A1606DA}" presName="hierRoot3" presStyleCnt="0"/>
      <dgm:spPr/>
    </dgm:pt>
    <dgm:pt modelId="{F93479CE-27AD-4781-9C43-2125C5AC96F4}" type="pres">
      <dgm:prSet presAssocID="{05213EA8-EA42-4065-91F0-3AF50A1606DA}" presName="composite3" presStyleCnt="0"/>
      <dgm:spPr/>
    </dgm:pt>
    <dgm:pt modelId="{D5E99A19-C8D5-472B-AE7D-C5FE521CD0E3}" type="pres">
      <dgm:prSet presAssocID="{05213EA8-EA42-4065-91F0-3AF50A1606DA}" presName="background3" presStyleLbl="asst1" presStyleIdx="16" presStyleCnt="26">
        <dgm:style>
          <a:lnRef idx="1">
            <a:schemeClr val="accent1"/>
          </a:lnRef>
          <a:fillRef idx="2">
            <a:schemeClr val="accent1"/>
          </a:fillRef>
          <a:effectRef idx="1">
            <a:schemeClr val="accent1"/>
          </a:effectRef>
          <a:fontRef idx="minor">
            <a:schemeClr val="dk1"/>
          </a:fontRef>
        </dgm:style>
      </dgm:prSet>
      <dgm:spPr/>
    </dgm:pt>
    <dgm:pt modelId="{7435D853-5424-4E00-976A-AB43151198DC}" type="pres">
      <dgm:prSet presAssocID="{05213EA8-EA42-4065-91F0-3AF50A1606DA}" presName="text3" presStyleLbl="fgAcc3" presStyleIdx="1" presStyleCnt="2" custScaleX="193315">
        <dgm:presLayoutVars>
          <dgm:chPref val="3"/>
        </dgm:presLayoutVars>
      </dgm:prSet>
      <dgm:spPr/>
    </dgm:pt>
    <dgm:pt modelId="{8F66414B-0CD8-4205-B7F6-66E45C10BE01}" type="pres">
      <dgm:prSet presAssocID="{05213EA8-EA42-4065-91F0-3AF50A1606DA}" presName="hierChild4" presStyleCnt="0"/>
      <dgm:spPr/>
    </dgm:pt>
    <dgm:pt modelId="{8412DFCD-B9EC-4DFA-ADBD-11DB3FCCD6F5}" type="pres">
      <dgm:prSet presAssocID="{2C20AC21-D271-4423-99D6-52F87059DF50}" presName="Name23" presStyleLbl="parChTrans1D4" presStyleIdx="13" presStyleCnt="22"/>
      <dgm:spPr/>
    </dgm:pt>
    <dgm:pt modelId="{CB106C75-838D-429E-B78D-C5B181CEFA82}" type="pres">
      <dgm:prSet presAssocID="{E4AEAAA2-8B83-4B8B-B8C9-F53F8A266480}" presName="hierRoot4" presStyleCnt="0"/>
      <dgm:spPr/>
    </dgm:pt>
    <dgm:pt modelId="{1F84D19C-3A7C-4299-B418-828F0103D580}" type="pres">
      <dgm:prSet presAssocID="{E4AEAAA2-8B83-4B8B-B8C9-F53F8A266480}" presName="composite4" presStyleCnt="0"/>
      <dgm:spPr/>
    </dgm:pt>
    <dgm:pt modelId="{753C62EC-C1AB-4CED-BE5B-38381CDE299C}" type="pres">
      <dgm:prSet presAssocID="{E4AEAAA2-8B83-4B8B-B8C9-F53F8A266480}" presName="background4" presStyleLbl="asst1" presStyleIdx="17" presStyleCnt="26">
        <dgm:style>
          <a:lnRef idx="1">
            <a:schemeClr val="accent3"/>
          </a:lnRef>
          <a:fillRef idx="2">
            <a:schemeClr val="accent3"/>
          </a:fillRef>
          <a:effectRef idx="1">
            <a:schemeClr val="accent3"/>
          </a:effectRef>
          <a:fontRef idx="minor">
            <a:schemeClr val="dk1"/>
          </a:fontRef>
        </dgm:style>
      </dgm:prSet>
      <dgm:spPr/>
    </dgm:pt>
    <dgm:pt modelId="{D7DF41A5-A564-42D1-BBD1-5C26F51BBE40}" type="pres">
      <dgm:prSet presAssocID="{E4AEAAA2-8B83-4B8B-B8C9-F53F8A266480}" presName="text4" presStyleLbl="fgAcc4" presStyleIdx="13" presStyleCnt="22">
        <dgm:presLayoutVars>
          <dgm:chPref val="3"/>
        </dgm:presLayoutVars>
      </dgm:prSet>
      <dgm:spPr/>
    </dgm:pt>
    <dgm:pt modelId="{B1D3488D-F4E5-42FA-BC2A-9000059B4B54}" type="pres">
      <dgm:prSet presAssocID="{E4AEAAA2-8B83-4B8B-B8C9-F53F8A266480}" presName="hierChild5" presStyleCnt="0"/>
      <dgm:spPr/>
    </dgm:pt>
    <dgm:pt modelId="{4A363771-E962-44A4-8D98-D48AF729C001}" type="pres">
      <dgm:prSet presAssocID="{B9AC7CD1-EE89-426D-BBF6-AAF638F8B6AB}" presName="Name23" presStyleLbl="parChTrans1D4" presStyleIdx="14" presStyleCnt="22"/>
      <dgm:spPr/>
    </dgm:pt>
    <dgm:pt modelId="{13BB8512-1202-458F-A2A2-32CE7FD29AC5}" type="pres">
      <dgm:prSet presAssocID="{D210E5C4-9340-461D-893E-EA85904B793F}" presName="hierRoot4" presStyleCnt="0"/>
      <dgm:spPr/>
    </dgm:pt>
    <dgm:pt modelId="{89D1512F-41B9-48D4-9C07-A3DED3ED9A31}" type="pres">
      <dgm:prSet presAssocID="{D210E5C4-9340-461D-893E-EA85904B793F}" presName="composite4" presStyleCnt="0"/>
      <dgm:spPr/>
    </dgm:pt>
    <dgm:pt modelId="{CB057AD0-9676-491C-B1BE-6BB9F9E31356}" type="pres">
      <dgm:prSet presAssocID="{D210E5C4-9340-461D-893E-EA85904B793F}" presName="background4" presStyleLbl="asst1" presStyleIdx="18" presStyleCnt="26">
        <dgm:style>
          <a:lnRef idx="1">
            <a:schemeClr val="accent2"/>
          </a:lnRef>
          <a:fillRef idx="2">
            <a:schemeClr val="accent2"/>
          </a:fillRef>
          <a:effectRef idx="1">
            <a:schemeClr val="accent2"/>
          </a:effectRef>
          <a:fontRef idx="minor">
            <a:schemeClr val="dk1"/>
          </a:fontRef>
        </dgm:style>
      </dgm:prSet>
      <dgm:spPr/>
    </dgm:pt>
    <dgm:pt modelId="{ED7B5BEE-F9C3-4198-B485-7658222E3676}" type="pres">
      <dgm:prSet presAssocID="{D210E5C4-9340-461D-893E-EA85904B793F}" presName="text4" presStyleLbl="fgAcc4" presStyleIdx="14" presStyleCnt="22">
        <dgm:presLayoutVars>
          <dgm:chPref val="3"/>
        </dgm:presLayoutVars>
      </dgm:prSet>
      <dgm:spPr/>
    </dgm:pt>
    <dgm:pt modelId="{7CC405D6-4550-4A09-810D-A6B2674FC05E}" type="pres">
      <dgm:prSet presAssocID="{D210E5C4-9340-461D-893E-EA85904B793F}" presName="hierChild5" presStyleCnt="0"/>
      <dgm:spPr/>
    </dgm:pt>
    <dgm:pt modelId="{3F8FF0DE-81AE-4D4A-BF8D-F9F2BAF1B32F}" type="pres">
      <dgm:prSet presAssocID="{8A2E4006-CF21-40BF-9CE3-26719D7339E2}" presName="Name23" presStyleLbl="parChTrans1D4" presStyleIdx="15" presStyleCnt="22"/>
      <dgm:spPr/>
    </dgm:pt>
    <dgm:pt modelId="{B39984A3-83D4-4E42-B823-9812142D0B28}" type="pres">
      <dgm:prSet presAssocID="{202B8271-1649-4E6E-8B85-CBC746569D95}" presName="hierRoot4" presStyleCnt="0"/>
      <dgm:spPr/>
    </dgm:pt>
    <dgm:pt modelId="{BF2421DD-E652-4FC8-A7D1-703DA6649328}" type="pres">
      <dgm:prSet presAssocID="{202B8271-1649-4E6E-8B85-CBC746569D95}" presName="composite4" presStyleCnt="0"/>
      <dgm:spPr/>
    </dgm:pt>
    <dgm:pt modelId="{6B9CF6FC-AD7D-4D1C-BDF4-E72A80BEDB1A}" type="pres">
      <dgm:prSet presAssocID="{202B8271-1649-4E6E-8B85-CBC746569D95}" presName="background4" presStyleLbl="asst1" presStyleIdx="19" presStyleCnt="26">
        <dgm:style>
          <a:lnRef idx="1">
            <a:schemeClr val="accent4"/>
          </a:lnRef>
          <a:fillRef idx="2">
            <a:schemeClr val="accent4"/>
          </a:fillRef>
          <a:effectRef idx="1">
            <a:schemeClr val="accent4"/>
          </a:effectRef>
          <a:fontRef idx="minor">
            <a:schemeClr val="dk1"/>
          </a:fontRef>
        </dgm:style>
      </dgm:prSet>
      <dgm:spPr/>
    </dgm:pt>
    <dgm:pt modelId="{1BCC0DF7-8C70-4BAF-BB37-87AECFC4E104}" type="pres">
      <dgm:prSet presAssocID="{202B8271-1649-4E6E-8B85-CBC746569D95}" presName="text4" presStyleLbl="fgAcc4" presStyleIdx="15" presStyleCnt="22" custScaleY="251157">
        <dgm:presLayoutVars>
          <dgm:chPref val="3"/>
        </dgm:presLayoutVars>
      </dgm:prSet>
      <dgm:spPr/>
    </dgm:pt>
    <dgm:pt modelId="{4CA477DF-BB92-46F1-A018-5694CCF70205}" type="pres">
      <dgm:prSet presAssocID="{202B8271-1649-4E6E-8B85-CBC746569D95}" presName="hierChild5" presStyleCnt="0"/>
      <dgm:spPr/>
    </dgm:pt>
    <dgm:pt modelId="{A122E2FB-FC86-45B4-9E31-60BE1D27A1A4}" type="pres">
      <dgm:prSet presAssocID="{D5A50567-8F7D-4B20-9251-CF92C0E6C036}" presName="Name23" presStyleLbl="parChTrans1D4" presStyleIdx="16" presStyleCnt="22"/>
      <dgm:spPr/>
    </dgm:pt>
    <dgm:pt modelId="{4FA4968F-CB19-4BD7-AA7A-AE988F3DE147}" type="pres">
      <dgm:prSet presAssocID="{748B122A-F791-49D4-8204-CED0A66778C5}" presName="hierRoot4" presStyleCnt="0"/>
      <dgm:spPr/>
    </dgm:pt>
    <dgm:pt modelId="{16A3A3CC-22E4-4498-A2BD-E4E2544372A6}" type="pres">
      <dgm:prSet presAssocID="{748B122A-F791-49D4-8204-CED0A66778C5}" presName="composite4" presStyleCnt="0"/>
      <dgm:spPr/>
    </dgm:pt>
    <dgm:pt modelId="{B1CAFCAA-45E9-4152-BE75-398DB76C8757}" type="pres">
      <dgm:prSet presAssocID="{748B122A-F791-49D4-8204-CED0A66778C5}" presName="background4" presStyleLbl="asst1" presStyleIdx="20" presStyleCnt="26">
        <dgm:style>
          <a:lnRef idx="1">
            <a:schemeClr val="accent3"/>
          </a:lnRef>
          <a:fillRef idx="2">
            <a:schemeClr val="accent3"/>
          </a:fillRef>
          <a:effectRef idx="1">
            <a:schemeClr val="accent3"/>
          </a:effectRef>
          <a:fontRef idx="minor">
            <a:schemeClr val="dk1"/>
          </a:fontRef>
        </dgm:style>
      </dgm:prSet>
      <dgm:spPr/>
    </dgm:pt>
    <dgm:pt modelId="{3F181E96-5125-4A9D-9C7F-9DA67B1011CC}" type="pres">
      <dgm:prSet presAssocID="{748B122A-F791-49D4-8204-CED0A66778C5}" presName="text4" presStyleLbl="fgAcc4" presStyleIdx="16" presStyleCnt="22">
        <dgm:presLayoutVars>
          <dgm:chPref val="3"/>
        </dgm:presLayoutVars>
      </dgm:prSet>
      <dgm:spPr/>
    </dgm:pt>
    <dgm:pt modelId="{303B3607-9218-4D5E-86A4-2A2394F73923}" type="pres">
      <dgm:prSet presAssocID="{748B122A-F791-49D4-8204-CED0A66778C5}" presName="hierChild5" presStyleCnt="0"/>
      <dgm:spPr/>
    </dgm:pt>
    <dgm:pt modelId="{20A9D83D-D525-43EE-BEAE-4F2B50A13FE4}" type="pres">
      <dgm:prSet presAssocID="{29D146A8-5EDA-46D4-A7FC-1EA55BE73515}" presName="Name23" presStyleLbl="parChTrans1D4" presStyleIdx="17" presStyleCnt="22"/>
      <dgm:spPr/>
    </dgm:pt>
    <dgm:pt modelId="{49922276-EB54-4A5C-A1F9-232CE323B4C3}" type="pres">
      <dgm:prSet presAssocID="{EBBF7598-0575-421B-83F7-F4D6FFFF7AAF}" presName="hierRoot4" presStyleCnt="0"/>
      <dgm:spPr/>
    </dgm:pt>
    <dgm:pt modelId="{35286369-E5EA-41F0-8C71-40F65A4AA207}" type="pres">
      <dgm:prSet presAssocID="{EBBF7598-0575-421B-83F7-F4D6FFFF7AAF}" presName="composite4" presStyleCnt="0"/>
      <dgm:spPr/>
    </dgm:pt>
    <dgm:pt modelId="{5BCDF3A6-EB33-4077-9968-EA51F0245B38}" type="pres">
      <dgm:prSet presAssocID="{EBBF7598-0575-421B-83F7-F4D6FFFF7AAF}" presName="background4" presStyleLbl="asst1" presStyleIdx="21" presStyleCnt="26"/>
      <dgm:spPr/>
    </dgm:pt>
    <dgm:pt modelId="{5437E7CE-0F53-4CD7-AB33-3581C8AEDDE1}" type="pres">
      <dgm:prSet presAssocID="{EBBF7598-0575-421B-83F7-F4D6FFFF7AAF}" presName="text4" presStyleLbl="fgAcc4" presStyleIdx="17" presStyleCnt="22" custScaleX="194556">
        <dgm:presLayoutVars>
          <dgm:chPref val="3"/>
        </dgm:presLayoutVars>
      </dgm:prSet>
      <dgm:spPr/>
    </dgm:pt>
    <dgm:pt modelId="{92458F60-BD85-4605-81D1-5A7C3FD9B061}" type="pres">
      <dgm:prSet presAssocID="{EBBF7598-0575-421B-83F7-F4D6FFFF7AAF}" presName="hierChild5" presStyleCnt="0"/>
      <dgm:spPr/>
    </dgm:pt>
    <dgm:pt modelId="{276DB0D9-6AE6-4B14-B718-F3B1D9514C0B}" type="pres">
      <dgm:prSet presAssocID="{4C537DAD-E83F-4B9F-9909-F4CFCAB7DB00}" presName="Name23" presStyleLbl="parChTrans1D4" presStyleIdx="18" presStyleCnt="22"/>
      <dgm:spPr/>
    </dgm:pt>
    <dgm:pt modelId="{1C56C160-F10C-45E1-B422-FD65413B6D9E}" type="pres">
      <dgm:prSet presAssocID="{5CAE93FE-1829-4B22-ABDE-57662F074A35}" presName="hierRoot4" presStyleCnt="0"/>
      <dgm:spPr/>
    </dgm:pt>
    <dgm:pt modelId="{D005E1AD-12FD-4BB3-9426-FAC73A33F5EC}" type="pres">
      <dgm:prSet presAssocID="{5CAE93FE-1829-4B22-ABDE-57662F074A35}" presName="composite4" presStyleCnt="0"/>
      <dgm:spPr/>
    </dgm:pt>
    <dgm:pt modelId="{86312DB4-49EF-4E09-9971-4502E2C77085}" type="pres">
      <dgm:prSet presAssocID="{5CAE93FE-1829-4B22-ABDE-57662F074A35}" presName="background4" presStyleLbl="asst1" presStyleIdx="22" presStyleCnt="26">
        <dgm:style>
          <a:lnRef idx="1">
            <a:schemeClr val="accent3"/>
          </a:lnRef>
          <a:fillRef idx="2">
            <a:schemeClr val="accent3"/>
          </a:fillRef>
          <a:effectRef idx="1">
            <a:schemeClr val="accent3"/>
          </a:effectRef>
          <a:fontRef idx="minor">
            <a:schemeClr val="dk1"/>
          </a:fontRef>
        </dgm:style>
      </dgm:prSet>
      <dgm:spPr/>
    </dgm:pt>
    <dgm:pt modelId="{90EC5BA3-4858-466B-B78F-7F8B364FB115}" type="pres">
      <dgm:prSet presAssocID="{5CAE93FE-1829-4B22-ABDE-57662F074A35}" presName="text4" presStyleLbl="fgAcc4" presStyleIdx="18" presStyleCnt="22">
        <dgm:presLayoutVars>
          <dgm:chPref val="3"/>
        </dgm:presLayoutVars>
      </dgm:prSet>
      <dgm:spPr/>
    </dgm:pt>
    <dgm:pt modelId="{8B54ED68-7D65-409B-8941-80F7D58366E8}" type="pres">
      <dgm:prSet presAssocID="{5CAE93FE-1829-4B22-ABDE-57662F074A35}" presName="hierChild5" presStyleCnt="0"/>
      <dgm:spPr/>
    </dgm:pt>
    <dgm:pt modelId="{C70420F2-937D-4978-B957-EE6D8E1DC9A6}" type="pres">
      <dgm:prSet presAssocID="{6FBD0393-6534-4AF0-9B16-EB4C048E9EC5}" presName="Name23" presStyleLbl="parChTrans1D4" presStyleIdx="19" presStyleCnt="22"/>
      <dgm:spPr/>
    </dgm:pt>
    <dgm:pt modelId="{8AE839D8-A253-42E2-A118-9C8315E5EB7F}" type="pres">
      <dgm:prSet presAssocID="{7636EA8E-C376-4577-9C06-A5129A50817B}" presName="hierRoot4" presStyleCnt="0"/>
      <dgm:spPr/>
    </dgm:pt>
    <dgm:pt modelId="{92B59618-3EB8-4807-9722-8EB3C77B7057}" type="pres">
      <dgm:prSet presAssocID="{7636EA8E-C376-4577-9C06-A5129A50817B}" presName="composite4" presStyleCnt="0"/>
      <dgm:spPr/>
    </dgm:pt>
    <dgm:pt modelId="{121EF3F1-B38F-4DD3-AB0C-A2CE0F0A3ED8}" type="pres">
      <dgm:prSet presAssocID="{7636EA8E-C376-4577-9C06-A5129A50817B}" presName="background4" presStyleLbl="asst1" presStyleIdx="23" presStyleCnt="26">
        <dgm:style>
          <a:lnRef idx="1">
            <a:schemeClr val="accent6"/>
          </a:lnRef>
          <a:fillRef idx="2">
            <a:schemeClr val="accent6"/>
          </a:fillRef>
          <a:effectRef idx="1">
            <a:schemeClr val="accent6"/>
          </a:effectRef>
          <a:fontRef idx="minor">
            <a:schemeClr val="dk1"/>
          </a:fontRef>
        </dgm:style>
      </dgm:prSet>
      <dgm:spPr/>
    </dgm:pt>
    <dgm:pt modelId="{0B82F3A7-975E-4F3D-BD08-C87136B65269}" type="pres">
      <dgm:prSet presAssocID="{7636EA8E-C376-4577-9C06-A5129A50817B}" presName="text4" presStyleLbl="fgAcc4" presStyleIdx="19" presStyleCnt="22">
        <dgm:presLayoutVars>
          <dgm:chPref val="3"/>
        </dgm:presLayoutVars>
      </dgm:prSet>
      <dgm:spPr/>
    </dgm:pt>
    <dgm:pt modelId="{F301FBB9-3BFE-4F7D-8B6D-3FFA045113EC}" type="pres">
      <dgm:prSet presAssocID="{7636EA8E-C376-4577-9C06-A5129A50817B}" presName="hierChild5" presStyleCnt="0"/>
      <dgm:spPr/>
    </dgm:pt>
    <dgm:pt modelId="{52B41DBE-A2A0-4A3D-9705-D59D2F08EF2F}" type="pres">
      <dgm:prSet presAssocID="{9FC21EEF-BB71-43D1-964E-F8FCFB31C3B2}" presName="Name23" presStyleLbl="parChTrans1D4" presStyleIdx="20" presStyleCnt="22"/>
      <dgm:spPr/>
    </dgm:pt>
    <dgm:pt modelId="{073C487B-251B-4566-9695-618D84799591}" type="pres">
      <dgm:prSet presAssocID="{25ACEEA2-0C60-4FBA-8AD1-B46C14E86B61}" presName="hierRoot4" presStyleCnt="0"/>
      <dgm:spPr/>
    </dgm:pt>
    <dgm:pt modelId="{9F3AE5F0-E08C-4DB0-B73C-B6E77169BB5D}" type="pres">
      <dgm:prSet presAssocID="{25ACEEA2-0C60-4FBA-8AD1-B46C14E86B61}" presName="composite4" presStyleCnt="0"/>
      <dgm:spPr/>
    </dgm:pt>
    <dgm:pt modelId="{913EDDDA-F6EC-4839-9551-AA631048EAD0}" type="pres">
      <dgm:prSet presAssocID="{25ACEEA2-0C60-4FBA-8AD1-B46C14E86B61}" presName="background4" presStyleLbl="asst1" presStyleIdx="24" presStyleCnt="26">
        <dgm:style>
          <a:lnRef idx="1">
            <a:schemeClr val="accent3"/>
          </a:lnRef>
          <a:fillRef idx="2">
            <a:schemeClr val="accent3"/>
          </a:fillRef>
          <a:effectRef idx="1">
            <a:schemeClr val="accent3"/>
          </a:effectRef>
          <a:fontRef idx="minor">
            <a:schemeClr val="dk1"/>
          </a:fontRef>
        </dgm:style>
      </dgm:prSet>
      <dgm:spPr/>
    </dgm:pt>
    <dgm:pt modelId="{E5181B57-9C20-428C-B1DB-330480A7BF2D}" type="pres">
      <dgm:prSet presAssocID="{25ACEEA2-0C60-4FBA-8AD1-B46C14E86B61}" presName="text4" presStyleLbl="fgAcc4" presStyleIdx="20" presStyleCnt="22">
        <dgm:presLayoutVars>
          <dgm:chPref val="3"/>
        </dgm:presLayoutVars>
      </dgm:prSet>
      <dgm:spPr/>
    </dgm:pt>
    <dgm:pt modelId="{70B0B2E2-316F-4AD6-BF09-A440DA3E8303}" type="pres">
      <dgm:prSet presAssocID="{25ACEEA2-0C60-4FBA-8AD1-B46C14E86B61}" presName="hierChild5" presStyleCnt="0"/>
      <dgm:spPr/>
    </dgm:pt>
    <dgm:pt modelId="{708E3F44-B8F8-4570-862B-656D7E835D42}" type="pres">
      <dgm:prSet presAssocID="{FB81228B-29E4-4BBC-9F9D-4C8674912E36}" presName="Name23" presStyleLbl="parChTrans1D4" presStyleIdx="21" presStyleCnt="22"/>
      <dgm:spPr/>
    </dgm:pt>
    <dgm:pt modelId="{5A92ADD5-4436-4293-93F8-8672C832A723}" type="pres">
      <dgm:prSet presAssocID="{CB6D8D6A-C23C-4435-9455-DC8D00B4F68F}" presName="hierRoot4" presStyleCnt="0"/>
      <dgm:spPr/>
    </dgm:pt>
    <dgm:pt modelId="{EA57D044-9B63-4E5C-819E-016EDAF70863}" type="pres">
      <dgm:prSet presAssocID="{CB6D8D6A-C23C-4435-9455-DC8D00B4F68F}" presName="composite4" presStyleCnt="0"/>
      <dgm:spPr/>
    </dgm:pt>
    <dgm:pt modelId="{57733B21-4E53-4054-A0D5-CD4819832574}" type="pres">
      <dgm:prSet presAssocID="{CB6D8D6A-C23C-4435-9455-DC8D00B4F68F}" presName="background4" presStyleLbl="asst1" presStyleIdx="25" presStyleCnt="26">
        <dgm:style>
          <a:lnRef idx="1">
            <a:schemeClr val="accent2"/>
          </a:lnRef>
          <a:fillRef idx="2">
            <a:schemeClr val="accent2"/>
          </a:fillRef>
          <a:effectRef idx="1">
            <a:schemeClr val="accent2"/>
          </a:effectRef>
          <a:fontRef idx="minor">
            <a:schemeClr val="dk1"/>
          </a:fontRef>
        </dgm:style>
      </dgm:prSet>
      <dgm:spPr/>
    </dgm:pt>
    <dgm:pt modelId="{FD7CED38-76FF-49C8-8179-F82812E77090}" type="pres">
      <dgm:prSet presAssocID="{CB6D8D6A-C23C-4435-9455-DC8D00B4F68F}" presName="text4" presStyleLbl="fgAcc4" presStyleIdx="21" presStyleCnt="22">
        <dgm:presLayoutVars>
          <dgm:chPref val="3"/>
        </dgm:presLayoutVars>
      </dgm:prSet>
      <dgm:spPr/>
    </dgm:pt>
    <dgm:pt modelId="{ABB9D27A-5056-45E1-BEEA-7CA8B325FEB5}" type="pres">
      <dgm:prSet presAssocID="{CB6D8D6A-C23C-4435-9455-DC8D00B4F68F}" presName="hierChild5" presStyleCnt="0"/>
      <dgm:spPr/>
    </dgm:pt>
  </dgm:ptLst>
  <dgm:cxnLst>
    <dgm:cxn modelId="{804D3E00-6A7D-4932-90E1-EEB1D7677036}" type="presOf" srcId="{2C20AC21-D271-4423-99D6-52F87059DF50}" destId="{8412DFCD-B9EC-4DFA-ADBD-11DB3FCCD6F5}" srcOrd="0" destOrd="0" presId="urn:microsoft.com/office/officeart/2005/8/layout/hierarchy1"/>
    <dgm:cxn modelId="{72111204-E6EF-41E3-B44B-62641AF4FE22}" type="presOf" srcId="{D5A50567-8F7D-4B20-9251-CF92C0E6C036}" destId="{A122E2FB-FC86-45B4-9E31-60BE1D27A1A4}" srcOrd="0" destOrd="0" presId="urn:microsoft.com/office/officeart/2005/8/layout/hierarchy1"/>
    <dgm:cxn modelId="{EDE09A08-6B60-4FD7-8CB8-BBC7D1429FEE}" srcId="{E4655AD1-8D14-4047-A6B2-A283DB2CD62F}" destId="{5B57FB61-4EDD-4458-87CE-70E1EEFF57E4}" srcOrd="0" destOrd="0" parTransId="{B27D51C8-72A3-4E50-8CAD-139C54C69623}" sibTransId="{28724334-C60D-4EBB-A544-3A4AFE6928AA}"/>
    <dgm:cxn modelId="{16A1DD0F-D31F-4C5E-90CC-171C7C9D7A04}" type="presOf" srcId="{79D7A88F-9E19-4106-B707-F7D56D9A11FE}" destId="{4264E664-AAEB-46E6-BC0D-9254B6CC1F1D}" srcOrd="0" destOrd="0" presId="urn:microsoft.com/office/officeart/2005/8/layout/hierarchy1"/>
    <dgm:cxn modelId="{BF008B14-A68E-4FDC-937D-13AE6F02C245}" type="presOf" srcId="{5B47B43F-8D56-4690-92AC-E47A19B33DE3}" destId="{7B2FE881-08BD-4B64-93DC-1B6912F78B89}" srcOrd="0" destOrd="0" presId="urn:microsoft.com/office/officeart/2005/8/layout/hierarchy1"/>
    <dgm:cxn modelId="{841F6218-FBC1-4121-BC8E-6DD7523471FA}" srcId="{3152955F-8D41-48E8-B3B9-DE3D919483CC}" destId="{21B3C766-61FD-42DE-B110-714E778DE023}" srcOrd="1" destOrd="0" parTransId="{79D7A88F-9E19-4106-B707-F7D56D9A11FE}" sibTransId="{9CFFEBB1-7E04-4B18-987C-1CEC31AE1609}"/>
    <dgm:cxn modelId="{72E3501B-90E8-4710-945C-0FDB8CDBACB8}" type="presOf" srcId="{82A42CAE-C2DD-4BC7-B846-B7FA77A69A31}" destId="{58AE3842-256C-4786-BB3B-A3F59B4878E8}" srcOrd="0" destOrd="0" presId="urn:microsoft.com/office/officeart/2005/8/layout/hierarchy1"/>
    <dgm:cxn modelId="{31A65D1E-C24A-434F-BF2F-DD60CA9D98EF}" srcId="{DD21DEE8-7635-4A26-95E3-DFE043F45C15}" destId="{82A42CAE-C2DD-4BC7-B846-B7FA77A69A31}" srcOrd="0" destOrd="0" parTransId="{2C899149-66BD-4205-B6F8-21B8E3EA0D9C}" sibTransId="{FFD54F17-3087-407C-9343-0EB772DAA898}"/>
    <dgm:cxn modelId="{6B507F1E-F606-4F17-A644-8512E5DF1805}" srcId="{05213EA8-EA42-4065-91F0-3AF50A1606DA}" destId="{748B122A-F791-49D4-8204-CED0A66778C5}" srcOrd="1" destOrd="0" parTransId="{D5A50567-8F7D-4B20-9251-CF92C0E6C036}" sibTransId="{6328B2E9-E1C0-4239-9F36-0631BF260C8C}"/>
    <dgm:cxn modelId="{6FEDBF20-E148-4FF2-91A7-99C16BB1D810}" type="presOf" srcId="{68BBC084-2CA7-4022-9BE9-8F2574AB6039}" destId="{031099C9-261A-4E39-97EA-DC99D4F293E0}" srcOrd="0" destOrd="0" presId="urn:microsoft.com/office/officeart/2005/8/layout/hierarchy1"/>
    <dgm:cxn modelId="{CAC9A422-103B-45B3-A562-A5FCAE964110}" type="presOf" srcId="{29CD3A24-F2D7-4EBB-9ACD-A609570F4973}" destId="{B6962375-B0EE-4E36-97A6-0639CB2CD580}" srcOrd="0" destOrd="0" presId="urn:microsoft.com/office/officeart/2005/8/layout/hierarchy1"/>
    <dgm:cxn modelId="{97E5A723-DA5A-429B-9F6F-9433A624BA28}" type="presOf" srcId="{21B3C766-61FD-42DE-B110-714E778DE023}" destId="{663049B5-6373-4B77-BC4A-D7342C3C1747}" srcOrd="0" destOrd="0" presId="urn:microsoft.com/office/officeart/2005/8/layout/hierarchy1"/>
    <dgm:cxn modelId="{DFE05429-ED68-47EB-96DA-0FEE6CD2C373}" type="presOf" srcId="{3D73234C-9D62-4A2A-966B-E32D05F71CC6}" destId="{EEDE4305-6BEE-4567-8055-BF058B31F6AA}" srcOrd="0" destOrd="0" presId="urn:microsoft.com/office/officeart/2005/8/layout/hierarchy1"/>
    <dgm:cxn modelId="{F0249929-1EFD-480A-AAE0-8A5CE12104D9}" type="presOf" srcId="{3152955F-8D41-48E8-B3B9-DE3D919483CC}" destId="{E06DA392-4121-48FE-898C-EA9B995AC736}" srcOrd="0" destOrd="0" presId="urn:microsoft.com/office/officeart/2005/8/layout/hierarchy1"/>
    <dgm:cxn modelId="{CE82CD2A-7A09-4A89-BB43-70144416CA25}" srcId="{6AE12DE2-FD80-4250-BA09-9C32EBA5C490}" destId="{B0FF6C84-0C0A-415F-949C-6CD058A2BB3E}" srcOrd="0" destOrd="0" parTransId="{170250AC-7198-4D88-81B4-5B152852176D}" sibTransId="{653A6514-0830-4F61-BFE8-88CDFAD92622}"/>
    <dgm:cxn modelId="{5462702D-0C25-462C-82DF-18D142489BA3}" type="presOf" srcId="{6FBD0393-6534-4AF0-9B16-EB4C048E9EC5}" destId="{C70420F2-937D-4978-B957-EE6D8E1DC9A6}" srcOrd="0" destOrd="0" presId="urn:microsoft.com/office/officeart/2005/8/layout/hierarchy1"/>
    <dgm:cxn modelId="{362CE22D-AC6D-4AA2-9B81-D86B9EF0450E}" srcId="{F2380881-D391-4647-AAD3-62425485075B}" destId="{CE4415E1-AF94-47BA-B8B3-29C5FE4649E3}" srcOrd="0" destOrd="0" parTransId="{5B47B43F-8D56-4690-92AC-E47A19B33DE3}" sibTransId="{EC29C077-CB64-4DB4-9307-C9A6C051DADD}"/>
    <dgm:cxn modelId="{92511C39-12E1-4879-8CC8-D61FB9D392DE}" type="presOf" srcId="{25ACEEA2-0C60-4FBA-8AD1-B46C14E86B61}" destId="{E5181B57-9C20-428C-B1DB-330480A7BF2D}" srcOrd="0" destOrd="0" presId="urn:microsoft.com/office/officeart/2005/8/layout/hierarchy1"/>
    <dgm:cxn modelId="{A80A2D3C-0EA7-42D0-8F01-17BB9682BABF}" type="presOf" srcId="{170250AC-7198-4D88-81B4-5B152852176D}" destId="{22C212A0-E478-4707-9DEF-DD491731E80B}" srcOrd="0" destOrd="0" presId="urn:microsoft.com/office/officeart/2005/8/layout/hierarchy1"/>
    <dgm:cxn modelId="{FDF9AD5D-6326-4333-B784-A9C362C35FDE}" type="presOf" srcId="{29D146A8-5EDA-46D4-A7FC-1EA55BE73515}" destId="{20A9D83D-D525-43EE-BEAE-4F2B50A13FE4}" srcOrd="0" destOrd="0" presId="urn:microsoft.com/office/officeart/2005/8/layout/hierarchy1"/>
    <dgm:cxn modelId="{A1F80841-73E4-4872-BA75-F0EA86AC5B1A}" type="presOf" srcId="{D33D6565-38A6-47C3-B33F-6B319A64BF6A}" destId="{3C0026CB-570D-4FB6-9D91-1115855B4CC7}" srcOrd="0" destOrd="0" presId="urn:microsoft.com/office/officeart/2005/8/layout/hierarchy1"/>
    <dgm:cxn modelId="{EECB2C62-328E-4A21-A914-A3ED6AFB4A5F}" type="presOf" srcId="{8DB8FE3A-01DF-4B90-94F0-CAFC35EEB1FF}" destId="{294BA3D9-6304-45BF-ACD1-4574C36C3731}" srcOrd="0" destOrd="0" presId="urn:microsoft.com/office/officeart/2005/8/layout/hierarchy1"/>
    <dgm:cxn modelId="{0B2C4E42-AE37-4345-9DA8-1C5B9B698978}" srcId="{E4AEAAA2-8B83-4B8B-B8C9-F53F8A266480}" destId="{D210E5C4-9340-461D-893E-EA85904B793F}" srcOrd="0" destOrd="0" parTransId="{B9AC7CD1-EE89-426D-BBF6-AAF638F8B6AB}" sibTransId="{4917A7DC-C91A-4724-ABED-5AE55992AF55}"/>
    <dgm:cxn modelId="{EF4FB843-7586-4757-B557-4B4427A07C78}" type="presOf" srcId="{2C899149-66BD-4205-B6F8-21B8E3EA0D9C}" destId="{0FC271BB-A521-4B8F-A802-BFB1BD77852C}" srcOrd="0" destOrd="0" presId="urn:microsoft.com/office/officeart/2005/8/layout/hierarchy1"/>
    <dgm:cxn modelId="{0C0D4D47-6EB4-4C38-8DD5-0A78BF7B2595}" srcId="{B0FF6C84-0C0A-415F-949C-6CD058A2BB3E}" destId="{95E14F67-23E0-463F-990B-0173FF9DC9C6}" srcOrd="0" destOrd="0" parTransId="{D6C8CB50-62DF-4DC3-82A3-EC44EA894923}" sibTransId="{CE2C05FF-4729-473F-A55D-176D5507DEC9}"/>
    <dgm:cxn modelId="{412E7B47-7743-4C78-BCED-ECA118F146B7}" type="presOf" srcId="{202B8271-1649-4E6E-8B85-CBC746569D95}" destId="{1BCC0DF7-8C70-4BAF-BB37-87AECFC4E104}" srcOrd="0" destOrd="0" presId="urn:microsoft.com/office/officeart/2005/8/layout/hierarchy1"/>
    <dgm:cxn modelId="{8F6C8D48-678B-4BA2-BAFB-D504EA2CD557}" srcId="{05213EA8-EA42-4065-91F0-3AF50A1606DA}" destId="{E4AEAAA2-8B83-4B8B-B8C9-F53F8A266480}" srcOrd="0" destOrd="0" parTransId="{2C20AC21-D271-4423-99D6-52F87059DF50}" sibTransId="{6F0E473A-B946-4A32-9E57-25D5C74BE062}"/>
    <dgm:cxn modelId="{4310A168-6A36-41DE-924B-DD8A057AE1D1}" type="presOf" srcId="{2C004CD6-FB86-4F39-8779-DF27415DD1FD}" destId="{E761AE56-CE90-4222-9960-4A0CDDF4E0BD}" srcOrd="0" destOrd="0" presId="urn:microsoft.com/office/officeart/2005/8/layout/hierarchy1"/>
    <dgm:cxn modelId="{94ACBE68-8588-4462-9592-9532AD907602}" srcId="{EBBF7598-0575-421B-83F7-F4D6FFFF7AAF}" destId="{5CAE93FE-1829-4B22-ABDE-57662F074A35}" srcOrd="0" destOrd="0" parTransId="{4C537DAD-E83F-4B9F-9909-F4CFCAB7DB00}" sibTransId="{30AA90F3-ACCD-4465-856F-56139B2EA6DE}"/>
    <dgm:cxn modelId="{E16CF749-3B2E-40E6-A940-4D62F5F45CCA}" type="presOf" srcId="{70B9E2A9-85C0-4ECD-AB69-5B840A5C8569}" destId="{4CBD6ED2-EC1E-42B4-BC3A-52CED455D5D0}" srcOrd="0" destOrd="0" presId="urn:microsoft.com/office/officeart/2005/8/layout/hierarchy1"/>
    <dgm:cxn modelId="{E562146A-A8FF-469A-AB1C-5926DBC14B3D}" srcId="{82A3A5CE-AE07-4435-A526-1E2479BDB1AD}" destId="{3152955F-8D41-48E8-B3B9-DE3D919483CC}" srcOrd="0" destOrd="0" parTransId="{8DB8FE3A-01DF-4B90-94F0-CAFC35EEB1FF}" sibTransId="{63C374A5-4B50-4932-970D-85739AD36DA8}"/>
    <dgm:cxn modelId="{8ADF1D4B-8398-440A-A704-5E685F7EBCCA}" type="presOf" srcId="{95E14F67-23E0-463F-990B-0173FF9DC9C6}" destId="{2D1D20DF-E31C-4195-800E-C284CACED65E}" srcOrd="0" destOrd="0" presId="urn:microsoft.com/office/officeart/2005/8/layout/hierarchy1"/>
    <dgm:cxn modelId="{359D704D-1BEB-440E-8715-4FC3BF626C92}" type="presOf" srcId="{4086D9C4-76F1-4D87-B7EA-50563658E20A}" destId="{FB2D0DD8-E41C-4046-B37E-8D68A3A657E1}" srcOrd="0" destOrd="0" presId="urn:microsoft.com/office/officeart/2005/8/layout/hierarchy1"/>
    <dgm:cxn modelId="{5DD19A6D-057E-466A-8B9D-9E66A2EDB07C}" type="presOf" srcId="{B0FF6C84-0C0A-415F-949C-6CD058A2BB3E}" destId="{8FE8AA0D-0029-40FD-A077-5942C1A64F35}" srcOrd="0" destOrd="0" presId="urn:microsoft.com/office/officeart/2005/8/layout/hierarchy1"/>
    <dgm:cxn modelId="{655E7250-C7C9-4D24-85F9-2F5CDB3F87B6}" srcId="{B0FF6C84-0C0A-415F-949C-6CD058A2BB3E}" destId="{DD21DEE8-7635-4A26-95E3-DFE043F45C15}" srcOrd="1" destOrd="0" parTransId="{C9ABB819-282E-49A3-9E9A-884BE4034F37}" sibTransId="{D75094C1-A5F3-4B84-A787-FABA5ABA9FFB}"/>
    <dgm:cxn modelId="{87210651-90F8-4AEA-A3E7-2294FF7E9C4F}" type="presOf" srcId="{D6C8CB50-62DF-4DC3-82A3-EC44EA894923}" destId="{5EEAD4BE-C588-4CAC-B192-38D48297E445}" srcOrd="0" destOrd="0" presId="urn:microsoft.com/office/officeart/2005/8/layout/hierarchy1"/>
    <dgm:cxn modelId="{EB9F9551-1919-4D21-AB9B-D2BE953230E8}" type="presOf" srcId="{5CAE93FE-1829-4B22-ABDE-57662F074A35}" destId="{90EC5BA3-4858-466B-B78F-7F8B364FB115}" srcOrd="0" destOrd="0" presId="urn:microsoft.com/office/officeart/2005/8/layout/hierarchy1"/>
    <dgm:cxn modelId="{23E46274-FE95-422A-84B9-794909E7D10C}" srcId="{82A42CAE-C2DD-4BC7-B846-B7FA77A69A31}" destId="{F2380881-D391-4647-AAD3-62425485075B}" srcOrd="1" destOrd="0" parTransId="{4086D9C4-76F1-4D87-B7EA-50563658E20A}" sibTransId="{3ABC77CC-E7A5-414F-A8A4-61E7A775FC12}"/>
    <dgm:cxn modelId="{7D1ACE54-7BF2-46A9-B35B-2723640503CA}" srcId="{25ACEEA2-0C60-4FBA-8AD1-B46C14E86B61}" destId="{CB6D8D6A-C23C-4435-9455-DC8D00B4F68F}" srcOrd="0" destOrd="0" parTransId="{FB81228B-29E4-4BBC-9F9D-4C8674912E36}" sibTransId="{4DE8DAE1-C224-4E01-B19E-8E79974617AB}"/>
    <dgm:cxn modelId="{7FFC4F57-F4DB-469D-9A3E-947A00767D2D}" srcId="{D33D6565-38A6-47C3-B33F-6B319A64BF6A}" destId="{05213EA8-EA42-4065-91F0-3AF50A1606DA}" srcOrd="0" destOrd="0" parTransId="{F9BA189A-1391-4B84-AAA9-55F3B6D5FA4B}" sibTransId="{24787A9F-A4DF-4929-A635-9C528ECDF816}"/>
    <dgm:cxn modelId="{749BF179-0BB7-45A2-8B9A-BBB97E06CCC5}" type="presOf" srcId="{F9BA189A-1391-4B84-AAA9-55F3B6D5FA4B}" destId="{1FE43F7B-EE3B-4757-AF33-557237C55B00}" srcOrd="0" destOrd="0" presId="urn:microsoft.com/office/officeart/2005/8/layout/hierarchy1"/>
    <dgm:cxn modelId="{C00A1A5A-030C-4425-BA9E-D0D13DFBE6D1}" type="presOf" srcId="{C9ABB819-282E-49A3-9E9A-884BE4034F37}" destId="{5E95D2B6-6701-42DA-A99E-865D17C6BC6B}" srcOrd="0" destOrd="0" presId="urn:microsoft.com/office/officeart/2005/8/layout/hierarchy1"/>
    <dgm:cxn modelId="{59FB427D-8A0D-493E-B522-F6E41996E1B3}" type="presOf" srcId="{8A2E4006-CF21-40BF-9CE3-26719D7339E2}" destId="{3F8FF0DE-81AE-4D4A-BF8D-F9F2BAF1B32F}" srcOrd="0" destOrd="0" presId="urn:microsoft.com/office/officeart/2005/8/layout/hierarchy1"/>
    <dgm:cxn modelId="{8081E67E-E28C-4883-9242-B877E30792FC}" srcId="{6E5E9362-F65C-4101-A516-6F2846FF8A6C}" destId="{53F0FAF3-6D8B-4B68-B1D4-E6FED25D3C2A}" srcOrd="0" destOrd="0" parTransId="{68BBC084-2CA7-4022-9BE9-8F2574AB6039}" sibTransId="{E54DA551-6CB8-4080-9E7C-CD161F8146F1}"/>
    <dgm:cxn modelId="{CCA3D881-94A7-401E-BB57-54C27EF3370B}" type="presOf" srcId="{8C8B2C94-23AF-4CC7-9D43-1164ED1982A4}" destId="{164A8F10-E6C7-4C03-9534-7B87F218103D}" srcOrd="0" destOrd="0" presId="urn:microsoft.com/office/officeart/2005/8/layout/hierarchy1"/>
    <dgm:cxn modelId="{49C39684-5B9C-4086-8AE6-28C0AB7CD20F}" type="presOf" srcId="{53F0FAF3-6D8B-4B68-B1D4-E6FED25D3C2A}" destId="{FAFB380D-5DCC-492C-9076-F56BDD0E0924}" srcOrd="0" destOrd="0" presId="urn:microsoft.com/office/officeart/2005/8/layout/hierarchy1"/>
    <dgm:cxn modelId="{D9C64687-7551-45E7-9A12-88D35F93ACF4}" type="presOf" srcId="{82A3A5CE-AE07-4435-A526-1E2479BDB1AD}" destId="{F12333DC-4CB8-457D-9E4B-BDD4C936F717}" srcOrd="0" destOrd="0" presId="urn:microsoft.com/office/officeart/2005/8/layout/hierarchy1"/>
    <dgm:cxn modelId="{EC33CB88-E7C2-4E60-8123-C28951D8D9B1}" srcId="{D210E5C4-9340-461D-893E-EA85904B793F}" destId="{202B8271-1649-4E6E-8B85-CBC746569D95}" srcOrd="0" destOrd="0" parTransId="{8A2E4006-CF21-40BF-9CE3-26719D7339E2}" sibTransId="{FF661F32-F150-4557-A235-69E7950B490D}"/>
    <dgm:cxn modelId="{6D1D9789-1223-4696-8403-8FE4904497C3}" type="presOf" srcId="{CB6D8D6A-C23C-4435-9455-DC8D00B4F68F}" destId="{FD7CED38-76FF-49C8-8179-F82812E77090}" srcOrd="0" destOrd="0" presId="urn:microsoft.com/office/officeart/2005/8/layout/hierarchy1"/>
    <dgm:cxn modelId="{134B508F-D5DD-4802-97FC-029E9FEA4BF4}" srcId="{3152955F-8D41-48E8-B3B9-DE3D919483CC}" destId="{6AE12DE2-FD80-4250-BA09-9C32EBA5C490}" srcOrd="0" destOrd="0" parTransId="{3D73234C-9D62-4A2A-966B-E32D05F71CC6}" sibTransId="{03C1379E-A0E1-4167-9330-69F03E96158A}"/>
    <dgm:cxn modelId="{9CE7D893-9166-4C26-A68B-24F31D055103}" type="presOf" srcId="{7636EA8E-C376-4577-9C06-A5129A50817B}" destId="{0B82F3A7-975E-4F3D-BD08-C87136B65269}" srcOrd="0" destOrd="0" presId="urn:microsoft.com/office/officeart/2005/8/layout/hierarchy1"/>
    <dgm:cxn modelId="{38E5BE94-B31D-47A9-8638-7A583C0828BA}" type="presOf" srcId="{B9AC7CD1-EE89-426D-BBF6-AAF638F8B6AB}" destId="{4A363771-E962-44A4-8D98-D48AF729C001}" srcOrd="0" destOrd="0" presId="urn:microsoft.com/office/officeart/2005/8/layout/hierarchy1"/>
    <dgm:cxn modelId="{8E856098-2B16-4B25-964A-B70306DBF2C7}" type="presOf" srcId="{B27D51C8-72A3-4E50-8CAD-139C54C69623}" destId="{149BA2CA-F2AA-4107-852C-3CCC7C537E4E}" srcOrd="0" destOrd="0" presId="urn:microsoft.com/office/officeart/2005/8/layout/hierarchy1"/>
    <dgm:cxn modelId="{0CE7CF9A-CB91-462E-B9FB-89407588AE67}" type="presOf" srcId="{FB81228B-29E4-4BBC-9F9D-4C8674912E36}" destId="{708E3F44-B8F8-4570-862B-656D7E835D42}" srcOrd="0" destOrd="0" presId="urn:microsoft.com/office/officeart/2005/8/layout/hierarchy1"/>
    <dgm:cxn modelId="{0C73BD9E-983E-406C-A2F6-306C3C1B4A56}" type="presOf" srcId="{401A1BBC-75E1-443D-91CD-FFB33BFF7A47}" destId="{C505A66B-724E-4F1B-9887-F6299AEDC661}" srcOrd="0" destOrd="0" presId="urn:microsoft.com/office/officeart/2005/8/layout/hierarchy1"/>
    <dgm:cxn modelId="{68425CA1-6A9C-4F25-8D1E-D702862BD703}" srcId="{748B122A-F791-49D4-8204-CED0A66778C5}" destId="{EBBF7598-0575-421B-83F7-F4D6FFFF7AAF}" srcOrd="0" destOrd="0" parTransId="{29D146A8-5EDA-46D4-A7FC-1EA55BE73515}" sibTransId="{0881652E-66CF-40CD-8114-CEA38BC8BBC1}"/>
    <dgm:cxn modelId="{CD226AA8-D172-46D4-8338-67B156083B6E}" type="presOf" srcId="{748B122A-F791-49D4-8204-CED0A66778C5}" destId="{3F181E96-5125-4A9D-9C7F-9DA67B1011CC}" srcOrd="0" destOrd="0" presId="urn:microsoft.com/office/officeart/2005/8/layout/hierarchy1"/>
    <dgm:cxn modelId="{D9F53BAA-DFA0-4521-99FB-E488F40FDE0D}" srcId="{E2486E5C-66D5-450C-B60E-5CE47D82583C}" destId="{D33D6565-38A6-47C3-B33F-6B319A64BF6A}" srcOrd="1" destOrd="0" parTransId="{401A1BBC-75E1-443D-91CD-FFB33BFF7A47}" sibTransId="{5A012095-E5DA-4356-B36E-17E89E23F1CB}"/>
    <dgm:cxn modelId="{70BAE6AC-C424-4A10-A835-3A3D960A4A97}" type="presOf" srcId="{CE4415E1-AF94-47BA-B8B3-29C5FE4649E3}" destId="{BED0D3CA-C679-4D98-8ED0-994D8BB3EEAF}" srcOrd="0" destOrd="0" presId="urn:microsoft.com/office/officeart/2005/8/layout/hierarchy1"/>
    <dgm:cxn modelId="{C9E92DB0-5F28-4493-8D06-F38B60D8C7C2}" type="presOf" srcId="{4C537DAD-E83F-4B9F-9909-F4CFCAB7DB00}" destId="{276DB0D9-6AE6-4B14-B718-F3B1D9514C0B}" srcOrd="0" destOrd="0" presId="urn:microsoft.com/office/officeart/2005/8/layout/hierarchy1"/>
    <dgm:cxn modelId="{0D52FBB6-9314-4A8A-859E-D4401335FADD}" srcId="{EBBF7598-0575-421B-83F7-F4D6FFFF7AAF}" destId="{25ACEEA2-0C60-4FBA-8AD1-B46C14E86B61}" srcOrd="1" destOrd="0" parTransId="{9FC21EEF-BB71-43D1-964E-F8FCFB31C3B2}" sibTransId="{E1E7F6A4-2BBD-43D2-8EB5-77F7936A271B}"/>
    <dgm:cxn modelId="{DA6051B8-D46B-42C9-A16A-88A20EEED3C6}" type="presOf" srcId="{F2380881-D391-4647-AAD3-62425485075B}" destId="{D1FFFED2-0C36-4B70-8589-E8560BB374D5}" srcOrd="0" destOrd="0" presId="urn:microsoft.com/office/officeart/2005/8/layout/hierarchy1"/>
    <dgm:cxn modelId="{1EF29DBC-35D3-4EB4-A255-030F1F2AD552}" type="presOf" srcId="{6E5E9362-F65C-4101-A516-6F2846FF8A6C}" destId="{A9BB4B6D-B6CD-4984-8673-165A873C9ECB}" srcOrd="0" destOrd="0" presId="urn:microsoft.com/office/officeart/2005/8/layout/hierarchy1"/>
    <dgm:cxn modelId="{B53AB5C1-D0EE-49AA-A83E-49175710D851}" srcId="{21B3C766-61FD-42DE-B110-714E778DE023}" destId="{A18C2219-4F13-4AFC-AA94-9A87EDCBB93E}" srcOrd="0" destOrd="0" parTransId="{909845D9-1A1D-4D7C-8BA0-625111171C87}" sibTransId="{906BCDA1-936B-4C3C-BB42-E5AA7813FB4E}"/>
    <dgm:cxn modelId="{528B8BC4-3968-4E66-8E36-42E0EF18E030}" type="presOf" srcId="{5B57FB61-4EDD-4458-87CE-70E1EEFF57E4}" destId="{983596D4-044E-411E-95A7-AE9C4EAB624C}" srcOrd="0" destOrd="0" presId="urn:microsoft.com/office/officeart/2005/8/layout/hierarchy1"/>
    <dgm:cxn modelId="{1D1583CA-A650-4B45-979E-82B3B1E38DB6}" srcId="{95E14F67-23E0-463F-990B-0173FF9DC9C6}" destId="{E4655AD1-8D14-4047-A6B2-A283DB2CD62F}" srcOrd="0" destOrd="0" parTransId="{8C8B2C94-23AF-4CC7-9D43-1164ED1982A4}" sibTransId="{729C0F22-00CE-4377-84D0-F174F2054D0E}"/>
    <dgm:cxn modelId="{201039CB-99F8-45B9-BAFE-5256261B9869}" srcId="{E2486E5C-66D5-450C-B60E-5CE47D82583C}" destId="{82A3A5CE-AE07-4435-A526-1E2479BDB1AD}" srcOrd="0" destOrd="0" parTransId="{2C004CD6-FB86-4F39-8779-DF27415DD1FD}" sibTransId="{AD68E38A-F45A-462E-8930-44CB9FB988CD}"/>
    <dgm:cxn modelId="{8D409DD2-BF0D-4C6B-8582-D1715FC7C7CF}" type="presOf" srcId="{909845D9-1A1D-4D7C-8BA0-625111171C87}" destId="{6180C9E9-9E17-4315-9D4C-75C2DD06707D}" srcOrd="0" destOrd="0" presId="urn:microsoft.com/office/officeart/2005/8/layout/hierarchy1"/>
    <dgm:cxn modelId="{4B2C2BD3-B282-42EE-9556-D81B34A987B3}" srcId="{29CD3A24-F2D7-4EBB-9ACD-A609570F4973}" destId="{E2486E5C-66D5-450C-B60E-5CE47D82583C}" srcOrd="0" destOrd="0" parTransId="{5C84039F-5B9F-41C2-B47F-87FCFAE75EA9}" sibTransId="{198FFC54-F363-49B9-A8EF-95A2FD3B8A37}"/>
    <dgm:cxn modelId="{2B830FD7-5A39-4D7A-9832-1B2E0003F4F9}" type="presOf" srcId="{05213EA8-EA42-4065-91F0-3AF50A1606DA}" destId="{7435D853-5424-4E00-976A-AB43151198DC}" srcOrd="0" destOrd="0" presId="urn:microsoft.com/office/officeart/2005/8/layout/hierarchy1"/>
    <dgm:cxn modelId="{721388D7-83D9-459A-8E66-77F5D2653D0D}" srcId="{5CAE93FE-1829-4B22-ABDE-57662F074A35}" destId="{7636EA8E-C376-4577-9C06-A5129A50817B}" srcOrd="0" destOrd="0" parTransId="{6FBD0393-6534-4AF0-9B16-EB4C048E9EC5}" sibTransId="{72B77E41-AB20-41DC-82AE-E611ADE19FEE}"/>
    <dgm:cxn modelId="{FBEB10D8-0A13-4D70-A0B7-C1D69EADC582}" type="presOf" srcId="{9FC21EEF-BB71-43D1-964E-F8FCFB31C3B2}" destId="{52B41DBE-A2A0-4A3D-9705-D59D2F08EF2F}" srcOrd="0" destOrd="0" presId="urn:microsoft.com/office/officeart/2005/8/layout/hierarchy1"/>
    <dgm:cxn modelId="{E60EB9D8-529A-43D6-8D93-4B2E0A8A59D9}" type="presOf" srcId="{E4AEAAA2-8B83-4B8B-B8C9-F53F8A266480}" destId="{D7DF41A5-A564-42D1-BBD1-5C26F51BBE40}" srcOrd="0" destOrd="0" presId="urn:microsoft.com/office/officeart/2005/8/layout/hierarchy1"/>
    <dgm:cxn modelId="{0E13DBD9-65CB-4BF8-BDB5-B918AA612427}" type="presOf" srcId="{E2486E5C-66D5-450C-B60E-5CE47D82583C}" destId="{54E4F7B4-787C-41FA-AD90-F90BAF9818EC}" srcOrd="0" destOrd="0" presId="urn:microsoft.com/office/officeart/2005/8/layout/hierarchy1"/>
    <dgm:cxn modelId="{E59348DA-0558-444C-AED8-E907FA870867}" type="presOf" srcId="{E4655AD1-8D14-4047-A6B2-A283DB2CD62F}" destId="{1FCEEEA3-A83E-4E3D-8721-FEB322BF53C3}" srcOrd="0" destOrd="0" presId="urn:microsoft.com/office/officeart/2005/8/layout/hierarchy1"/>
    <dgm:cxn modelId="{C90058DC-9852-4A92-ADFD-ED22D6184FA5}" type="presOf" srcId="{6AE12DE2-FD80-4250-BA09-9C32EBA5C490}" destId="{2DFED99B-A02C-40B9-82A6-E22AE7E6381C}" srcOrd="0" destOrd="0" presId="urn:microsoft.com/office/officeart/2005/8/layout/hierarchy1"/>
    <dgm:cxn modelId="{AE9D6EDD-369D-49D5-88DA-02364E47570D}" type="presOf" srcId="{A18C2219-4F13-4AFC-AA94-9A87EDCBB93E}" destId="{6B701666-03A1-4D1C-B1A0-FCCECB0541C5}" srcOrd="0" destOrd="0" presId="urn:microsoft.com/office/officeart/2005/8/layout/hierarchy1"/>
    <dgm:cxn modelId="{1CF091E6-B8C7-4B4D-A42A-7C6088D0D2A2}" type="presOf" srcId="{D210E5C4-9340-461D-893E-EA85904B793F}" destId="{ED7B5BEE-F9C3-4198-B485-7658222E3676}" srcOrd="0" destOrd="0" presId="urn:microsoft.com/office/officeart/2005/8/layout/hierarchy1"/>
    <dgm:cxn modelId="{18D9A7ED-72D0-4FC4-A130-044F1FBB7B3C}" type="presOf" srcId="{EBBF7598-0575-421B-83F7-F4D6FFFF7AAF}" destId="{5437E7CE-0F53-4CD7-AB33-3581C8AEDDE1}" srcOrd="0" destOrd="0" presId="urn:microsoft.com/office/officeart/2005/8/layout/hierarchy1"/>
    <dgm:cxn modelId="{DE6DBFF2-6DB7-477A-9FB5-0A4EB86816F9}" srcId="{82A42CAE-C2DD-4BC7-B846-B7FA77A69A31}" destId="{6E5E9362-F65C-4101-A516-6F2846FF8A6C}" srcOrd="0" destOrd="0" parTransId="{70B9E2A9-85C0-4ECD-AB69-5B840A5C8569}" sibTransId="{31104171-2585-47B7-8BEE-5AFFBDA118C4}"/>
    <dgm:cxn modelId="{9AEF31FC-DE55-462C-B683-6338E3013C90}" type="presOf" srcId="{DD21DEE8-7635-4A26-95E3-DFE043F45C15}" destId="{6E265304-F110-4345-90DE-C8CF71CFA32D}" srcOrd="0" destOrd="0" presId="urn:microsoft.com/office/officeart/2005/8/layout/hierarchy1"/>
    <dgm:cxn modelId="{C31E2B0B-A1D1-4AA6-8B7D-CBCFE23BFF56}" type="presParOf" srcId="{B6962375-B0EE-4E36-97A6-0639CB2CD580}" destId="{1B6208F2-A0FD-43EF-9F1C-F8ED1DCE6DCA}" srcOrd="0" destOrd="0" presId="urn:microsoft.com/office/officeart/2005/8/layout/hierarchy1"/>
    <dgm:cxn modelId="{360D681C-4B84-448A-8E64-B1504411B1EC}" type="presParOf" srcId="{1B6208F2-A0FD-43EF-9F1C-F8ED1DCE6DCA}" destId="{6F214507-F10D-4E5C-A5B7-80630223B40C}" srcOrd="0" destOrd="0" presId="urn:microsoft.com/office/officeart/2005/8/layout/hierarchy1"/>
    <dgm:cxn modelId="{30601161-CAEE-4684-934E-3DCC5CC74E6C}" type="presParOf" srcId="{6F214507-F10D-4E5C-A5B7-80630223B40C}" destId="{EA16DB4A-B4B0-47B6-9632-F62F9858960C}" srcOrd="0" destOrd="0" presId="urn:microsoft.com/office/officeart/2005/8/layout/hierarchy1"/>
    <dgm:cxn modelId="{2F36CAED-4167-4F30-B97F-0D0CEF569822}" type="presParOf" srcId="{6F214507-F10D-4E5C-A5B7-80630223B40C}" destId="{54E4F7B4-787C-41FA-AD90-F90BAF9818EC}" srcOrd="1" destOrd="0" presId="urn:microsoft.com/office/officeart/2005/8/layout/hierarchy1"/>
    <dgm:cxn modelId="{6AB768CA-3D14-484A-882A-70666F923FB4}" type="presParOf" srcId="{1B6208F2-A0FD-43EF-9F1C-F8ED1DCE6DCA}" destId="{F74B1B06-6E84-432E-A3EB-C4BE8B523442}" srcOrd="1" destOrd="0" presId="urn:microsoft.com/office/officeart/2005/8/layout/hierarchy1"/>
    <dgm:cxn modelId="{54891178-6F0F-40B1-9195-F9B55F546E54}" type="presParOf" srcId="{F74B1B06-6E84-432E-A3EB-C4BE8B523442}" destId="{E761AE56-CE90-4222-9960-4A0CDDF4E0BD}" srcOrd="0" destOrd="0" presId="urn:microsoft.com/office/officeart/2005/8/layout/hierarchy1"/>
    <dgm:cxn modelId="{B5765BEA-7C9B-4CC0-B346-75EBD20F478C}" type="presParOf" srcId="{F74B1B06-6E84-432E-A3EB-C4BE8B523442}" destId="{BA979169-4986-493B-98ED-67B945E741AA}" srcOrd="1" destOrd="0" presId="urn:microsoft.com/office/officeart/2005/8/layout/hierarchy1"/>
    <dgm:cxn modelId="{EABF6E5F-935C-4E7D-80C8-C9886DA1C9BA}" type="presParOf" srcId="{BA979169-4986-493B-98ED-67B945E741AA}" destId="{B3B1404F-78F7-4BEC-A490-02A2148E72E2}" srcOrd="0" destOrd="0" presId="urn:microsoft.com/office/officeart/2005/8/layout/hierarchy1"/>
    <dgm:cxn modelId="{BDC09DFE-C898-46C2-9224-FB4FC0FA4BD9}" type="presParOf" srcId="{B3B1404F-78F7-4BEC-A490-02A2148E72E2}" destId="{1C287013-79A2-420E-9ED2-58025FF106C4}" srcOrd="0" destOrd="0" presId="urn:microsoft.com/office/officeart/2005/8/layout/hierarchy1"/>
    <dgm:cxn modelId="{39442120-7739-411F-B49C-1284CB9C8614}" type="presParOf" srcId="{B3B1404F-78F7-4BEC-A490-02A2148E72E2}" destId="{F12333DC-4CB8-457D-9E4B-BDD4C936F717}" srcOrd="1" destOrd="0" presId="urn:microsoft.com/office/officeart/2005/8/layout/hierarchy1"/>
    <dgm:cxn modelId="{D3C779C4-9B33-44CB-BD12-26883B64C6F9}" type="presParOf" srcId="{BA979169-4986-493B-98ED-67B945E741AA}" destId="{71E9605C-0221-4E98-BB39-BD4F06C54A38}" srcOrd="1" destOrd="0" presId="urn:microsoft.com/office/officeart/2005/8/layout/hierarchy1"/>
    <dgm:cxn modelId="{C368B726-BFAB-40A0-B2D4-1F692FA0119C}" type="presParOf" srcId="{71E9605C-0221-4E98-BB39-BD4F06C54A38}" destId="{294BA3D9-6304-45BF-ACD1-4574C36C3731}" srcOrd="0" destOrd="0" presId="urn:microsoft.com/office/officeart/2005/8/layout/hierarchy1"/>
    <dgm:cxn modelId="{1874E876-94E2-4EDD-8380-C9E5167527E5}" type="presParOf" srcId="{71E9605C-0221-4E98-BB39-BD4F06C54A38}" destId="{D9D6F5F9-3627-4C73-8FF9-CCF8035C0785}" srcOrd="1" destOrd="0" presId="urn:microsoft.com/office/officeart/2005/8/layout/hierarchy1"/>
    <dgm:cxn modelId="{8D6B214D-2B83-4937-B5AD-A97DA6E694D8}" type="presParOf" srcId="{D9D6F5F9-3627-4C73-8FF9-CCF8035C0785}" destId="{2EA461BF-EDBA-4CD3-99E6-767B43940972}" srcOrd="0" destOrd="0" presId="urn:microsoft.com/office/officeart/2005/8/layout/hierarchy1"/>
    <dgm:cxn modelId="{723C40AD-37DD-4DB6-8A73-E565B23CD328}" type="presParOf" srcId="{2EA461BF-EDBA-4CD3-99E6-767B43940972}" destId="{58ABD3B6-8397-436A-A3FE-FB61AFD9BC0A}" srcOrd="0" destOrd="0" presId="urn:microsoft.com/office/officeart/2005/8/layout/hierarchy1"/>
    <dgm:cxn modelId="{8949EA31-8004-4CB7-854A-725DC0ABAFAA}" type="presParOf" srcId="{2EA461BF-EDBA-4CD3-99E6-767B43940972}" destId="{E06DA392-4121-48FE-898C-EA9B995AC736}" srcOrd="1" destOrd="0" presId="urn:microsoft.com/office/officeart/2005/8/layout/hierarchy1"/>
    <dgm:cxn modelId="{7A95C449-7E04-4EE3-8075-FC780DF38CF4}" type="presParOf" srcId="{D9D6F5F9-3627-4C73-8FF9-CCF8035C0785}" destId="{6A542069-8A76-4FEA-BD0A-208234DA3C83}" srcOrd="1" destOrd="0" presId="urn:microsoft.com/office/officeart/2005/8/layout/hierarchy1"/>
    <dgm:cxn modelId="{57B0035C-289F-46B4-834A-3322A405C92B}" type="presParOf" srcId="{6A542069-8A76-4FEA-BD0A-208234DA3C83}" destId="{EEDE4305-6BEE-4567-8055-BF058B31F6AA}" srcOrd="0" destOrd="0" presId="urn:microsoft.com/office/officeart/2005/8/layout/hierarchy1"/>
    <dgm:cxn modelId="{5D556DE0-83E3-440B-B829-7C48E69B33DF}" type="presParOf" srcId="{6A542069-8A76-4FEA-BD0A-208234DA3C83}" destId="{5C3B9705-73A2-40B9-A6CC-460DAECCBC0B}" srcOrd="1" destOrd="0" presId="urn:microsoft.com/office/officeart/2005/8/layout/hierarchy1"/>
    <dgm:cxn modelId="{046E6896-6C42-42F6-8E2A-A2ABDABFC10A}" type="presParOf" srcId="{5C3B9705-73A2-40B9-A6CC-460DAECCBC0B}" destId="{B2D9E29A-6074-41B9-AA92-21A90B278CBC}" srcOrd="0" destOrd="0" presId="urn:microsoft.com/office/officeart/2005/8/layout/hierarchy1"/>
    <dgm:cxn modelId="{278C0C82-62F3-42C5-A8F2-9CFF243582A9}" type="presParOf" srcId="{B2D9E29A-6074-41B9-AA92-21A90B278CBC}" destId="{99E397A4-D061-4294-8191-9D0C146B0CB0}" srcOrd="0" destOrd="0" presId="urn:microsoft.com/office/officeart/2005/8/layout/hierarchy1"/>
    <dgm:cxn modelId="{4EA5204E-1F71-46C3-9821-69D4C9114D9F}" type="presParOf" srcId="{B2D9E29A-6074-41B9-AA92-21A90B278CBC}" destId="{2DFED99B-A02C-40B9-82A6-E22AE7E6381C}" srcOrd="1" destOrd="0" presId="urn:microsoft.com/office/officeart/2005/8/layout/hierarchy1"/>
    <dgm:cxn modelId="{8E027363-6C5A-40D9-B0E9-43B9F8AE4D61}" type="presParOf" srcId="{5C3B9705-73A2-40B9-A6CC-460DAECCBC0B}" destId="{D4D65DBA-D597-4159-A80D-A92061FCFCCD}" srcOrd="1" destOrd="0" presId="urn:microsoft.com/office/officeart/2005/8/layout/hierarchy1"/>
    <dgm:cxn modelId="{32378D77-1215-4FD1-886C-E107560659EA}" type="presParOf" srcId="{D4D65DBA-D597-4159-A80D-A92061FCFCCD}" destId="{22C212A0-E478-4707-9DEF-DD491731E80B}" srcOrd="0" destOrd="0" presId="urn:microsoft.com/office/officeart/2005/8/layout/hierarchy1"/>
    <dgm:cxn modelId="{0C107434-4208-4AFA-A32D-8DBDEF8BA445}" type="presParOf" srcId="{D4D65DBA-D597-4159-A80D-A92061FCFCCD}" destId="{68A3E23D-7BB1-4FA0-B96A-A6FF03E62C7E}" srcOrd="1" destOrd="0" presId="urn:microsoft.com/office/officeart/2005/8/layout/hierarchy1"/>
    <dgm:cxn modelId="{5D209317-84E7-44A3-8A36-4750BFA69CDD}" type="presParOf" srcId="{68A3E23D-7BB1-4FA0-B96A-A6FF03E62C7E}" destId="{6E089F8A-D70A-4302-8396-AB6D97FCB2B9}" srcOrd="0" destOrd="0" presId="urn:microsoft.com/office/officeart/2005/8/layout/hierarchy1"/>
    <dgm:cxn modelId="{0A862A10-69A6-4EE5-8B19-49805555BB67}" type="presParOf" srcId="{6E089F8A-D70A-4302-8396-AB6D97FCB2B9}" destId="{086AC636-8BD2-4D7D-BBD1-784A7432974E}" srcOrd="0" destOrd="0" presId="urn:microsoft.com/office/officeart/2005/8/layout/hierarchy1"/>
    <dgm:cxn modelId="{D889F450-AA06-4317-A8C8-FBB86660FB82}" type="presParOf" srcId="{6E089F8A-D70A-4302-8396-AB6D97FCB2B9}" destId="{8FE8AA0D-0029-40FD-A077-5942C1A64F35}" srcOrd="1" destOrd="0" presId="urn:microsoft.com/office/officeart/2005/8/layout/hierarchy1"/>
    <dgm:cxn modelId="{6E673FE0-0890-44B5-9895-B1BF427098A0}" type="presParOf" srcId="{68A3E23D-7BB1-4FA0-B96A-A6FF03E62C7E}" destId="{3CBB2438-D371-434B-B2AE-CA485B448223}" srcOrd="1" destOrd="0" presId="urn:microsoft.com/office/officeart/2005/8/layout/hierarchy1"/>
    <dgm:cxn modelId="{87AC2A23-A5F8-4A03-9874-B5D9CF3333C2}" type="presParOf" srcId="{3CBB2438-D371-434B-B2AE-CA485B448223}" destId="{5EEAD4BE-C588-4CAC-B192-38D48297E445}" srcOrd="0" destOrd="0" presId="urn:microsoft.com/office/officeart/2005/8/layout/hierarchy1"/>
    <dgm:cxn modelId="{494A76FC-DEBD-4C1C-968A-C5B041B8D365}" type="presParOf" srcId="{3CBB2438-D371-434B-B2AE-CA485B448223}" destId="{082DE7BA-FFDC-47FF-8AD8-CD5386054D3D}" srcOrd="1" destOrd="0" presId="urn:microsoft.com/office/officeart/2005/8/layout/hierarchy1"/>
    <dgm:cxn modelId="{1654EB67-A141-4C2C-9F54-9FDB415B701D}" type="presParOf" srcId="{082DE7BA-FFDC-47FF-8AD8-CD5386054D3D}" destId="{A9BE7FA5-0ABC-4EE3-9711-19B1B2471228}" srcOrd="0" destOrd="0" presId="urn:microsoft.com/office/officeart/2005/8/layout/hierarchy1"/>
    <dgm:cxn modelId="{9AB54F8B-8D7A-40ED-82B2-25C961F59E86}" type="presParOf" srcId="{A9BE7FA5-0ABC-4EE3-9711-19B1B2471228}" destId="{2448E857-2D6C-404B-A975-6B5CAA3D17BB}" srcOrd="0" destOrd="0" presId="urn:microsoft.com/office/officeart/2005/8/layout/hierarchy1"/>
    <dgm:cxn modelId="{AFE339DF-D8A1-4401-B9FC-BCDC30156A1C}" type="presParOf" srcId="{A9BE7FA5-0ABC-4EE3-9711-19B1B2471228}" destId="{2D1D20DF-E31C-4195-800E-C284CACED65E}" srcOrd="1" destOrd="0" presId="urn:microsoft.com/office/officeart/2005/8/layout/hierarchy1"/>
    <dgm:cxn modelId="{0F47DDC2-9251-42C0-86A0-07B5B82160A2}" type="presParOf" srcId="{082DE7BA-FFDC-47FF-8AD8-CD5386054D3D}" destId="{7C318DF2-D308-4A66-8400-66C1A5181A77}" srcOrd="1" destOrd="0" presId="urn:microsoft.com/office/officeart/2005/8/layout/hierarchy1"/>
    <dgm:cxn modelId="{4CCBA6B1-167C-4662-B538-A4F9F9064070}" type="presParOf" srcId="{7C318DF2-D308-4A66-8400-66C1A5181A77}" destId="{164A8F10-E6C7-4C03-9534-7B87F218103D}" srcOrd="0" destOrd="0" presId="urn:microsoft.com/office/officeart/2005/8/layout/hierarchy1"/>
    <dgm:cxn modelId="{6828CB5C-EC06-40DA-B502-2D208DD710B6}" type="presParOf" srcId="{7C318DF2-D308-4A66-8400-66C1A5181A77}" destId="{29C8ACCF-1D0B-4834-9559-4BEEA8F8A58F}" srcOrd="1" destOrd="0" presId="urn:microsoft.com/office/officeart/2005/8/layout/hierarchy1"/>
    <dgm:cxn modelId="{63ACC24C-7F64-46B5-8486-4EEC1E34BF8A}" type="presParOf" srcId="{29C8ACCF-1D0B-4834-9559-4BEEA8F8A58F}" destId="{AAA55036-D925-4B7D-85A5-57E9A6D6C7C6}" srcOrd="0" destOrd="0" presId="urn:microsoft.com/office/officeart/2005/8/layout/hierarchy1"/>
    <dgm:cxn modelId="{A1293EA3-50C4-4691-8100-0B799BCC5755}" type="presParOf" srcId="{AAA55036-D925-4B7D-85A5-57E9A6D6C7C6}" destId="{F71F2237-E56A-4259-8A34-8825B6A735BB}" srcOrd="0" destOrd="0" presId="urn:microsoft.com/office/officeart/2005/8/layout/hierarchy1"/>
    <dgm:cxn modelId="{8A552A33-AB89-4446-976E-10FA4F071F74}" type="presParOf" srcId="{AAA55036-D925-4B7D-85A5-57E9A6D6C7C6}" destId="{1FCEEEA3-A83E-4E3D-8721-FEB322BF53C3}" srcOrd="1" destOrd="0" presId="urn:microsoft.com/office/officeart/2005/8/layout/hierarchy1"/>
    <dgm:cxn modelId="{476779D8-4E15-45EC-8550-F8726ACF7C8C}" type="presParOf" srcId="{29C8ACCF-1D0B-4834-9559-4BEEA8F8A58F}" destId="{50FCFD47-3DAD-4AB9-940D-CFFEE6273F98}" srcOrd="1" destOrd="0" presId="urn:microsoft.com/office/officeart/2005/8/layout/hierarchy1"/>
    <dgm:cxn modelId="{3A2521E4-4A0F-4680-9936-0FCBCFE0B363}" type="presParOf" srcId="{50FCFD47-3DAD-4AB9-940D-CFFEE6273F98}" destId="{149BA2CA-F2AA-4107-852C-3CCC7C537E4E}" srcOrd="0" destOrd="0" presId="urn:microsoft.com/office/officeart/2005/8/layout/hierarchy1"/>
    <dgm:cxn modelId="{B20A60D0-D90E-40C7-9344-DFFBCB2E4C1C}" type="presParOf" srcId="{50FCFD47-3DAD-4AB9-940D-CFFEE6273F98}" destId="{7FAD321A-4D85-4972-B6B5-3EB54942BDE1}" srcOrd="1" destOrd="0" presId="urn:microsoft.com/office/officeart/2005/8/layout/hierarchy1"/>
    <dgm:cxn modelId="{E2616C31-B8C6-421B-8EDE-54B09C3BDEAE}" type="presParOf" srcId="{7FAD321A-4D85-4972-B6B5-3EB54942BDE1}" destId="{1C735934-9E59-46B2-920E-F8BC58001CDD}" srcOrd="0" destOrd="0" presId="urn:microsoft.com/office/officeart/2005/8/layout/hierarchy1"/>
    <dgm:cxn modelId="{90099FB3-73F0-43A5-8757-9F17AB6B08BE}" type="presParOf" srcId="{1C735934-9E59-46B2-920E-F8BC58001CDD}" destId="{59A00DA6-4271-42E4-A393-2D8BAE0EFCC6}" srcOrd="0" destOrd="0" presId="urn:microsoft.com/office/officeart/2005/8/layout/hierarchy1"/>
    <dgm:cxn modelId="{3BCF95C9-04A0-438B-9947-939F065A0E6D}" type="presParOf" srcId="{1C735934-9E59-46B2-920E-F8BC58001CDD}" destId="{983596D4-044E-411E-95A7-AE9C4EAB624C}" srcOrd="1" destOrd="0" presId="urn:microsoft.com/office/officeart/2005/8/layout/hierarchy1"/>
    <dgm:cxn modelId="{AD336866-80BC-4236-BB51-2F91079605D1}" type="presParOf" srcId="{7FAD321A-4D85-4972-B6B5-3EB54942BDE1}" destId="{2CA83E1A-0DFB-4EB9-9DC2-E96F6A9350FC}" srcOrd="1" destOrd="0" presId="urn:microsoft.com/office/officeart/2005/8/layout/hierarchy1"/>
    <dgm:cxn modelId="{C64B996A-D305-4A32-A4A7-F79AE47670BC}" type="presParOf" srcId="{3CBB2438-D371-434B-B2AE-CA485B448223}" destId="{5E95D2B6-6701-42DA-A99E-865D17C6BC6B}" srcOrd="2" destOrd="0" presId="urn:microsoft.com/office/officeart/2005/8/layout/hierarchy1"/>
    <dgm:cxn modelId="{38A22CC8-50BA-4E73-85DE-F0DB59B746BB}" type="presParOf" srcId="{3CBB2438-D371-434B-B2AE-CA485B448223}" destId="{9458BE09-EDCE-4CF1-B48E-DD44F34E6F49}" srcOrd="3" destOrd="0" presId="urn:microsoft.com/office/officeart/2005/8/layout/hierarchy1"/>
    <dgm:cxn modelId="{EC691551-4103-4BDD-A098-E299E856302B}" type="presParOf" srcId="{9458BE09-EDCE-4CF1-B48E-DD44F34E6F49}" destId="{49CBB21E-BAD8-472A-A78F-0D768EFB2315}" srcOrd="0" destOrd="0" presId="urn:microsoft.com/office/officeart/2005/8/layout/hierarchy1"/>
    <dgm:cxn modelId="{DA86929F-0D36-444B-ADD0-C0ED64876294}" type="presParOf" srcId="{49CBB21E-BAD8-472A-A78F-0D768EFB2315}" destId="{86437429-71F8-48E7-B4DA-1377EB9EC492}" srcOrd="0" destOrd="0" presId="urn:microsoft.com/office/officeart/2005/8/layout/hierarchy1"/>
    <dgm:cxn modelId="{D50929F5-8570-4C33-ACB3-D2A183FDE178}" type="presParOf" srcId="{49CBB21E-BAD8-472A-A78F-0D768EFB2315}" destId="{6E265304-F110-4345-90DE-C8CF71CFA32D}" srcOrd="1" destOrd="0" presId="urn:microsoft.com/office/officeart/2005/8/layout/hierarchy1"/>
    <dgm:cxn modelId="{5E1E812C-2DF1-43FA-BA45-139CCDD5D64E}" type="presParOf" srcId="{9458BE09-EDCE-4CF1-B48E-DD44F34E6F49}" destId="{DF8B5504-A222-4A79-AFEA-2323CF6D7DFA}" srcOrd="1" destOrd="0" presId="urn:microsoft.com/office/officeart/2005/8/layout/hierarchy1"/>
    <dgm:cxn modelId="{521294BD-8AE2-4C6C-80D6-4DF5C5688428}" type="presParOf" srcId="{DF8B5504-A222-4A79-AFEA-2323CF6D7DFA}" destId="{0FC271BB-A521-4B8F-A802-BFB1BD77852C}" srcOrd="0" destOrd="0" presId="urn:microsoft.com/office/officeart/2005/8/layout/hierarchy1"/>
    <dgm:cxn modelId="{BBD4DE0B-AE0B-47CD-91F7-ADC310E445BA}" type="presParOf" srcId="{DF8B5504-A222-4A79-AFEA-2323CF6D7DFA}" destId="{03267ECB-1A73-4D62-80EC-055A980E3D7D}" srcOrd="1" destOrd="0" presId="urn:microsoft.com/office/officeart/2005/8/layout/hierarchy1"/>
    <dgm:cxn modelId="{19AC9E71-2180-4E05-AB9A-699189C594B6}" type="presParOf" srcId="{03267ECB-1A73-4D62-80EC-055A980E3D7D}" destId="{DB0E4800-4D91-4B7C-A5D1-C13B8F2E6BC8}" srcOrd="0" destOrd="0" presId="urn:microsoft.com/office/officeart/2005/8/layout/hierarchy1"/>
    <dgm:cxn modelId="{567CC2F6-34A0-4DBA-A039-875107645DAF}" type="presParOf" srcId="{DB0E4800-4D91-4B7C-A5D1-C13B8F2E6BC8}" destId="{73823A58-CA92-4F0A-BEC1-FFE87CF7C155}" srcOrd="0" destOrd="0" presId="urn:microsoft.com/office/officeart/2005/8/layout/hierarchy1"/>
    <dgm:cxn modelId="{B20E8EBA-5C2E-42BA-AB85-9BFC20123371}" type="presParOf" srcId="{DB0E4800-4D91-4B7C-A5D1-C13B8F2E6BC8}" destId="{58AE3842-256C-4786-BB3B-A3F59B4878E8}" srcOrd="1" destOrd="0" presId="urn:microsoft.com/office/officeart/2005/8/layout/hierarchy1"/>
    <dgm:cxn modelId="{0E7854C4-894E-4683-89C5-562FD2F07C13}" type="presParOf" srcId="{03267ECB-1A73-4D62-80EC-055A980E3D7D}" destId="{8CA2330E-D8D1-49B8-B5E2-013D433472CA}" srcOrd="1" destOrd="0" presId="urn:microsoft.com/office/officeart/2005/8/layout/hierarchy1"/>
    <dgm:cxn modelId="{D0D574B3-2B41-419A-961C-16DB3ECFBD98}" type="presParOf" srcId="{8CA2330E-D8D1-49B8-B5E2-013D433472CA}" destId="{4CBD6ED2-EC1E-42B4-BC3A-52CED455D5D0}" srcOrd="0" destOrd="0" presId="urn:microsoft.com/office/officeart/2005/8/layout/hierarchy1"/>
    <dgm:cxn modelId="{080795E6-6571-4F5E-802F-BCE7740A9B7D}" type="presParOf" srcId="{8CA2330E-D8D1-49B8-B5E2-013D433472CA}" destId="{2B779DAF-0DFB-4214-99DA-72B04C4DB6DB}" srcOrd="1" destOrd="0" presId="urn:microsoft.com/office/officeart/2005/8/layout/hierarchy1"/>
    <dgm:cxn modelId="{12002457-29B5-4833-B681-931B345C5D7D}" type="presParOf" srcId="{2B779DAF-0DFB-4214-99DA-72B04C4DB6DB}" destId="{E5D3A435-19FE-4D57-8D11-76F2FBFB6DFF}" srcOrd="0" destOrd="0" presId="urn:microsoft.com/office/officeart/2005/8/layout/hierarchy1"/>
    <dgm:cxn modelId="{62762199-DEAA-4F50-AE17-8282A79C65BE}" type="presParOf" srcId="{E5D3A435-19FE-4D57-8D11-76F2FBFB6DFF}" destId="{FB94D9FC-6C10-459B-B7E6-C5DB71B85728}" srcOrd="0" destOrd="0" presId="urn:microsoft.com/office/officeart/2005/8/layout/hierarchy1"/>
    <dgm:cxn modelId="{A3EA418D-0B01-4541-A4A7-0CE48B93727D}" type="presParOf" srcId="{E5D3A435-19FE-4D57-8D11-76F2FBFB6DFF}" destId="{A9BB4B6D-B6CD-4984-8673-165A873C9ECB}" srcOrd="1" destOrd="0" presId="urn:microsoft.com/office/officeart/2005/8/layout/hierarchy1"/>
    <dgm:cxn modelId="{AD65814D-6E73-436D-8196-4EDC873D2DAA}" type="presParOf" srcId="{2B779DAF-0DFB-4214-99DA-72B04C4DB6DB}" destId="{8ADD7D29-8BBA-4E81-A500-0DB9A16EBA37}" srcOrd="1" destOrd="0" presId="urn:microsoft.com/office/officeart/2005/8/layout/hierarchy1"/>
    <dgm:cxn modelId="{805F8923-0C2F-4293-A443-2F311DDF4EF9}" type="presParOf" srcId="{8ADD7D29-8BBA-4E81-A500-0DB9A16EBA37}" destId="{031099C9-261A-4E39-97EA-DC99D4F293E0}" srcOrd="0" destOrd="0" presId="urn:microsoft.com/office/officeart/2005/8/layout/hierarchy1"/>
    <dgm:cxn modelId="{877AFB84-0822-487B-977C-3CEE40DD4D90}" type="presParOf" srcId="{8ADD7D29-8BBA-4E81-A500-0DB9A16EBA37}" destId="{0EFF523D-071C-42E3-90A0-D6F36BE7F36C}" srcOrd="1" destOrd="0" presId="urn:microsoft.com/office/officeart/2005/8/layout/hierarchy1"/>
    <dgm:cxn modelId="{23367882-30D3-4D9D-9393-B14981907E50}" type="presParOf" srcId="{0EFF523D-071C-42E3-90A0-D6F36BE7F36C}" destId="{57E0BD6C-87F7-491E-AF88-2F29B410E1E3}" srcOrd="0" destOrd="0" presId="urn:microsoft.com/office/officeart/2005/8/layout/hierarchy1"/>
    <dgm:cxn modelId="{097961EC-E774-43E3-80DB-14102F0ABAF9}" type="presParOf" srcId="{57E0BD6C-87F7-491E-AF88-2F29B410E1E3}" destId="{94CC134E-6229-4ADB-A4B6-135B656712EA}" srcOrd="0" destOrd="0" presId="urn:microsoft.com/office/officeart/2005/8/layout/hierarchy1"/>
    <dgm:cxn modelId="{A046C6F0-B688-46C2-9626-ACE460D1D317}" type="presParOf" srcId="{57E0BD6C-87F7-491E-AF88-2F29B410E1E3}" destId="{FAFB380D-5DCC-492C-9076-F56BDD0E0924}" srcOrd="1" destOrd="0" presId="urn:microsoft.com/office/officeart/2005/8/layout/hierarchy1"/>
    <dgm:cxn modelId="{CE23F1B3-6A9C-4AA7-BE7D-1AC5C3D75FD3}" type="presParOf" srcId="{0EFF523D-071C-42E3-90A0-D6F36BE7F36C}" destId="{B2AEF6C1-E3EA-4637-B369-546ACF72C896}" srcOrd="1" destOrd="0" presId="urn:microsoft.com/office/officeart/2005/8/layout/hierarchy1"/>
    <dgm:cxn modelId="{8A444AAE-4C09-4F65-A96D-F16D712A5FA3}" type="presParOf" srcId="{8CA2330E-D8D1-49B8-B5E2-013D433472CA}" destId="{FB2D0DD8-E41C-4046-B37E-8D68A3A657E1}" srcOrd="2" destOrd="0" presId="urn:microsoft.com/office/officeart/2005/8/layout/hierarchy1"/>
    <dgm:cxn modelId="{F3754F20-F929-4292-8FED-ECC56A658255}" type="presParOf" srcId="{8CA2330E-D8D1-49B8-B5E2-013D433472CA}" destId="{339003F8-179B-45C2-BF67-29666456FF0E}" srcOrd="3" destOrd="0" presId="urn:microsoft.com/office/officeart/2005/8/layout/hierarchy1"/>
    <dgm:cxn modelId="{5A7C4100-4CF3-4DC5-AECE-C794A6B4251B}" type="presParOf" srcId="{339003F8-179B-45C2-BF67-29666456FF0E}" destId="{092E271C-DD1B-476F-ADE0-0159074AD4CD}" srcOrd="0" destOrd="0" presId="urn:microsoft.com/office/officeart/2005/8/layout/hierarchy1"/>
    <dgm:cxn modelId="{063E9A4E-369F-430C-BEF5-549EBE18DA8F}" type="presParOf" srcId="{092E271C-DD1B-476F-ADE0-0159074AD4CD}" destId="{6EBEBEF6-6227-4098-A9BE-9EDA6BC92228}" srcOrd="0" destOrd="0" presId="urn:microsoft.com/office/officeart/2005/8/layout/hierarchy1"/>
    <dgm:cxn modelId="{76A206FA-A855-4458-867C-72F8FEBA48A9}" type="presParOf" srcId="{092E271C-DD1B-476F-ADE0-0159074AD4CD}" destId="{D1FFFED2-0C36-4B70-8589-E8560BB374D5}" srcOrd="1" destOrd="0" presId="urn:microsoft.com/office/officeart/2005/8/layout/hierarchy1"/>
    <dgm:cxn modelId="{97449516-180D-46BA-864C-B039F810C68B}" type="presParOf" srcId="{339003F8-179B-45C2-BF67-29666456FF0E}" destId="{EDE7CC07-151C-42EC-8C18-51BD1E901CD9}" srcOrd="1" destOrd="0" presId="urn:microsoft.com/office/officeart/2005/8/layout/hierarchy1"/>
    <dgm:cxn modelId="{7177E8BF-8466-4E1C-9B31-E01B25FA6E83}" type="presParOf" srcId="{EDE7CC07-151C-42EC-8C18-51BD1E901CD9}" destId="{7B2FE881-08BD-4B64-93DC-1B6912F78B89}" srcOrd="0" destOrd="0" presId="urn:microsoft.com/office/officeart/2005/8/layout/hierarchy1"/>
    <dgm:cxn modelId="{4AA0B328-EE64-409C-B47C-8FFCA9248388}" type="presParOf" srcId="{EDE7CC07-151C-42EC-8C18-51BD1E901CD9}" destId="{E9D71B97-4757-468E-8153-E1E9C5345055}" srcOrd="1" destOrd="0" presId="urn:microsoft.com/office/officeart/2005/8/layout/hierarchy1"/>
    <dgm:cxn modelId="{48292245-5C33-4665-AC16-AD5BBCCEFF8F}" type="presParOf" srcId="{E9D71B97-4757-468E-8153-E1E9C5345055}" destId="{13780419-7709-48B4-9DA4-1009C630AA69}" srcOrd="0" destOrd="0" presId="urn:microsoft.com/office/officeart/2005/8/layout/hierarchy1"/>
    <dgm:cxn modelId="{002752D0-45A6-47FA-BF36-81ABBF2CEECF}" type="presParOf" srcId="{13780419-7709-48B4-9DA4-1009C630AA69}" destId="{568FEB13-0A89-496F-827B-CC14E8DFAE75}" srcOrd="0" destOrd="0" presId="urn:microsoft.com/office/officeart/2005/8/layout/hierarchy1"/>
    <dgm:cxn modelId="{1078901F-AF61-4242-907B-DE775A7E8CF4}" type="presParOf" srcId="{13780419-7709-48B4-9DA4-1009C630AA69}" destId="{BED0D3CA-C679-4D98-8ED0-994D8BB3EEAF}" srcOrd="1" destOrd="0" presId="urn:microsoft.com/office/officeart/2005/8/layout/hierarchy1"/>
    <dgm:cxn modelId="{1AA8AB8B-CE48-4130-BA74-4C6CEABDFD9B}" type="presParOf" srcId="{E9D71B97-4757-468E-8153-E1E9C5345055}" destId="{FA22AC78-0DA3-43FC-A7DC-4E934442560F}" srcOrd="1" destOrd="0" presId="urn:microsoft.com/office/officeart/2005/8/layout/hierarchy1"/>
    <dgm:cxn modelId="{04EF92F1-543C-4055-A446-5D66101B8219}" type="presParOf" srcId="{6A542069-8A76-4FEA-BD0A-208234DA3C83}" destId="{4264E664-AAEB-46E6-BC0D-9254B6CC1F1D}" srcOrd="2" destOrd="0" presId="urn:microsoft.com/office/officeart/2005/8/layout/hierarchy1"/>
    <dgm:cxn modelId="{860B53DC-4124-4663-A204-514DA75FEF40}" type="presParOf" srcId="{6A542069-8A76-4FEA-BD0A-208234DA3C83}" destId="{A9EAF665-CC0B-403C-B98D-A8E39B0359F7}" srcOrd="3" destOrd="0" presId="urn:microsoft.com/office/officeart/2005/8/layout/hierarchy1"/>
    <dgm:cxn modelId="{50A203E8-BB72-4C68-8D53-B0817053ED06}" type="presParOf" srcId="{A9EAF665-CC0B-403C-B98D-A8E39B0359F7}" destId="{6A1BF725-3DE1-453D-A08C-A88F61CEFBBB}" srcOrd="0" destOrd="0" presId="urn:microsoft.com/office/officeart/2005/8/layout/hierarchy1"/>
    <dgm:cxn modelId="{2581F67C-A956-47DA-B111-EE6A541E672A}" type="presParOf" srcId="{6A1BF725-3DE1-453D-A08C-A88F61CEFBBB}" destId="{9DE28170-34DD-4FB6-BF21-5AA679580E46}" srcOrd="0" destOrd="0" presId="urn:microsoft.com/office/officeart/2005/8/layout/hierarchy1"/>
    <dgm:cxn modelId="{746E472D-86AC-4751-BA6C-E0B9CCA5BEF2}" type="presParOf" srcId="{6A1BF725-3DE1-453D-A08C-A88F61CEFBBB}" destId="{663049B5-6373-4B77-BC4A-D7342C3C1747}" srcOrd="1" destOrd="0" presId="urn:microsoft.com/office/officeart/2005/8/layout/hierarchy1"/>
    <dgm:cxn modelId="{FC316261-7D69-445E-AAE0-1FE1E3219D4A}" type="presParOf" srcId="{A9EAF665-CC0B-403C-B98D-A8E39B0359F7}" destId="{F39FFA75-4358-4824-BCC6-168BAAED13CD}" srcOrd="1" destOrd="0" presId="urn:microsoft.com/office/officeart/2005/8/layout/hierarchy1"/>
    <dgm:cxn modelId="{75482FEF-D6D6-4B66-B9BB-F47BB141ADC9}" type="presParOf" srcId="{F39FFA75-4358-4824-BCC6-168BAAED13CD}" destId="{6180C9E9-9E17-4315-9D4C-75C2DD06707D}" srcOrd="0" destOrd="0" presId="urn:microsoft.com/office/officeart/2005/8/layout/hierarchy1"/>
    <dgm:cxn modelId="{0ABD46E3-0FC5-4B91-B091-ED08D97F0D8F}" type="presParOf" srcId="{F39FFA75-4358-4824-BCC6-168BAAED13CD}" destId="{17B4EE6E-00C6-44B3-B85A-DFF2B7EA0A5D}" srcOrd="1" destOrd="0" presId="urn:microsoft.com/office/officeart/2005/8/layout/hierarchy1"/>
    <dgm:cxn modelId="{09717815-6F43-4DFF-AFD6-B0FC82A63960}" type="presParOf" srcId="{17B4EE6E-00C6-44B3-B85A-DFF2B7EA0A5D}" destId="{61F1567F-725B-403E-90B9-DECB0B6F1C26}" srcOrd="0" destOrd="0" presId="urn:microsoft.com/office/officeart/2005/8/layout/hierarchy1"/>
    <dgm:cxn modelId="{FC3DA194-33A9-493A-82AD-67849B00D01F}" type="presParOf" srcId="{61F1567F-725B-403E-90B9-DECB0B6F1C26}" destId="{F2850B31-A576-485A-BD32-7B2DC2EFD52D}" srcOrd="0" destOrd="0" presId="urn:microsoft.com/office/officeart/2005/8/layout/hierarchy1"/>
    <dgm:cxn modelId="{4B699428-8647-465F-892E-79A9BC3A0849}" type="presParOf" srcId="{61F1567F-725B-403E-90B9-DECB0B6F1C26}" destId="{6B701666-03A1-4D1C-B1A0-FCCECB0541C5}" srcOrd="1" destOrd="0" presId="urn:microsoft.com/office/officeart/2005/8/layout/hierarchy1"/>
    <dgm:cxn modelId="{146DEED2-8C05-4F05-AACB-4A4842D2C3D8}" type="presParOf" srcId="{17B4EE6E-00C6-44B3-B85A-DFF2B7EA0A5D}" destId="{DC96A396-DF5A-4E95-8E6B-26D5CA1A0836}" srcOrd="1" destOrd="0" presId="urn:microsoft.com/office/officeart/2005/8/layout/hierarchy1"/>
    <dgm:cxn modelId="{473A3E5A-1E3F-490B-BAB3-A810D61BD818}" type="presParOf" srcId="{F74B1B06-6E84-432E-A3EB-C4BE8B523442}" destId="{C505A66B-724E-4F1B-9887-F6299AEDC661}" srcOrd="2" destOrd="0" presId="urn:microsoft.com/office/officeart/2005/8/layout/hierarchy1"/>
    <dgm:cxn modelId="{FE3EF754-AE2B-49A0-81E5-B6645F741788}" type="presParOf" srcId="{F74B1B06-6E84-432E-A3EB-C4BE8B523442}" destId="{2DED8B87-063B-4E1A-97C0-B47DC50A5DCE}" srcOrd="3" destOrd="0" presId="urn:microsoft.com/office/officeart/2005/8/layout/hierarchy1"/>
    <dgm:cxn modelId="{C2E86F48-C796-4013-9F12-6FF504596B01}" type="presParOf" srcId="{2DED8B87-063B-4E1A-97C0-B47DC50A5DCE}" destId="{28C219AB-CF58-4ABE-8B5D-BD9B04EF4160}" srcOrd="0" destOrd="0" presId="urn:microsoft.com/office/officeart/2005/8/layout/hierarchy1"/>
    <dgm:cxn modelId="{62F89748-5700-4418-8307-90A81CD8660E}" type="presParOf" srcId="{28C219AB-CF58-4ABE-8B5D-BD9B04EF4160}" destId="{1421A347-00D4-41B7-9BFB-B40D67ED16C4}" srcOrd="0" destOrd="0" presId="urn:microsoft.com/office/officeart/2005/8/layout/hierarchy1"/>
    <dgm:cxn modelId="{177C5C7F-8909-437C-9BC1-582947C64909}" type="presParOf" srcId="{28C219AB-CF58-4ABE-8B5D-BD9B04EF4160}" destId="{3C0026CB-570D-4FB6-9D91-1115855B4CC7}" srcOrd="1" destOrd="0" presId="urn:microsoft.com/office/officeart/2005/8/layout/hierarchy1"/>
    <dgm:cxn modelId="{64FE2DF6-7FA7-4A7F-A826-13127E53D11F}" type="presParOf" srcId="{2DED8B87-063B-4E1A-97C0-B47DC50A5DCE}" destId="{86EAB9DD-EF71-4B7A-AB0F-40AC90BC62C5}" srcOrd="1" destOrd="0" presId="urn:microsoft.com/office/officeart/2005/8/layout/hierarchy1"/>
    <dgm:cxn modelId="{96C2C0BA-2A7D-483C-9B1F-9CB36BFB2FA1}" type="presParOf" srcId="{86EAB9DD-EF71-4B7A-AB0F-40AC90BC62C5}" destId="{1FE43F7B-EE3B-4757-AF33-557237C55B00}" srcOrd="0" destOrd="0" presId="urn:microsoft.com/office/officeart/2005/8/layout/hierarchy1"/>
    <dgm:cxn modelId="{DFAD5243-4A26-4DCD-BCD0-5D9DE5B2D5E6}" type="presParOf" srcId="{86EAB9DD-EF71-4B7A-AB0F-40AC90BC62C5}" destId="{AAD141C1-AC04-491A-8FAD-7EBDE95DC36A}" srcOrd="1" destOrd="0" presId="urn:microsoft.com/office/officeart/2005/8/layout/hierarchy1"/>
    <dgm:cxn modelId="{FBAA6C43-92DB-4C5E-9D78-0E1DAAB3C8E6}" type="presParOf" srcId="{AAD141C1-AC04-491A-8FAD-7EBDE95DC36A}" destId="{F93479CE-27AD-4781-9C43-2125C5AC96F4}" srcOrd="0" destOrd="0" presId="urn:microsoft.com/office/officeart/2005/8/layout/hierarchy1"/>
    <dgm:cxn modelId="{E0C7F455-30E4-4B31-91F6-77D301B5BB55}" type="presParOf" srcId="{F93479CE-27AD-4781-9C43-2125C5AC96F4}" destId="{D5E99A19-C8D5-472B-AE7D-C5FE521CD0E3}" srcOrd="0" destOrd="0" presId="urn:microsoft.com/office/officeart/2005/8/layout/hierarchy1"/>
    <dgm:cxn modelId="{8B817EF8-A6B7-4B42-B451-FF1060B5BA70}" type="presParOf" srcId="{F93479CE-27AD-4781-9C43-2125C5AC96F4}" destId="{7435D853-5424-4E00-976A-AB43151198DC}" srcOrd="1" destOrd="0" presId="urn:microsoft.com/office/officeart/2005/8/layout/hierarchy1"/>
    <dgm:cxn modelId="{D731815E-0E86-4A6F-80D0-12A9B595B1BA}" type="presParOf" srcId="{AAD141C1-AC04-491A-8FAD-7EBDE95DC36A}" destId="{8F66414B-0CD8-4205-B7F6-66E45C10BE01}" srcOrd="1" destOrd="0" presId="urn:microsoft.com/office/officeart/2005/8/layout/hierarchy1"/>
    <dgm:cxn modelId="{F57417D4-1DF1-49CB-BE22-13475794261A}" type="presParOf" srcId="{8F66414B-0CD8-4205-B7F6-66E45C10BE01}" destId="{8412DFCD-B9EC-4DFA-ADBD-11DB3FCCD6F5}" srcOrd="0" destOrd="0" presId="urn:microsoft.com/office/officeart/2005/8/layout/hierarchy1"/>
    <dgm:cxn modelId="{E1B50C1E-3577-406D-9CE4-19B131D7EEBD}" type="presParOf" srcId="{8F66414B-0CD8-4205-B7F6-66E45C10BE01}" destId="{CB106C75-838D-429E-B78D-C5B181CEFA82}" srcOrd="1" destOrd="0" presId="urn:microsoft.com/office/officeart/2005/8/layout/hierarchy1"/>
    <dgm:cxn modelId="{21ADE72C-D64D-4109-8DE4-F9D6618E6541}" type="presParOf" srcId="{CB106C75-838D-429E-B78D-C5B181CEFA82}" destId="{1F84D19C-3A7C-4299-B418-828F0103D580}" srcOrd="0" destOrd="0" presId="urn:microsoft.com/office/officeart/2005/8/layout/hierarchy1"/>
    <dgm:cxn modelId="{825F970F-B2C4-4528-94DF-98A0AFCA89D8}" type="presParOf" srcId="{1F84D19C-3A7C-4299-B418-828F0103D580}" destId="{753C62EC-C1AB-4CED-BE5B-38381CDE299C}" srcOrd="0" destOrd="0" presId="urn:microsoft.com/office/officeart/2005/8/layout/hierarchy1"/>
    <dgm:cxn modelId="{52B66B20-1EDA-41D9-866D-1D668944E1BC}" type="presParOf" srcId="{1F84D19C-3A7C-4299-B418-828F0103D580}" destId="{D7DF41A5-A564-42D1-BBD1-5C26F51BBE40}" srcOrd="1" destOrd="0" presId="urn:microsoft.com/office/officeart/2005/8/layout/hierarchy1"/>
    <dgm:cxn modelId="{7141EEAF-8AF3-4DFA-8A62-1AB5FDD12EFD}" type="presParOf" srcId="{CB106C75-838D-429E-B78D-C5B181CEFA82}" destId="{B1D3488D-F4E5-42FA-BC2A-9000059B4B54}" srcOrd="1" destOrd="0" presId="urn:microsoft.com/office/officeart/2005/8/layout/hierarchy1"/>
    <dgm:cxn modelId="{FD2208DB-3B84-48E3-AA7E-169989360A37}" type="presParOf" srcId="{B1D3488D-F4E5-42FA-BC2A-9000059B4B54}" destId="{4A363771-E962-44A4-8D98-D48AF729C001}" srcOrd="0" destOrd="0" presId="urn:microsoft.com/office/officeart/2005/8/layout/hierarchy1"/>
    <dgm:cxn modelId="{9A3D5495-5FC0-4FA8-BCBC-A1AF8EC1B4C4}" type="presParOf" srcId="{B1D3488D-F4E5-42FA-BC2A-9000059B4B54}" destId="{13BB8512-1202-458F-A2A2-32CE7FD29AC5}" srcOrd="1" destOrd="0" presId="urn:microsoft.com/office/officeart/2005/8/layout/hierarchy1"/>
    <dgm:cxn modelId="{145D18A5-0E80-46F8-9E0D-72C75D5A98CB}" type="presParOf" srcId="{13BB8512-1202-458F-A2A2-32CE7FD29AC5}" destId="{89D1512F-41B9-48D4-9C07-A3DED3ED9A31}" srcOrd="0" destOrd="0" presId="urn:microsoft.com/office/officeart/2005/8/layout/hierarchy1"/>
    <dgm:cxn modelId="{1DA62529-0783-4CE1-8046-7BD6580D5BC7}" type="presParOf" srcId="{89D1512F-41B9-48D4-9C07-A3DED3ED9A31}" destId="{CB057AD0-9676-491C-B1BE-6BB9F9E31356}" srcOrd="0" destOrd="0" presId="urn:microsoft.com/office/officeart/2005/8/layout/hierarchy1"/>
    <dgm:cxn modelId="{B936A271-76E2-471F-A58F-1C6232D3EDD2}" type="presParOf" srcId="{89D1512F-41B9-48D4-9C07-A3DED3ED9A31}" destId="{ED7B5BEE-F9C3-4198-B485-7658222E3676}" srcOrd="1" destOrd="0" presId="urn:microsoft.com/office/officeart/2005/8/layout/hierarchy1"/>
    <dgm:cxn modelId="{3EB718A5-134A-45D1-8AA3-CF45CDBC7E40}" type="presParOf" srcId="{13BB8512-1202-458F-A2A2-32CE7FD29AC5}" destId="{7CC405D6-4550-4A09-810D-A6B2674FC05E}" srcOrd="1" destOrd="0" presId="urn:microsoft.com/office/officeart/2005/8/layout/hierarchy1"/>
    <dgm:cxn modelId="{C9C00514-2D77-4B47-A48B-94F687ADAA40}" type="presParOf" srcId="{7CC405D6-4550-4A09-810D-A6B2674FC05E}" destId="{3F8FF0DE-81AE-4D4A-BF8D-F9F2BAF1B32F}" srcOrd="0" destOrd="0" presId="urn:microsoft.com/office/officeart/2005/8/layout/hierarchy1"/>
    <dgm:cxn modelId="{3AC0EC1A-91F7-4B5F-A2A3-1143F8BA8BA0}" type="presParOf" srcId="{7CC405D6-4550-4A09-810D-A6B2674FC05E}" destId="{B39984A3-83D4-4E42-B823-9812142D0B28}" srcOrd="1" destOrd="0" presId="urn:microsoft.com/office/officeart/2005/8/layout/hierarchy1"/>
    <dgm:cxn modelId="{79F5599C-2D5F-4D01-AD94-26761A174094}" type="presParOf" srcId="{B39984A3-83D4-4E42-B823-9812142D0B28}" destId="{BF2421DD-E652-4FC8-A7D1-703DA6649328}" srcOrd="0" destOrd="0" presId="urn:microsoft.com/office/officeart/2005/8/layout/hierarchy1"/>
    <dgm:cxn modelId="{D8556632-88EE-4AB3-B761-1A8C40D7FD80}" type="presParOf" srcId="{BF2421DD-E652-4FC8-A7D1-703DA6649328}" destId="{6B9CF6FC-AD7D-4D1C-BDF4-E72A80BEDB1A}" srcOrd="0" destOrd="0" presId="urn:microsoft.com/office/officeart/2005/8/layout/hierarchy1"/>
    <dgm:cxn modelId="{181867F5-194A-4069-A01B-41D87E99A111}" type="presParOf" srcId="{BF2421DD-E652-4FC8-A7D1-703DA6649328}" destId="{1BCC0DF7-8C70-4BAF-BB37-87AECFC4E104}" srcOrd="1" destOrd="0" presId="urn:microsoft.com/office/officeart/2005/8/layout/hierarchy1"/>
    <dgm:cxn modelId="{A4F82DD1-9745-4E49-9AB4-C4FFBD5AA223}" type="presParOf" srcId="{B39984A3-83D4-4E42-B823-9812142D0B28}" destId="{4CA477DF-BB92-46F1-A018-5694CCF70205}" srcOrd="1" destOrd="0" presId="urn:microsoft.com/office/officeart/2005/8/layout/hierarchy1"/>
    <dgm:cxn modelId="{BFA003FD-A8EB-46F6-AACF-1DA0945B8C1C}" type="presParOf" srcId="{8F66414B-0CD8-4205-B7F6-66E45C10BE01}" destId="{A122E2FB-FC86-45B4-9E31-60BE1D27A1A4}" srcOrd="2" destOrd="0" presId="urn:microsoft.com/office/officeart/2005/8/layout/hierarchy1"/>
    <dgm:cxn modelId="{B3890A78-F2F0-4845-8733-912E1A5707E4}" type="presParOf" srcId="{8F66414B-0CD8-4205-B7F6-66E45C10BE01}" destId="{4FA4968F-CB19-4BD7-AA7A-AE988F3DE147}" srcOrd="3" destOrd="0" presId="urn:microsoft.com/office/officeart/2005/8/layout/hierarchy1"/>
    <dgm:cxn modelId="{ABC0A509-6B9A-452C-8238-CA740934D4FC}" type="presParOf" srcId="{4FA4968F-CB19-4BD7-AA7A-AE988F3DE147}" destId="{16A3A3CC-22E4-4498-A2BD-E4E2544372A6}" srcOrd="0" destOrd="0" presId="urn:microsoft.com/office/officeart/2005/8/layout/hierarchy1"/>
    <dgm:cxn modelId="{0A2E1373-D309-4238-AD90-B092339D5650}" type="presParOf" srcId="{16A3A3CC-22E4-4498-A2BD-E4E2544372A6}" destId="{B1CAFCAA-45E9-4152-BE75-398DB76C8757}" srcOrd="0" destOrd="0" presId="urn:microsoft.com/office/officeart/2005/8/layout/hierarchy1"/>
    <dgm:cxn modelId="{ED7C60A9-2631-4C84-9A84-57885130308C}" type="presParOf" srcId="{16A3A3CC-22E4-4498-A2BD-E4E2544372A6}" destId="{3F181E96-5125-4A9D-9C7F-9DA67B1011CC}" srcOrd="1" destOrd="0" presId="urn:microsoft.com/office/officeart/2005/8/layout/hierarchy1"/>
    <dgm:cxn modelId="{34202140-F545-41A5-B1AC-D1B9D11AB738}" type="presParOf" srcId="{4FA4968F-CB19-4BD7-AA7A-AE988F3DE147}" destId="{303B3607-9218-4D5E-86A4-2A2394F73923}" srcOrd="1" destOrd="0" presId="urn:microsoft.com/office/officeart/2005/8/layout/hierarchy1"/>
    <dgm:cxn modelId="{6C5F0940-40EF-42DA-BED5-6B4E01B46823}" type="presParOf" srcId="{303B3607-9218-4D5E-86A4-2A2394F73923}" destId="{20A9D83D-D525-43EE-BEAE-4F2B50A13FE4}" srcOrd="0" destOrd="0" presId="urn:microsoft.com/office/officeart/2005/8/layout/hierarchy1"/>
    <dgm:cxn modelId="{7D056583-E4B8-404B-ACFD-768DCE2BEC2F}" type="presParOf" srcId="{303B3607-9218-4D5E-86A4-2A2394F73923}" destId="{49922276-EB54-4A5C-A1F9-232CE323B4C3}" srcOrd="1" destOrd="0" presId="urn:microsoft.com/office/officeart/2005/8/layout/hierarchy1"/>
    <dgm:cxn modelId="{CE2AD544-AFB0-48DC-B8D9-1A3BE019AEED}" type="presParOf" srcId="{49922276-EB54-4A5C-A1F9-232CE323B4C3}" destId="{35286369-E5EA-41F0-8C71-40F65A4AA207}" srcOrd="0" destOrd="0" presId="urn:microsoft.com/office/officeart/2005/8/layout/hierarchy1"/>
    <dgm:cxn modelId="{4845A182-1B1E-49E9-9472-97C1A2942F83}" type="presParOf" srcId="{35286369-E5EA-41F0-8C71-40F65A4AA207}" destId="{5BCDF3A6-EB33-4077-9968-EA51F0245B38}" srcOrd="0" destOrd="0" presId="urn:microsoft.com/office/officeart/2005/8/layout/hierarchy1"/>
    <dgm:cxn modelId="{D5BEC433-D6F1-405C-9320-081F8C7A7632}" type="presParOf" srcId="{35286369-E5EA-41F0-8C71-40F65A4AA207}" destId="{5437E7CE-0F53-4CD7-AB33-3581C8AEDDE1}" srcOrd="1" destOrd="0" presId="urn:microsoft.com/office/officeart/2005/8/layout/hierarchy1"/>
    <dgm:cxn modelId="{24E88763-CEEF-4629-B9FA-B32CF1528C4E}" type="presParOf" srcId="{49922276-EB54-4A5C-A1F9-232CE323B4C3}" destId="{92458F60-BD85-4605-81D1-5A7C3FD9B061}" srcOrd="1" destOrd="0" presId="urn:microsoft.com/office/officeart/2005/8/layout/hierarchy1"/>
    <dgm:cxn modelId="{3087D68C-7D0F-4DBB-8863-00DDD511DF46}" type="presParOf" srcId="{92458F60-BD85-4605-81D1-5A7C3FD9B061}" destId="{276DB0D9-6AE6-4B14-B718-F3B1D9514C0B}" srcOrd="0" destOrd="0" presId="urn:microsoft.com/office/officeart/2005/8/layout/hierarchy1"/>
    <dgm:cxn modelId="{1D4A3B57-CC2A-4629-A14A-5F7FD0678C40}" type="presParOf" srcId="{92458F60-BD85-4605-81D1-5A7C3FD9B061}" destId="{1C56C160-F10C-45E1-B422-FD65413B6D9E}" srcOrd="1" destOrd="0" presId="urn:microsoft.com/office/officeart/2005/8/layout/hierarchy1"/>
    <dgm:cxn modelId="{E31E38B9-9B17-4568-BC84-8310BC1C4C3D}" type="presParOf" srcId="{1C56C160-F10C-45E1-B422-FD65413B6D9E}" destId="{D005E1AD-12FD-4BB3-9426-FAC73A33F5EC}" srcOrd="0" destOrd="0" presId="urn:microsoft.com/office/officeart/2005/8/layout/hierarchy1"/>
    <dgm:cxn modelId="{50CD3E6E-FB63-4999-82E5-6E45111A70D7}" type="presParOf" srcId="{D005E1AD-12FD-4BB3-9426-FAC73A33F5EC}" destId="{86312DB4-49EF-4E09-9971-4502E2C77085}" srcOrd="0" destOrd="0" presId="urn:microsoft.com/office/officeart/2005/8/layout/hierarchy1"/>
    <dgm:cxn modelId="{14B574F9-2918-423F-90AB-50437F029629}" type="presParOf" srcId="{D005E1AD-12FD-4BB3-9426-FAC73A33F5EC}" destId="{90EC5BA3-4858-466B-B78F-7F8B364FB115}" srcOrd="1" destOrd="0" presId="urn:microsoft.com/office/officeart/2005/8/layout/hierarchy1"/>
    <dgm:cxn modelId="{675D15DD-E466-4A1A-9040-FEFC53453E8F}" type="presParOf" srcId="{1C56C160-F10C-45E1-B422-FD65413B6D9E}" destId="{8B54ED68-7D65-409B-8941-80F7D58366E8}" srcOrd="1" destOrd="0" presId="urn:microsoft.com/office/officeart/2005/8/layout/hierarchy1"/>
    <dgm:cxn modelId="{5235E2E1-0846-431A-BBFD-8B89CF3BEC08}" type="presParOf" srcId="{8B54ED68-7D65-409B-8941-80F7D58366E8}" destId="{C70420F2-937D-4978-B957-EE6D8E1DC9A6}" srcOrd="0" destOrd="0" presId="urn:microsoft.com/office/officeart/2005/8/layout/hierarchy1"/>
    <dgm:cxn modelId="{EDD55DA6-D069-4A93-B7A3-D0C01DD84474}" type="presParOf" srcId="{8B54ED68-7D65-409B-8941-80F7D58366E8}" destId="{8AE839D8-A253-42E2-A118-9C8315E5EB7F}" srcOrd="1" destOrd="0" presId="urn:microsoft.com/office/officeart/2005/8/layout/hierarchy1"/>
    <dgm:cxn modelId="{D44160C6-4E1B-4EAD-B55A-BDBC05A157D5}" type="presParOf" srcId="{8AE839D8-A253-42E2-A118-9C8315E5EB7F}" destId="{92B59618-3EB8-4807-9722-8EB3C77B7057}" srcOrd="0" destOrd="0" presId="urn:microsoft.com/office/officeart/2005/8/layout/hierarchy1"/>
    <dgm:cxn modelId="{3A165316-8A87-465F-A2E7-53B2BFAA62F0}" type="presParOf" srcId="{92B59618-3EB8-4807-9722-8EB3C77B7057}" destId="{121EF3F1-B38F-4DD3-AB0C-A2CE0F0A3ED8}" srcOrd="0" destOrd="0" presId="urn:microsoft.com/office/officeart/2005/8/layout/hierarchy1"/>
    <dgm:cxn modelId="{0D7F2189-A09C-475A-847E-D4B72C38A5BB}" type="presParOf" srcId="{92B59618-3EB8-4807-9722-8EB3C77B7057}" destId="{0B82F3A7-975E-4F3D-BD08-C87136B65269}" srcOrd="1" destOrd="0" presId="urn:microsoft.com/office/officeart/2005/8/layout/hierarchy1"/>
    <dgm:cxn modelId="{F069599C-0D84-45F3-ADE6-7355FBE64544}" type="presParOf" srcId="{8AE839D8-A253-42E2-A118-9C8315E5EB7F}" destId="{F301FBB9-3BFE-4F7D-8B6D-3FFA045113EC}" srcOrd="1" destOrd="0" presId="urn:microsoft.com/office/officeart/2005/8/layout/hierarchy1"/>
    <dgm:cxn modelId="{08FE112F-762A-44DB-B0F5-7AE9FDE23FA5}" type="presParOf" srcId="{92458F60-BD85-4605-81D1-5A7C3FD9B061}" destId="{52B41DBE-A2A0-4A3D-9705-D59D2F08EF2F}" srcOrd="2" destOrd="0" presId="urn:microsoft.com/office/officeart/2005/8/layout/hierarchy1"/>
    <dgm:cxn modelId="{F1A8F4AD-3289-4FCE-B8E2-E14143F99A9A}" type="presParOf" srcId="{92458F60-BD85-4605-81D1-5A7C3FD9B061}" destId="{073C487B-251B-4566-9695-618D84799591}" srcOrd="3" destOrd="0" presId="urn:microsoft.com/office/officeart/2005/8/layout/hierarchy1"/>
    <dgm:cxn modelId="{17FF174F-3E39-416B-B322-1BAEB524EDD4}" type="presParOf" srcId="{073C487B-251B-4566-9695-618D84799591}" destId="{9F3AE5F0-E08C-4DB0-B73C-B6E77169BB5D}" srcOrd="0" destOrd="0" presId="urn:microsoft.com/office/officeart/2005/8/layout/hierarchy1"/>
    <dgm:cxn modelId="{9A64FBAE-2F81-4E1E-AAD6-1A5A8A24C18B}" type="presParOf" srcId="{9F3AE5F0-E08C-4DB0-B73C-B6E77169BB5D}" destId="{913EDDDA-F6EC-4839-9551-AA631048EAD0}" srcOrd="0" destOrd="0" presId="urn:microsoft.com/office/officeart/2005/8/layout/hierarchy1"/>
    <dgm:cxn modelId="{3A36BF5A-E2CF-447F-966A-89B157CC1C07}" type="presParOf" srcId="{9F3AE5F0-E08C-4DB0-B73C-B6E77169BB5D}" destId="{E5181B57-9C20-428C-B1DB-330480A7BF2D}" srcOrd="1" destOrd="0" presId="urn:microsoft.com/office/officeart/2005/8/layout/hierarchy1"/>
    <dgm:cxn modelId="{7AAC4A3B-C6AF-41FE-973A-F58046672F53}" type="presParOf" srcId="{073C487B-251B-4566-9695-618D84799591}" destId="{70B0B2E2-316F-4AD6-BF09-A440DA3E8303}" srcOrd="1" destOrd="0" presId="urn:microsoft.com/office/officeart/2005/8/layout/hierarchy1"/>
    <dgm:cxn modelId="{1F6D589F-123F-4E45-9353-F4317B9D629C}" type="presParOf" srcId="{70B0B2E2-316F-4AD6-BF09-A440DA3E8303}" destId="{708E3F44-B8F8-4570-862B-656D7E835D42}" srcOrd="0" destOrd="0" presId="urn:microsoft.com/office/officeart/2005/8/layout/hierarchy1"/>
    <dgm:cxn modelId="{F6AF8763-9862-4004-925E-BB25730E23B6}" type="presParOf" srcId="{70B0B2E2-316F-4AD6-BF09-A440DA3E8303}" destId="{5A92ADD5-4436-4293-93F8-8672C832A723}" srcOrd="1" destOrd="0" presId="urn:microsoft.com/office/officeart/2005/8/layout/hierarchy1"/>
    <dgm:cxn modelId="{11BC9E73-3762-419E-847F-698C5C31601D}" type="presParOf" srcId="{5A92ADD5-4436-4293-93F8-8672C832A723}" destId="{EA57D044-9B63-4E5C-819E-016EDAF70863}" srcOrd="0" destOrd="0" presId="urn:microsoft.com/office/officeart/2005/8/layout/hierarchy1"/>
    <dgm:cxn modelId="{1FBE96D1-A550-4CF6-B156-D647AB1DF21D}" type="presParOf" srcId="{EA57D044-9B63-4E5C-819E-016EDAF70863}" destId="{57733B21-4E53-4054-A0D5-CD4819832574}" srcOrd="0" destOrd="0" presId="urn:microsoft.com/office/officeart/2005/8/layout/hierarchy1"/>
    <dgm:cxn modelId="{44159555-0B66-46C4-939B-1558B5B4C46D}" type="presParOf" srcId="{EA57D044-9B63-4E5C-819E-016EDAF70863}" destId="{FD7CED38-76FF-49C8-8179-F82812E77090}" srcOrd="1" destOrd="0" presId="urn:microsoft.com/office/officeart/2005/8/layout/hierarchy1"/>
    <dgm:cxn modelId="{1ABC653D-39EF-49D7-A56E-6F5920FA8C03}" type="presParOf" srcId="{5A92ADD5-4436-4293-93F8-8672C832A723}" destId="{ABB9D27A-5056-45E1-BEEA-7CA8B325FEB5}" srcOrd="1" destOrd="0" presId="urn:microsoft.com/office/officeart/2005/8/layout/hierarchy1"/>
  </dgm:cxnLst>
  <dgm:bg/>
  <dgm:whole/>
  <dgm:extLst>
    <a:ext uri="http://schemas.microsoft.com/office/drawing/2008/diagram">
      <dsp:dataModelExt xmlns:dsp="http://schemas.microsoft.com/office/drawing/2008/diagram" relId="rId24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FD9CF94-71AB-4098-B8F7-783C3FDC20C9}" type="doc">
      <dgm:prSet loTypeId="urn:microsoft.com/office/officeart/2005/8/layout/hList6" loCatId="list" qsTypeId="urn:microsoft.com/office/officeart/2005/8/quickstyle/simple1" qsCatId="simple" csTypeId="urn:microsoft.com/office/officeart/2005/8/colors/colorful1" csCatId="colorful" phldr="1"/>
      <dgm:spPr/>
      <dgm:t>
        <a:bodyPr/>
        <a:lstStyle/>
        <a:p>
          <a:endParaRPr lang="en-US"/>
        </a:p>
      </dgm:t>
    </dgm:pt>
    <dgm:pt modelId="{4B572688-D677-4206-A773-A9E7528FB1D6}">
      <dgm:prSet phldrT="[Text]"/>
      <dgm:spPr>
        <a:xfrm rot="16200000">
          <a:off x="-2516653" y="2521565"/>
          <a:ext cx="6766560" cy="1723429"/>
        </a:xfrm>
        <a:solidFill>
          <a:srgbClr val="F3A44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endParaRPr lang="en-US" sz="1000">
            <a:solidFill>
              <a:sysClr val="windowText" lastClr="000000">
                <a:lumMod val="75000"/>
                <a:lumOff val="25000"/>
              </a:sysClr>
            </a:solidFill>
            <a:latin typeface="Calibri" panose="020F0502020204030204"/>
            <a:ea typeface="+mn-ea"/>
            <a:cs typeface="+mn-cs"/>
          </a:endParaRPr>
        </a:p>
        <a:p>
          <a:r>
            <a:rPr lang="en-US" sz="1000" b="1">
              <a:solidFill>
                <a:sysClr val="windowText" lastClr="000000">
                  <a:lumMod val="75000"/>
                  <a:lumOff val="25000"/>
                </a:sysClr>
              </a:solidFill>
              <a:latin typeface="Calibri" panose="020F0502020204030204"/>
              <a:ea typeface="+mn-ea"/>
              <a:cs typeface="+mn-cs"/>
            </a:rPr>
            <a:t>Owners</a:t>
          </a:r>
        </a:p>
      </dgm:t>
    </dgm:pt>
    <dgm:pt modelId="{58528259-FB04-4A3C-A3DE-776DF46792E0}" type="parTrans" cxnId="{FF417EBE-12D0-4196-96D1-3B4AF60491BE}">
      <dgm:prSet/>
      <dgm:spPr/>
      <dgm:t>
        <a:bodyPr/>
        <a:lstStyle/>
        <a:p>
          <a:endParaRPr lang="en-US">
            <a:solidFill>
              <a:schemeClr val="tx1">
                <a:lumMod val="75000"/>
                <a:lumOff val="25000"/>
              </a:schemeClr>
            </a:solidFill>
          </a:endParaRPr>
        </a:p>
      </dgm:t>
    </dgm:pt>
    <dgm:pt modelId="{A0CB5395-7862-4970-ADCD-96FCE3D5D3B2}" type="sibTrans" cxnId="{FF417EBE-12D0-4196-96D1-3B4AF60491BE}">
      <dgm:prSet/>
      <dgm:spPr/>
      <dgm:t>
        <a:bodyPr/>
        <a:lstStyle/>
        <a:p>
          <a:endParaRPr lang="en-US">
            <a:solidFill>
              <a:schemeClr val="tx1">
                <a:lumMod val="75000"/>
                <a:lumOff val="25000"/>
              </a:schemeClr>
            </a:solidFill>
          </a:endParaRPr>
        </a:p>
      </dgm:t>
    </dgm:pt>
    <dgm:pt modelId="{1136D019-FA49-4785-8EF8-0F5259AA376F}">
      <dgm:prSet phldrT="[Text]" custT="1"/>
      <dgm:spPr>
        <a:xfrm rot="16200000">
          <a:off x="-2516653" y="2521565"/>
          <a:ext cx="6766560" cy="1723429"/>
        </a:xfrm>
        <a:solidFill>
          <a:srgbClr val="F3A44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r>
            <a:rPr lang="en-US" sz="800">
              <a:solidFill>
                <a:sysClr val="windowText" lastClr="000000">
                  <a:lumMod val="75000"/>
                  <a:lumOff val="25000"/>
                </a:sysClr>
              </a:solidFill>
              <a:latin typeface="Calibri" panose="020F0502020204030204"/>
              <a:ea typeface="+mn-ea"/>
              <a:cs typeface="+mn-cs"/>
            </a:rPr>
            <a:t>Owners must use the </a:t>
          </a:r>
          <a:r>
            <a:rPr lang="en-US" sz="800" b="1">
              <a:solidFill>
                <a:srgbClr val="8162AE"/>
              </a:solidFill>
              <a:latin typeface="Calibri" panose="020F0502020204030204"/>
              <a:ea typeface="+mn-ea"/>
              <a:cs typeface="+mn-cs"/>
            </a:rPr>
            <a:t>VAWA Lease Addendum</a:t>
          </a:r>
          <a:r>
            <a:rPr lang="en-US" sz="800">
              <a:solidFill>
                <a:sysClr val="windowText" lastClr="000000">
                  <a:lumMod val="75000"/>
                  <a:lumOff val="25000"/>
                </a:sysClr>
              </a:solidFill>
              <a:latin typeface="Calibri" panose="020F0502020204030204"/>
              <a:ea typeface="+mn-ea"/>
              <a:cs typeface="+mn-cs"/>
            </a:rPr>
            <a:t>. The Addendum incorporates eviction prohibitions, lease construction provisions, and confidentiality requirements for documentation submitted by survivors requesting emergency transfers and of each survivor's housing location. </a:t>
          </a:r>
        </a:p>
      </dgm:t>
    </dgm:pt>
    <dgm:pt modelId="{A06147C7-9BF0-4E17-94FC-C7BDF63FFDFB}" type="parTrans" cxnId="{30D6E3CA-6778-4D72-B036-3F3735316302}">
      <dgm:prSet/>
      <dgm:spPr/>
      <dgm:t>
        <a:bodyPr/>
        <a:lstStyle/>
        <a:p>
          <a:endParaRPr lang="en-US">
            <a:solidFill>
              <a:schemeClr val="tx1">
                <a:lumMod val="75000"/>
                <a:lumOff val="25000"/>
              </a:schemeClr>
            </a:solidFill>
          </a:endParaRPr>
        </a:p>
      </dgm:t>
    </dgm:pt>
    <dgm:pt modelId="{BB9B2825-C18B-484F-A7C1-3156BD00AE05}" type="sibTrans" cxnId="{30D6E3CA-6778-4D72-B036-3F3735316302}">
      <dgm:prSet/>
      <dgm:spPr/>
      <dgm:t>
        <a:bodyPr/>
        <a:lstStyle/>
        <a:p>
          <a:endParaRPr lang="en-US">
            <a:solidFill>
              <a:schemeClr val="tx1">
                <a:lumMod val="75000"/>
                <a:lumOff val="25000"/>
              </a:schemeClr>
            </a:solidFill>
          </a:endParaRPr>
        </a:p>
      </dgm:t>
    </dgm:pt>
    <dgm:pt modelId="{F6C9BAE1-4DB4-4726-9B16-0F0F928AE1A9}">
      <dgm:prSet phldrT="[Text]" custT="1"/>
      <dgm:spPr>
        <a:xfrm rot="16200000">
          <a:off x="-663966" y="2521565"/>
          <a:ext cx="6766560" cy="1723429"/>
        </a:xfrm>
        <a:solidFill>
          <a:srgbClr val="E7BC29">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endParaRPr lang="en-US" sz="1000">
            <a:solidFill>
              <a:sysClr val="windowText" lastClr="000000">
                <a:lumMod val="75000"/>
                <a:lumOff val="25000"/>
              </a:sysClr>
            </a:solidFill>
            <a:latin typeface="Calibri" panose="020F0502020204030204"/>
            <a:ea typeface="+mn-ea"/>
            <a:cs typeface="+mn-cs"/>
          </a:endParaRPr>
        </a:p>
        <a:p>
          <a:r>
            <a:rPr lang="en-US" sz="1000" b="1">
              <a:solidFill>
                <a:sysClr val="windowText" lastClr="000000">
                  <a:lumMod val="75000"/>
                  <a:lumOff val="25000"/>
                </a:sysClr>
              </a:solidFill>
              <a:latin typeface="Calibri" panose="020F0502020204030204"/>
              <a:ea typeface="+mn-ea"/>
              <a:cs typeface="+mn-cs"/>
            </a:rPr>
            <a:t>Survivors</a:t>
          </a:r>
        </a:p>
      </dgm:t>
    </dgm:pt>
    <dgm:pt modelId="{D7555038-0158-41CD-BAAB-2D56AAFF3DF3}" type="parTrans" cxnId="{BE25E45D-D5A9-44E8-BC91-DF869B4DACCD}">
      <dgm:prSet/>
      <dgm:spPr/>
      <dgm:t>
        <a:bodyPr/>
        <a:lstStyle/>
        <a:p>
          <a:endParaRPr lang="en-US">
            <a:solidFill>
              <a:schemeClr val="tx1">
                <a:lumMod val="75000"/>
                <a:lumOff val="25000"/>
              </a:schemeClr>
            </a:solidFill>
          </a:endParaRPr>
        </a:p>
      </dgm:t>
    </dgm:pt>
    <dgm:pt modelId="{81CEB374-8A1C-4CC9-BE78-4E2F8E4C288A}" type="sibTrans" cxnId="{BE25E45D-D5A9-44E8-BC91-DF869B4DACCD}">
      <dgm:prSet/>
      <dgm:spPr/>
      <dgm:t>
        <a:bodyPr/>
        <a:lstStyle/>
        <a:p>
          <a:endParaRPr lang="en-US">
            <a:solidFill>
              <a:schemeClr val="tx1">
                <a:lumMod val="75000"/>
                <a:lumOff val="25000"/>
              </a:schemeClr>
            </a:solidFill>
          </a:endParaRPr>
        </a:p>
      </dgm:t>
    </dgm:pt>
    <dgm:pt modelId="{C1C25AE2-C551-45CE-B8B7-A2C040FA8083}">
      <dgm:prSet phldrT="[Text]"/>
      <dgm:spPr>
        <a:xfrm rot="16200000">
          <a:off x="1188719" y="2521565"/>
          <a:ext cx="6766560" cy="1723429"/>
        </a:xfrm>
        <a:solidFill>
          <a:srgbClr val="D092A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endParaRPr lang="en-US" sz="1000">
            <a:solidFill>
              <a:sysClr val="windowText" lastClr="000000">
                <a:lumMod val="75000"/>
                <a:lumOff val="25000"/>
              </a:sysClr>
            </a:solidFill>
            <a:latin typeface="Calibri" panose="020F0502020204030204"/>
            <a:ea typeface="+mn-ea"/>
            <a:cs typeface="+mn-cs"/>
          </a:endParaRPr>
        </a:p>
        <a:p>
          <a:r>
            <a:rPr lang="en-US" sz="1000" b="1">
              <a:solidFill>
                <a:sysClr val="windowText" lastClr="000000">
                  <a:lumMod val="75000"/>
                  <a:lumOff val="25000"/>
                </a:sysClr>
              </a:solidFill>
              <a:latin typeface="Calibri" panose="020F0502020204030204"/>
              <a:ea typeface="+mn-ea"/>
              <a:cs typeface="+mn-cs"/>
            </a:rPr>
            <a:t>Grace Periods</a:t>
          </a:r>
        </a:p>
      </dgm:t>
    </dgm:pt>
    <dgm:pt modelId="{DF17789B-7AA2-4687-AA5B-D40C04007A6F}" type="parTrans" cxnId="{5D35BE31-37FA-4CFE-A5FD-84CEC71A6A34}">
      <dgm:prSet/>
      <dgm:spPr/>
      <dgm:t>
        <a:bodyPr/>
        <a:lstStyle/>
        <a:p>
          <a:endParaRPr lang="en-US">
            <a:solidFill>
              <a:schemeClr val="tx1">
                <a:lumMod val="75000"/>
                <a:lumOff val="25000"/>
              </a:schemeClr>
            </a:solidFill>
          </a:endParaRPr>
        </a:p>
      </dgm:t>
    </dgm:pt>
    <dgm:pt modelId="{92D411DF-1677-451F-9B29-33D4E203BA20}" type="sibTrans" cxnId="{5D35BE31-37FA-4CFE-A5FD-84CEC71A6A34}">
      <dgm:prSet/>
      <dgm:spPr/>
      <dgm:t>
        <a:bodyPr/>
        <a:lstStyle/>
        <a:p>
          <a:endParaRPr lang="en-US">
            <a:solidFill>
              <a:schemeClr val="tx1">
                <a:lumMod val="75000"/>
                <a:lumOff val="25000"/>
              </a:schemeClr>
            </a:solidFill>
          </a:endParaRPr>
        </a:p>
      </dgm:t>
    </dgm:pt>
    <dgm:pt modelId="{3052E29B-E923-40BE-9F38-BD7A7D7698DA}">
      <dgm:prSet phldrT="[Text]"/>
      <dgm:spPr>
        <a:xfrm rot="16200000">
          <a:off x="3041406" y="2521565"/>
          <a:ext cx="6766560" cy="1723429"/>
        </a:xfrm>
        <a:solidFill>
          <a:srgbClr val="9C85C0">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endParaRPr lang="en-US" sz="1000">
            <a:solidFill>
              <a:sysClr val="windowText" lastClr="000000">
                <a:lumMod val="75000"/>
                <a:lumOff val="25000"/>
              </a:sysClr>
            </a:solidFill>
            <a:latin typeface="Calibri" panose="020F0502020204030204"/>
            <a:ea typeface="+mn-ea"/>
            <a:cs typeface="+mn-cs"/>
          </a:endParaRPr>
        </a:p>
        <a:p>
          <a:r>
            <a:rPr lang="en-US" sz="1000" b="1">
              <a:solidFill>
                <a:sysClr val="windowText" lastClr="000000">
                  <a:lumMod val="75000"/>
                  <a:lumOff val="25000"/>
                </a:sysClr>
              </a:solidFill>
              <a:latin typeface="Calibri" panose="020F0502020204030204"/>
              <a:ea typeface="+mn-ea"/>
              <a:cs typeface="+mn-cs"/>
            </a:rPr>
            <a:t>Notification Requirements</a:t>
          </a:r>
        </a:p>
      </dgm:t>
    </dgm:pt>
    <dgm:pt modelId="{6CBD31B4-DC77-4588-9FD5-893676CD0318}" type="parTrans" cxnId="{1B0D38FA-B053-4747-A197-9843F1BEE128}">
      <dgm:prSet/>
      <dgm:spPr/>
      <dgm:t>
        <a:bodyPr/>
        <a:lstStyle/>
        <a:p>
          <a:endParaRPr lang="en-US">
            <a:solidFill>
              <a:schemeClr val="tx1">
                <a:lumMod val="75000"/>
                <a:lumOff val="25000"/>
              </a:schemeClr>
            </a:solidFill>
          </a:endParaRPr>
        </a:p>
      </dgm:t>
    </dgm:pt>
    <dgm:pt modelId="{640340F3-8890-4DBA-8231-E46F3460181C}" type="sibTrans" cxnId="{1B0D38FA-B053-4747-A197-9843F1BEE128}">
      <dgm:prSet/>
      <dgm:spPr/>
      <dgm:t>
        <a:bodyPr/>
        <a:lstStyle/>
        <a:p>
          <a:endParaRPr lang="en-US">
            <a:solidFill>
              <a:schemeClr val="tx1">
                <a:lumMod val="75000"/>
                <a:lumOff val="25000"/>
              </a:schemeClr>
            </a:solidFill>
          </a:endParaRPr>
        </a:p>
      </dgm:t>
    </dgm:pt>
    <dgm:pt modelId="{C3660CEF-7AE0-4584-B802-A7916BE6F0E2}">
      <dgm:prSet phldrT="[Text]"/>
      <dgm:spPr>
        <a:xfrm rot="16200000">
          <a:off x="4894093" y="2521565"/>
          <a:ext cx="6766560" cy="1723429"/>
        </a:xfrm>
        <a:solidFill>
          <a:srgbClr val="809EC2">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endParaRPr lang="en-US" sz="1000">
            <a:solidFill>
              <a:sysClr val="windowText" lastClr="000000">
                <a:lumMod val="75000"/>
                <a:lumOff val="25000"/>
              </a:sysClr>
            </a:solidFill>
            <a:latin typeface="Calibri" panose="020F0502020204030204"/>
            <a:ea typeface="+mn-ea"/>
            <a:cs typeface="+mn-cs"/>
          </a:endParaRPr>
        </a:p>
        <a:p>
          <a:r>
            <a:rPr lang="en-US" sz="1000" b="1">
              <a:solidFill>
                <a:sysClr val="windowText" lastClr="000000">
                  <a:lumMod val="75000"/>
                  <a:lumOff val="25000"/>
                </a:sysClr>
              </a:solidFill>
              <a:latin typeface="Calibri" panose="020F0502020204030204"/>
              <a:ea typeface="+mn-ea"/>
              <a:cs typeface="+mn-cs"/>
            </a:rPr>
            <a:t>Emergency Transfers</a:t>
          </a:r>
        </a:p>
      </dgm:t>
    </dgm:pt>
    <dgm:pt modelId="{76A8C447-52D2-4AD8-8264-8A4B8BB6D5AC}" type="parTrans" cxnId="{313CA7B5-19E3-4941-9D9B-F633180E43A4}">
      <dgm:prSet/>
      <dgm:spPr/>
      <dgm:t>
        <a:bodyPr/>
        <a:lstStyle/>
        <a:p>
          <a:endParaRPr lang="en-US">
            <a:solidFill>
              <a:schemeClr val="tx1">
                <a:lumMod val="75000"/>
                <a:lumOff val="25000"/>
              </a:schemeClr>
            </a:solidFill>
          </a:endParaRPr>
        </a:p>
      </dgm:t>
    </dgm:pt>
    <dgm:pt modelId="{99349E85-7408-485A-929E-45ADDD1194F0}" type="sibTrans" cxnId="{313CA7B5-19E3-4941-9D9B-F633180E43A4}">
      <dgm:prSet/>
      <dgm:spPr/>
      <dgm:t>
        <a:bodyPr/>
        <a:lstStyle/>
        <a:p>
          <a:endParaRPr lang="en-US">
            <a:solidFill>
              <a:schemeClr val="tx1">
                <a:lumMod val="75000"/>
                <a:lumOff val="25000"/>
              </a:schemeClr>
            </a:solidFill>
          </a:endParaRPr>
        </a:p>
      </dgm:t>
    </dgm:pt>
    <dgm:pt modelId="{8E6BBBDC-5EF0-440F-BB52-8CB33640B53F}">
      <dgm:prSet phldrT="[Text]" custT="1"/>
      <dgm:spPr>
        <a:xfrm rot="16200000">
          <a:off x="-663966" y="2521565"/>
          <a:ext cx="6766560" cy="1723429"/>
        </a:xfrm>
        <a:solidFill>
          <a:srgbClr val="E7BC29">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r>
            <a:rPr lang="en-US" sz="800">
              <a:solidFill>
                <a:sysClr val="windowText" lastClr="000000">
                  <a:lumMod val="75000"/>
                  <a:lumOff val="25000"/>
                </a:sysClr>
              </a:solidFill>
              <a:latin typeface="Calibri" panose="020F0502020204030204"/>
              <a:ea typeface="+mn-ea"/>
              <a:cs typeface="+mn-cs"/>
            </a:rPr>
            <a:t>The Violence Against Women Act (VAWA) provides protections and remedies for program applicants and beneficiaries who survived domestic violence, dating violence, sexual assault, or stalking.</a:t>
          </a:r>
        </a:p>
      </dgm:t>
    </dgm:pt>
    <dgm:pt modelId="{3E1FAB8E-4EDC-4BB7-8CE1-1836BA74FF98}" type="parTrans" cxnId="{394CC5C0-7BB7-4192-8173-A4C27DEF2E42}">
      <dgm:prSet/>
      <dgm:spPr/>
      <dgm:t>
        <a:bodyPr/>
        <a:lstStyle/>
        <a:p>
          <a:endParaRPr lang="en-US">
            <a:solidFill>
              <a:schemeClr val="tx1">
                <a:lumMod val="75000"/>
                <a:lumOff val="25000"/>
              </a:schemeClr>
            </a:solidFill>
          </a:endParaRPr>
        </a:p>
      </dgm:t>
    </dgm:pt>
    <dgm:pt modelId="{0E4E4A35-A9B7-4F2F-8161-B21E345423C5}" type="sibTrans" cxnId="{394CC5C0-7BB7-4192-8173-A4C27DEF2E42}">
      <dgm:prSet/>
      <dgm:spPr/>
      <dgm:t>
        <a:bodyPr/>
        <a:lstStyle/>
        <a:p>
          <a:endParaRPr lang="en-US">
            <a:solidFill>
              <a:schemeClr val="tx1">
                <a:lumMod val="75000"/>
                <a:lumOff val="25000"/>
              </a:schemeClr>
            </a:solidFill>
          </a:endParaRPr>
        </a:p>
      </dgm:t>
    </dgm:pt>
    <dgm:pt modelId="{CA3EC0B5-B2C1-4CEA-98E3-81562C4CA69C}">
      <dgm:prSet phldrT="[Text]"/>
      <dgm:spPr>
        <a:xfrm rot="16200000">
          <a:off x="-2516653" y="2521565"/>
          <a:ext cx="6766560" cy="1723429"/>
        </a:xfrm>
        <a:solidFill>
          <a:srgbClr val="F3A44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r>
            <a:rPr lang="en-US" sz="800">
              <a:solidFill>
                <a:sysClr val="windowText" lastClr="000000">
                  <a:lumMod val="75000"/>
                  <a:lumOff val="25000"/>
                </a:sysClr>
              </a:solidFill>
              <a:latin typeface="Calibri" panose="020F0502020204030204"/>
              <a:ea typeface="+mn-ea"/>
              <a:cs typeface="+mn-cs"/>
            </a:rPr>
            <a:t>Owners must provide the </a:t>
          </a:r>
          <a:r>
            <a:rPr lang="en-US" sz="800" b="1">
              <a:solidFill>
                <a:srgbClr val="8162AE"/>
              </a:solidFill>
              <a:latin typeface="Calibri" panose="020F0502020204030204"/>
              <a:ea typeface="+mn-ea"/>
              <a:cs typeface="+mn-cs"/>
            </a:rPr>
            <a:t>VAWA Notice of Occupancy Rights</a:t>
          </a:r>
          <a:r>
            <a:rPr lang="en-US" sz="800">
              <a:solidFill>
                <a:sysClr val="windowText" lastClr="000000">
                  <a:lumMod val="75000"/>
                  <a:lumOff val="25000"/>
                </a:sysClr>
              </a:solidFill>
              <a:latin typeface="Calibri" panose="020F0502020204030204"/>
              <a:ea typeface="+mn-ea"/>
              <a:cs typeface="+mn-cs"/>
            </a:rPr>
            <a:t> and </a:t>
          </a:r>
          <a:r>
            <a:rPr lang="en-US" sz="800" b="1">
              <a:solidFill>
                <a:srgbClr val="8162AE"/>
              </a:solidFill>
              <a:latin typeface="Calibri" panose="020F0502020204030204"/>
              <a:ea typeface="+mn-ea"/>
              <a:cs typeface="+mn-cs"/>
            </a:rPr>
            <a:t>VAWA Certification Form</a:t>
          </a:r>
          <a:r>
            <a:rPr lang="en-US" sz="800">
              <a:solidFill>
                <a:srgbClr val="8162AE"/>
              </a:solidFill>
              <a:latin typeface="Calibri" panose="020F0502020204030204"/>
              <a:ea typeface="+mn-ea"/>
              <a:cs typeface="+mn-cs"/>
            </a:rPr>
            <a:t> </a:t>
          </a:r>
          <a:r>
            <a:rPr lang="en-US" sz="800">
              <a:solidFill>
                <a:sysClr val="windowText" lastClr="000000">
                  <a:lumMod val="75000"/>
                  <a:lumOff val="25000"/>
                </a:sysClr>
              </a:solidFill>
              <a:latin typeface="Calibri" panose="020F0502020204030204"/>
              <a:ea typeface="+mn-ea"/>
              <a:cs typeface="+mn-cs"/>
            </a:rPr>
            <a:t>with any notification of eviction they provide to the household. </a:t>
          </a:r>
        </a:p>
      </dgm:t>
    </dgm:pt>
    <dgm:pt modelId="{4811E56A-70CE-4F8E-99C6-0AE8FBCC2211}" type="parTrans" cxnId="{1A62C337-16E0-47C5-9CD3-09C18D565492}">
      <dgm:prSet/>
      <dgm:spPr/>
      <dgm:t>
        <a:bodyPr/>
        <a:lstStyle/>
        <a:p>
          <a:endParaRPr lang="en-US">
            <a:solidFill>
              <a:schemeClr val="tx1">
                <a:lumMod val="75000"/>
                <a:lumOff val="25000"/>
              </a:schemeClr>
            </a:solidFill>
          </a:endParaRPr>
        </a:p>
      </dgm:t>
    </dgm:pt>
    <dgm:pt modelId="{26A3CFEA-80C3-47E4-89BC-3A1B3E9A6EC1}" type="sibTrans" cxnId="{1A62C337-16E0-47C5-9CD3-09C18D565492}">
      <dgm:prSet/>
      <dgm:spPr/>
      <dgm:t>
        <a:bodyPr/>
        <a:lstStyle/>
        <a:p>
          <a:endParaRPr lang="en-US">
            <a:solidFill>
              <a:schemeClr val="tx1">
                <a:lumMod val="75000"/>
                <a:lumOff val="25000"/>
              </a:schemeClr>
            </a:solidFill>
          </a:endParaRPr>
        </a:p>
      </dgm:t>
    </dgm:pt>
    <dgm:pt modelId="{3EBCD037-7095-497E-AA76-1A6789E3F1A6}">
      <dgm:prSet phldrT="[Text]"/>
      <dgm:spPr>
        <a:xfrm rot="16200000">
          <a:off x="3041406" y="2521565"/>
          <a:ext cx="6766560" cy="1723429"/>
        </a:xfrm>
        <a:solidFill>
          <a:srgbClr val="9C85C0">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r>
            <a:rPr lang="en-US" sz="800">
              <a:solidFill>
                <a:sysClr val="windowText" lastClr="000000">
                  <a:lumMod val="75000"/>
                  <a:lumOff val="25000"/>
                </a:sysClr>
              </a:solidFill>
              <a:latin typeface="Calibri" panose="020F0502020204030204"/>
              <a:ea typeface="+mn-ea"/>
              <a:cs typeface="+mn-cs"/>
            </a:rPr>
            <a:t>Project Sponsors must provide the </a:t>
          </a:r>
          <a:r>
            <a:rPr lang="en-US" sz="800" b="1">
              <a:solidFill>
                <a:srgbClr val="8162AE"/>
              </a:solidFill>
              <a:latin typeface="Calibri" panose="020F0502020204030204"/>
              <a:ea typeface="+mn-ea"/>
              <a:cs typeface="+mn-cs"/>
            </a:rPr>
            <a:t>VAWA Notice of Occupancy Rights</a:t>
          </a:r>
          <a:r>
            <a:rPr lang="en-US" sz="800">
              <a:solidFill>
                <a:sysClr val="windowText" lastClr="000000">
                  <a:lumMod val="75000"/>
                  <a:lumOff val="25000"/>
                </a:sysClr>
              </a:solidFill>
              <a:latin typeface="Calibri" panose="020F0502020204030204"/>
              <a:ea typeface="+mn-ea"/>
              <a:cs typeface="+mn-cs"/>
            </a:rPr>
            <a:t> and </a:t>
          </a:r>
          <a:r>
            <a:rPr lang="en-US" sz="800" b="1">
              <a:solidFill>
                <a:srgbClr val="8162AE"/>
              </a:solidFill>
              <a:latin typeface="Calibri" panose="020F0502020204030204"/>
              <a:ea typeface="+mn-ea"/>
              <a:cs typeface="+mn-cs"/>
            </a:rPr>
            <a:t>VAWA Certification Form</a:t>
          </a:r>
          <a:r>
            <a:rPr lang="en-US" sz="800">
              <a:solidFill>
                <a:sysClr val="windowText" lastClr="000000">
                  <a:lumMod val="75000"/>
                  <a:lumOff val="25000"/>
                </a:sysClr>
              </a:solidFill>
              <a:latin typeface="Calibri" panose="020F0502020204030204"/>
              <a:ea typeface="+mn-ea"/>
              <a:cs typeface="+mn-cs"/>
            </a:rPr>
            <a:t> to households at the following times: When approving or denying rental assistance, with any notification of termination of rental assistance, and during annual recertifications. </a:t>
          </a:r>
        </a:p>
      </dgm:t>
    </dgm:pt>
    <dgm:pt modelId="{2A66D031-563A-499D-BD4A-7BB8F098C501}" type="parTrans" cxnId="{0C906A9C-68A3-479F-B030-41AC15B9B1D6}">
      <dgm:prSet/>
      <dgm:spPr/>
      <dgm:t>
        <a:bodyPr/>
        <a:lstStyle/>
        <a:p>
          <a:endParaRPr lang="en-US">
            <a:solidFill>
              <a:schemeClr val="tx1">
                <a:lumMod val="75000"/>
                <a:lumOff val="25000"/>
              </a:schemeClr>
            </a:solidFill>
          </a:endParaRPr>
        </a:p>
      </dgm:t>
    </dgm:pt>
    <dgm:pt modelId="{D1664BD9-1F35-4035-AFAE-82D5E3F7E696}" type="sibTrans" cxnId="{0C906A9C-68A3-479F-B030-41AC15B9B1D6}">
      <dgm:prSet/>
      <dgm:spPr/>
      <dgm:t>
        <a:bodyPr/>
        <a:lstStyle/>
        <a:p>
          <a:endParaRPr lang="en-US">
            <a:solidFill>
              <a:schemeClr val="tx1">
                <a:lumMod val="75000"/>
                <a:lumOff val="25000"/>
              </a:schemeClr>
            </a:solidFill>
          </a:endParaRPr>
        </a:p>
      </dgm:t>
    </dgm:pt>
    <dgm:pt modelId="{3CE8D531-4332-4434-B80E-21613C2B995F}">
      <dgm:prSet phldrT="[Text]" custT="1"/>
      <dgm:spPr>
        <a:xfrm rot="16200000">
          <a:off x="1188719" y="2521565"/>
          <a:ext cx="6766560" cy="1723429"/>
        </a:xfrm>
        <a:solidFill>
          <a:srgbClr val="D092A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r>
            <a:rPr lang="en-US" sz="800">
              <a:solidFill>
                <a:sysClr val="windowText" lastClr="000000">
                  <a:lumMod val="75000"/>
                  <a:lumOff val="25000"/>
                </a:sysClr>
              </a:solidFill>
              <a:latin typeface="Calibri" panose="020F0502020204030204"/>
              <a:ea typeface="+mn-ea"/>
              <a:cs typeface="+mn-cs"/>
            </a:rPr>
            <a:t>Project Sponsors must collaborate with their AA to develop a reasonable survivor grace period policy for continued program participation by surviving or remaining household members. Among other considerations, the policy must address VAWA lease bifurcations where the accused perpetrator is the eligible individual and the survivor is a remaining beneficiary. </a:t>
          </a:r>
        </a:p>
      </dgm:t>
    </dgm:pt>
    <dgm:pt modelId="{F8E5BDCC-AA9F-49DE-94D5-DA3F1018368E}" type="parTrans" cxnId="{6437BA34-1DA3-4AD8-A3FF-153F43B8B671}">
      <dgm:prSet/>
      <dgm:spPr/>
      <dgm:t>
        <a:bodyPr/>
        <a:lstStyle/>
        <a:p>
          <a:endParaRPr lang="en-US">
            <a:solidFill>
              <a:schemeClr val="tx1">
                <a:lumMod val="75000"/>
                <a:lumOff val="25000"/>
              </a:schemeClr>
            </a:solidFill>
          </a:endParaRPr>
        </a:p>
      </dgm:t>
    </dgm:pt>
    <dgm:pt modelId="{D55FBCE5-1B0E-4300-92A3-460202501782}" type="sibTrans" cxnId="{6437BA34-1DA3-4AD8-A3FF-153F43B8B671}">
      <dgm:prSet/>
      <dgm:spPr/>
      <dgm:t>
        <a:bodyPr/>
        <a:lstStyle/>
        <a:p>
          <a:endParaRPr lang="en-US">
            <a:solidFill>
              <a:schemeClr val="tx1">
                <a:lumMod val="75000"/>
                <a:lumOff val="25000"/>
              </a:schemeClr>
            </a:solidFill>
          </a:endParaRPr>
        </a:p>
      </dgm:t>
    </dgm:pt>
    <dgm:pt modelId="{6F65BD3C-ABAC-4440-B794-CC72CF1E7C65}">
      <dgm:prSet phldrT="[Text]" custT="1"/>
      <dgm:spPr>
        <a:xfrm rot="16200000">
          <a:off x="1188719" y="2521565"/>
          <a:ext cx="6766560" cy="1723429"/>
        </a:xfrm>
        <a:solidFill>
          <a:srgbClr val="D092A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r>
            <a:rPr lang="en-US" sz="800">
              <a:solidFill>
                <a:sysClr val="windowText" lastClr="000000">
                  <a:lumMod val="75000"/>
                  <a:lumOff val="25000"/>
                </a:sysClr>
              </a:solidFill>
              <a:latin typeface="Calibri" panose="020F0502020204030204"/>
              <a:ea typeface="+mn-ea"/>
              <a:cs typeface="+mn-cs"/>
            </a:rPr>
            <a:t>Project Sponsors must provide housing assistance and supportive services to survivors and remaining beneficiaries during the grace period.</a:t>
          </a:r>
        </a:p>
      </dgm:t>
    </dgm:pt>
    <dgm:pt modelId="{53538E8F-D9CD-4678-96C3-63FAA38C36A8}" type="parTrans" cxnId="{08504EB5-F5CF-4784-BDDB-BF91C15CFA61}">
      <dgm:prSet/>
      <dgm:spPr/>
      <dgm:t>
        <a:bodyPr/>
        <a:lstStyle/>
        <a:p>
          <a:endParaRPr lang="en-US">
            <a:solidFill>
              <a:schemeClr val="tx1">
                <a:lumMod val="75000"/>
                <a:lumOff val="25000"/>
              </a:schemeClr>
            </a:solidFill>
          </a:endParaRPr>
        </a:p>
      </dgm:t>
    </dgm:pt>
    <dgm:pt modelId="{928852E2-A768-4233-88F8-2A63E3F00DE6}" type="sibTrans" cxnId="{08504EB5-F5CF-4784-BDDB-BF91C15CFA61}">
      <dgm:prSet/>
      <dgm:spPr/>
      <dgm:t>
        <a:bodyPr/>
        <a:lstStyle/>
        <a:p>
          <a:endParaRPr lang="en-US">
            <a:solidFill>
              <a:schemeClr val="tx1">
                <a:lumMod val="75000"/>
                <a:lumOff val="25000"/>
              </a:schemeClr>
            </a:solidFill>
          </a:endParaRPr>
        </a:p>
      </dgm:t>
    </dgm:pt>
    <dgm:pt modelId="{9EF3FFFD-979F-46D0-9C6C-F49298B8998E}">
      <dgm:prSet phldrT="[Text]" custT="1"/>
      <dgm:spPr>
        <a:xfrm rot="16200000">
          <a:off x="1188719" y="2521565"/>
          <a:ext cx="6766560" cy="1723429"/>
        </a:xfrm>
        <a:solidFill>
          <a:srgbClr val="D092A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r>
            <a:rPr lang="en-US" sz="800">
              <a:solidFill>
                <a:sysClr val="windowText" lastClr="000000">
                  <a:lumMod val="75000"/>
                  <a:lumOff val="25000"/>
                </a:sysClr>
              </a:solidFill>
              <a:latin typeface="Calibri" panose="020F0502020204030204"/>
              <a:ea typeface="+mn-ea"/>
              <a:cs typeface="+mn-cs"/>
            </a:rPr>
            <a:t>Project Sponsors must notify survivors and remaining beneficiaries of the duration of the grace period and may assist them with information on other available housing programs and with moving expenses.</a:t>
          </a:r>
        </a:p>
      </dgm:t>
    </dgm:pt>
    <dgm:pt modelId="{89AA0FB3-83A8-4E3A-9501-132DEE989AAD}" type="parTrans" cxnId="{865514C4-0C4C-4121-87B5-158135F72A56}">
      <dgm:prSet/>
      <dgm:spPr/>
      <dgm:t>
        <a:bodyPr/>
        <a:lstStyle/>
        <a:p>
          <a:endParaRPr lang="en-US">
            <a:solidFill>
              <a:schemeClr val="tx1">
                <a:lumMod val="75000"/>
                <a:lumOff val="25000"/>
              </a:schemeClr>
            </a:solidFill>
          </a:endParaRPr>
        </a:p>
      </dgm:t>
    </dgm:pt>
    <dgm:pt modelId="{BC73B00A-2478-481A-B4D4-2090EB1B35A9}" type="sibTrans" cxnId="{865514C4-0C4C-4121-87B5-158135F72A56}">
      <dgm:prSet/>
      <dgm:spPr/>
      <dgm:t>
        <a:bodyPr/>
        <a:lstStyle/>
        <a:p>
          <a:endParaRPr lang="en-US">
            <a:solidFill>
              <a:schemeClr val="tx1">
                <a:lumMod val="75000"/>
                <a:lumOff val="25000"/>
              </a:schemeClr>
            </a:solidFill>
          </a:endParaRPr>
        </a:p>
      </dgm:t>
    </dgm:pt>
    <dgm:pt modelId="{DB56001E-881B-4383-9C03-7941D386AD7A}">
      <dgm:prSet phldrT="[Text]" custT="1"/>
      <dgm:spPr>
        <a:xfrm rot="16200000">
          <a:off x="-2516653" y="2521565"/>
          <a:ext cx="6766560" cy="1723429"/>
        </a:xfrm>
        <a:solidFill>
          <a:srgbClr val="F3A44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r>
            <a:rPr lang="en-US" sz="800">
              <a:solidFill>
                <a:sysClr val="windowText" lastClr="000000">
                  <a:lumMod val="75000"/>
                  <a:lumOff val="25000"/>
                </a:sysClr>
              </a:solidFill>
              <a:latin typeface="Calibri" panose="020F0502020204030204"/>
              <a:ea typeface="+mn-ea"/>
              <a:cs typeface="+mn-cs"/>
            </a:rPr>
            <a:t>Owners may bifurcate a lease to evict an accused perpetrator without regard to whether the accused perpetrator is a signatory to the lease and without evicting or otherwise penalizing the survivor or other beneficiaries</a:t>
          </a:r>
        </a:p>
      </dgm:t>
    </dgm:pt>
    <dgm:pt modelId="{F2A82271-1241-4E82-A880-1BA536AA77C2}" type="parTrans" cxnId="{D4CBE32D-804B-4A13-A7F3-F1FD0410F3C3}">
      <dgm:prSet/>
      <dgm:spPr/>
      <dgm:t>
        <a:bodyPr/>
        <a:lstStyle/>
        <a:p>
          <a:endParaRPr lang="en-US">
            <a:solidFill>
              <a:schemeClr val="tx1">
                <a:lumMod val="75000"/>
                <a:lumOff val="25000"/>
              </a:schemeClr>
            </a:solidFill>
          </a:endParaRPr>
        </a:p>
      </dgm:t>
    </dgm:pt>
    <dgm:pt modelId="{8E334F2D-12C1-444C-8153-14B11110D675}" type="sibTrans" cxnId="{D4CBE32D-804B-4A13-A7F3-F1FD0410F3C3}">
      <dgm:prSet/>
      <dgm:spPr/>
      <dgm:t>
        <a:bodyPr/>
        <a:lstStyle/>
        <a:p>
          <a:endParaRPr lang="en-US">
            <a:solidFill>
              <a:schemeClr val="tx1">
                <a:lumMod val="75000"/>
                <a:lumOff val="25000"/>
              </a:schemeClr>
            </a:solidFill>
          </a:endParaRPr>
        </a:p>
      </dgm:t>
    </dgm:pt>
    <dgm:pt modelId="{459CE310-7969-40C5-AE32-55577AE3ABE1}">
      <dgm:prSet phldrT="[Text]"/>
      <dgm:spPr>
        <a:xfrm rot="16200000">
          <a:off x="-2516653" y="2521565"/>
          <a:ext cx="6766560" cy="1723429"/>
        </a:xfrm>
        <a:solidFill>
          <a:srgbClr val="F3A44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r>
            <a:rPr lang="en-US" sz="800">
              <a:solidFill>
                <a:sysClr val="windowText" lastClr="000000">
                  <a:lumMod val="75000"/>
                  <a:lumOff val="25000"/>
                </a:sysClr>
              </a:solidFill>
              <a:latin typeface="Calibri" panose="020F0502020204030204"/>
              <a:ea typeface="+mn-ea"/>
              <a:cs typeface="+mn-cs"/>
            </a:rPr>
            <a:t>If an owner will bifurcate a lease, they must do so in accordance with Federal, State, or local law for lease termination.</a:t>
          </a:r>
        </a:p>
      </dgm:t>
    </dgm:pt>
    <dgm:pt modelId="{1C636D0E-6994-4371-B9A4-35EADBC708F5}" type="parTrans" cxnId="{09A8CEBB-3679-49D8-A1A1-A916FA99E8C9}">
      <dgm:prSet/>
      <dgm:spPr/>
      <dgm:t>
        <a:bodyPr/>
        <a:lstStyle/>
        <a:p>
          <a:endParaRPr lang="en-US">
            <a:solidFill>
              <a:schemeClr val="tx1">
                <a:lumMod val="75000"/>
                <a:lumOff val="25000"/>
              </a:schemeClr>
            </a:solidFill>
          </a:endParaRPr>
        </a:p>
      </dgm:t>
    </dgm:pt>
    <dgm:pt modelId="{F0AC996E-FA87-4D6B-A7A6-EB4A71757BE9}" type="sibTrans" cxnId="{09A8CEBB-3679-49D8-A1A1-A916FA99E8C9}">
      <dgm:prSet/>
      <dgm:spPr/>
      <dgm:t>
        <a:bodyPr/>
        <a:lstStyle/>
        <a:p>
          <a:endParaRPr lang="en-US">
            <a:solidFill>
              <a:schemeClr val="tx1">
                <a:lumMod val="75000"/>
                <a:lumOff val="25000"/>
              </a:schemeClr>
            </a:solidFill>
          </a:endParaRPr>
        </a:p>
      </dgm:t>
    </dgm:pt>
    <dgm:pt modelId="{E03CBD1A-6DB0-4BE2-BDCE-FA39A76D85DC}">
      <dgm:prSet phldrT="[Text]"/>
      <dgm:spPr>
        <a:xfrm rot="16200000">
          <a:off x="3041406" y="2521565"/>
          <a:ext cx="6766560" cy="1723429"/>
        </a:xfrm>
        <a:solidFill>
          <a:srgbClr val="9C85C0">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r>
            <a:rPr lang="en-US" sz="800">
              <a:solidFill>
                <a:sysClr val="windowText" lastClr="000000">
                  <a:lumMod val="75000"/>
                  <a:lumOff val="25000"/>
                </a:sysClr>
              </a:solidFill>
              <a:latin typeface="Calibri" panose="020F0502020204030204"/>
              <a:ea typeface="+mn-ea"/>
              <a:cs typeface="+mn-cs"/>
            </a:rPr>
            <a:t>The </a:t>
          </a:r>
          <a:r>
            <a:rPr lang="en-US" sz="800" b="1">
              <a:solidFill>
                <a:srgbClr val="8162AE"/>
              </a:solidFill>
              <a:latin typeface="Calibri" panose="020F0502020204030204"/>
              <a:ea typeface="+mn-ea"/>
              <a:cs typeface="+mn-cs"/>
            </a:rPr>
            <a:t>VAWA Notice of Occupancy Rights</a:t>
          </a:r>
          <a:r>
            <a:rPr lang="en-US" sz="800">
              <a:solidFill>
                <a:sysClr val="windowText" lastClr="000000">
                  <a:lumMod val="75000"/>
                  <a:lumOff val="25000"/>
                </a:sysClr>
              </a:solidFill>
              <a:latin typeface="Calibri" panose="020F0502020204030204"/>
              <a:ea typeface="+mn-ea"/>
              <a:cs typeface="+mn-cs"/>
            </a:rPr>
            <a:t> explains the VAWA protections and any limitations on those protections. </a:t>
          </a:r>
        </a:p>
      </dgm:t>
    </dgm:pt>
    <dgm:pt modelId="{4DE9AA84-BC14-4441-B4A6-ED4C5E407BD8}" type="parTrans" cxnId="{56990AA9-1F11-46FC-9004-3413E55DC785}">
      <dgm:prSet/>
      <dgm:spPr/>
      <dgm:t>
        <a:bodyPr/>
        <a:lstStyle/>
        <a:p>
          <a:endParaRPr lang="en-US">
            <a:solidFill>
              <a:schemeClr val="tx1">
                <a:lumMod val="75000"/>
                <a:lumOff val="25000"/>
              </a:schemeClr>
            </a:solidFill>
          </a:endParaRPr>
        </a:p>
      </dgm:t>
    </dgm:pt>
    <dgm:pt modelId="{EFAE897A-6C06-4E70-AAFB-52DED198BABF}" type="sibTrans" cxnId="{56990AA9-1F11-46FC-9004-3413E55DC785}">
      <dgm:prSet/>
      <dgm:spPr/>
      <dgm:t>
        <a:bodyPr/>
        <a:lstStyle/>
        <a:p>
          <a:endParaRPr lang="en-US">
            <a:solidFill>
              <a:schemeClr val="tx1">
                <a:lumMod val="75000"/>
                <a:lumOff val="25000"/>
              </a:schemeClr>
            </a:solidFill>
          </a:endParaRPr>
        </a:p>
      </dgm:t>
    </dgm:pt>
    <dgm:pt modelId="{30567CE9-DC3B-4424-9541-577BD2DAFB53}">
      <dgm:prSet phldrT="[Text]" custT="1"/>
      <dgm:spPr>
        <a:xfrm rot="16200000">
          <a:off x="3041406" y="2521565"/>
          <a:ext cx="6766560" cy="1723429"/>
        </a:xfrm>
        <a:solidFill>
          <a:srgbClr val="9C85C0">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r>
            <a:rPr lang="en-US" sz="800">
              <a:solidFill>
                <a:sysClr val="windowText" lastClr="000000">
                  <a:lumMod val="75000"/>
                  <a:lumOff val="25000"/>
                </a:sysClr>
              </a:solidFill>
              <a:latin typeface="Calibri" panose="020F0502020204030204"/>
              <a:ea typeface="+mn-ea"/>
              <a:cs typeface="+mn-cs"/>
            </a:rPr>
            <a:t>In the event of an incident of domestic violence, dating violence, sexual assault, or stalking, Project Sponsors may request, in writing, that the survivor submit documentation as specified under Permissible Documentation. </a:t>
          </a:r>
        </a:p>
      </dgm:t>
    </dgm:pt>
    <dgm:pt modelId="{57B92EB0-CD45-440A-BA71-FF0C9441D7DE}" type="parTrans" cxnId="{7A218EC5-CADB-4BD1-B6DC-F60FB78072D6}">
      <dgm:prSet/>
      <dgm:spPr/>
      <dgm:t>
        <a:bodyPr/>
        <a:lstStyle/>
        <a:p>
          <a:endParaRPr lang="en-US">
            <a:solidFill>
              <a:schemeClr val="tx1">
                <a:lumMod val="75000"/>
                <a:lumOff val="25000"/>
              </a:schemeClr>
            </a:solidFill>
          </a:endParaRPr>
        </a:p>
      </dgm:t>
    </dgm:pt>
    <dgm:pt modelId="{13B42233-3EF3-49C6-B2AE-79659DFA7D39}" type="sibTrans" cxnId="{7A218EC5-CADB-4BD1-B6DC-F60FB78072D6}">
      <dgm:prSet/>
      <dgm:spPr/>
      <dgm:t>
        <a:bodyPr/>
        <a:lstStyle/>
        <a:p>
          <a:endParaRPr lang="en-US">
            <a:solidFill>
              <a:schemeClr val="tx1">
                <a:lumMod val="75000"/>
                <a:lumOff val="25000"/>
              </a:schemeClr>
            </a:solidFill>
          </a:endParaRPr>
        </a:p>
      </dgm:t>
    </dgm:pt>
    <dgm:pt modelId="{D43C97B1-003D-4C37-8BB6-1DBB0097F940}">
      <dgm:prSet phldrT="[Text]" custT="1"/>
      <dgm:spPr>
        <a:xfrm rot="16200000">
          <a:off x="4894093" y="2521565"/>
          <a:ext cx="6766560" cy="1723429"/>
        </a:xfrm>
        <a:solidFill>
          <a:srgbClr val="809EC2">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r>
            <a:rPr lang="en-US" sz="800">
              <a:solidFill>
                <a:sysClr val="windowText" lastClr="000000">
                  <a:lumMod val="75000"/>
                  <a:lumOff val="25000"/>
                </a:sysClr>
              </a:solidFill>
              <a:latin typeface="Calibri" panose="020F0502020204030204"/>
              <a:ea typeface="+mn-ea"/>
              <a:cs typeface="+mn-cs"/>
            </a:rPr>
            <a:t>Project Sponsors must adopt the </a:t>
          </a:r>
          <a:r>
            <a:rPr lang="en-US" sz="800" b="1">
              <a:solidFill>
                <a:srgbClr val="8162AE"/>
              </a:solidFill>
              <a:latin typeface="Calibri" panose="020F0502020204030204"/>
              <a:ea typeface="+mn-ea"/>
              <a:cs typeface="+mn-cs"/>
            </a:rPr>
            <a:t>VAWA Emergency Transfer Plan</a:t>
          </a:r>
          <a:r>
            <a:rPr lang="en-US" sz="800">
              <a:solidFill>
                <a:sysClr val="windowText" lastClr="000000">
                  <a:lumMod val="75000"/>
                  <a:lumOff val="25000"/>
                </a:sysClr>
              </a:solidFill>
              <a:latin typeface="Calibri" panose="020F0502020204030204"/>
              <a:ea typeface="+mn-ea"/>
              <a:cs typeface="+mn-cs"/>
            </a:rPr>
            <a:t>. The Plan describes the procedure for survivors who meet emergency transfer requirements to move quickly with continued rental assistance. Project Sponsors must make the Plan available upon request and, when feasible, must make its plan publicly available.</a:t>
          </a:r>
        </a:p>
      </dgm:t>
    </dgm:pt>
    <dgm:pt modelId="{6F5D668D-20BF-4349-A6A1-D9B513E36076}" type="parTrans" cxnId="{3E755C76-53E9-4265-9F26-09F162267887}">
      <dgm:prSet/>
      <dgm:spPr/>
      <dgm:t>
        <a:bodyPr/>
        <a:lstStyle/>
        <a:p>
          <a:endParaRPr lang="en-US">
            <a:solidFill>
              <a:schemeClr val="tx1">
                <a:lumMod val="75000"/>
                <a:lumOff val="25000"/>
              </a:schemeClr>
            </a:solidFill>
          </a:endParaRPr>
        </a:p>
      </dgm:t>
    </dgm:pt>
    <dgm:pt modelId="{4FAB9293-E7BC-417B-8666-36D04433F373}" type="sibTrans" cxnId="{3E755C76-53E9-4265-9F26-09F162267887}">
      <dgm:prSet/>
      <dgm:spPr/>
      <dgm:t>
        <a:bodyPr/>
        <a:lstStyle/>
        <a:p>
          <a:endParaRPr lang="en-US">
            <a:solidFill>
              <a:schemeClr val="tx1">
                <a:lumMod val="75000"/>
                <a:lumOff val="25000"/>
              </a:schemeClr>
            </a:solidFill>
          </a:endParaRPr>
        </a:p>
      </dgm:t>
    </dgm:pt>
    <dgm:pt modelId="{1B950109-7A39-4689-B12C-AD9DB47DEBD7}">
      <dgm:prSet phldrT="[Text]" custT="1"/>
      <dgm:spPr>
        <a:xfrm rot="16200000">
          <a:off x="4894093" y="2521565"/>
          <a:ext cx="6766560" cy="1723429"/>
        </a:xfrm>
        <a:solidFill>
          <a:srgbClr val="809EC2">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r>
            <a:rPr lang="en-US" sz="800">
              <a:solidFill>
                <a:sysClr val="windowText" lastClr="000000">
                  <a:lumMod val="75000"/>
                  <a:lumOff val="25000"/>
                </a:sysClr>
              </a:solidFill>
              <a:latin typeface="Calibri" panose="020F0502020204030204"/>
              <a:ea typeface="+mn-ea"/>
              <a:cs typeface="+mn-cs"/>
            </a:rPr>
            <a:t>To qualify for emergency transfer, the survivor must request a transfer in writing using the </a:t>
          </a:r>
          <a:r>
            <a:rPr lang="en-US" sz="800" b="1">
              <a:solidFill>
                <a:srgbClr val="8162AE"/>
              </a:solidFill>
              <a:latin typeface="Calibri" panose="020F0502020204030204"/>
              <a:ea typeface="+mn-ea"/>
              <a:cs typeface="+mn-cs"/>
            </a:rPr>
            <a:t>VAWA Emergency Transfer Form</a:t>
          </a:r>
          <a:r>
            <a:rPr lang="en-US" sz="800">
              <a:solidFill>
                <a:sysClr val="windowText" lastClr="000000">
                  <a:lumMod val="75000"/>
                  <a:lumOff val="25000"/>
                </a:sysClr>
              </a:solidFill>
              <a:latin typeface="Calibri" panose="020F0502020204030204"/>
              <a:ea typeface="+mn-ea"/>
              <a:cs typeface="+mn-cs"/>
            </a:rPr>
            <a:t>. The Form must be made available in multiple languages. Project Sponsors must provide reasonable accommodations to this policy for survivors with disabilities. Also, the survivor must reasonably believe that remaining in the unit they currently occupy poses an actual and imminent threat.</a:t>
          </a:r>
        </a:p>
      </dgm:t>
    </dgm:pt>
    <dgm:pt modelId="{152E28D4-2BD7-4124-A74C-E964942730CF}" type="parTrans" cxnId="{2D1A7CE6-2E35-4F6D-8B16-75150E9124DE}">
      <dgm:prSet/>
      <dgm:spPr/>
      <dgm:t>
        <a:bodyPr/>
        <a:lstStyle/>
        <a:p>
          <a:endParaRPr lang="en-US">
            <a:solidFill>
              <a:schemeClr val="tx1">
                <a:lumMod val="75000"/>
                <a:lumOff val="25000"/>
              </a:schemeClr>
            </a:solidFill>
          </a:endParaRPr>
        </a:p>
      </dgm:t>
    </dgm:pt>
    <dgm:pt modelId="{65001F7A-A85B-4C36-AF4C-A448550F950C}" type="sibTrans" cxnId="{2D1A7CE6-2E35-4F6D-8B16-75150E9124DE}">
      <dgm:prSet/>
      <dgm:spPr/>
      <dgm:t>
        <a:bodyPr/>
        <a:lstStyle/>
        <a:p>
          <a:endParaRPr lang="en-US">
            <a:solidFill>
              <a:schemeClr val="tx1">
                <a:lumMod val="75000"/>
                <a:lumOff val="25000"/>
              </a:schemeClr>
            </a:solidFill>
          </a:endParaRPr>
        </a:p>
      </dgm:t>
    </dgm:pt>
    <dgm:pt modelId="{9FC79D67-BED0-41A3-9664-89C64E1E2C45}">
      <dgm:prSet phldrT="[Text]" custT="1"/>
      <dgm:spPr>
        <a:xfrm rot="16200000">
          <a:off x="4894093" y="2521565"/>
          <a:ext cx="6766560" cy="1723429"/>
        </a:xfrm>
        <a:solidFill>
          <a:srgbClr val="809EC2">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r>
            <a:rPr lang="en-US" sz="800">
              <a:solidFill>
                <a:sysClr val="windowText" lastClr="000000">
                  <a:lumMod val="75000"/>
                  <a:lumOff val="25000"/>
                </a:sysClr>
              </a:solidFill>
              <a:latin typeface="Calibri" panose="020F0502020204030204"/>
              <a:ea typeface="+mn-ea"/>
              <a:cs typeface="+mn-cs"/>
            </a:rPr>
            <a:t>The Plan may require a survivor requesting emergency transfer to submit documentation as specified under Permissible Documentation.</a:t>
          </a:r>
        </a:p>
      </dgm:t>
    </dgm:pt>
    <dgm:pt modelId="{5697C161-D049-4425-9DF0-88D55DF47373}" type="parTrans" cxnId="{4F464447-C676-4D06-8677-35C51A0A22C8}">
      <dgm:prSet/>
      <dgm:spPr/>
      <dgm:t>
        <a:bodyPr/>
        <a:lstStyle/>
        <a:p>
          <a:endParaRPr lang="en-US">
            <a:solidFill>
              <a:schemeClr val="tx1">
                <a:lumMod val="75000"/>
                <a:lumOff val="25000"/>
              </a:schemeClr>
            </a:solidFill>
          </a:endParaRPr>
        </a:p>
      </dgm:t>
    </dgm:pt>
    <dgm:pt modelId="{819D367A-1174-41F1-A39B-BA56B9646628}" type="sibTrans" cxnId="{4F464447-C676-4D06-8677-35C51A0A22C8}">
      <dgm:prSet/>
      <dgm:spPr/>
      <dgm:t>
        <a:bodyPr/>
        <a:lstStyle/>
        <a:p>
          <a:endParaRPr lang="en-US">
            <a:solidFill>
              <a:schemeClr val="tx1">
                <a:lumMod val="75000"/>
                <a:lumOff val="25000"/>
              </a:schemeClr>
            </a:solidFill>
          </a:endParaRPr>
        </a:p>
      </dgm:t>
    </dgm:pt>
    <dgm:pt modelId="{1736444A-4080-42D5-94A0-C7328760C6E1}">
      <dgm:prSet phldrT="[Text]"/>
      <dgm:spPr>
        <a:xfrm rot="16200000">
          <a:off x="4894093" y="2521565"/>
          <a:ext cx="6766560" cy="1723429"/>
        </a:xfrm>
        <a:solidFill>
          <a:srgbClr val="809EC2">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r>
            <a:rPr lang="en-US" sz="800">
              <a:solidFill>
                <a:sysClr val="windowText" lastClr="000000">
                  <a:lumMod val="75000"/>
                  <a:lumOff val="25000"/>
                </a:sysClr>
              </a:solidFill>
              <a:latin typeface="Calibri" panose="020F0502020204030204"/>
              <a:ea typeface="+mn-ea"/>
              <a:cs typeface="+mn-cs"/>
            </a:rPr>
            <a:t>Project Sponsors must maintain emergency transfer data, including outcome data for each request, and report this data to HUD annually. Project Sponsors must maintain emergency transfer records for a 4-year period.</a:t>
          </a:r>
        </a:p>
      </dgm:t>
    </dgm:pt>
    <dgm:pt modelId="{7C2247E7-03C4-4BE5-9BEE-99E3E8E8F616}" type="parTrans" cxnId="{E6CDABBE-0A61-4E43-B874-DCDFE520904A}">
      <dgm:prSet/>
      <dgm:spPr/>
      <dgm:t>
        <a:bodyPr/>
        <a:lstStyle/>
        <a:p>
          <a:endParaRPr lang="en-US">
            <a:solidFill>
              <a:schemeClr val="tx1">
                <a:lumMod val="75000"/>
                <a:lumOff val="25000"/>
              </a:schemeClr>
            </a:solidFill>
          </a:endParaRPr>
        </a:p>
      </dgm:t>
    </dgm:pt>
    <dgm:pt modelId="{BCF9A3D0-BA13-477A-9E4C-220F5B22F0AA}" type="sibTrans" cxnId="{E6CDABBE-0A61-4E43-B874-DCDFE520904A}">
      <dgm:prSet/>
      <dgm:spPr/>
      <dgm:t>
        <a:bodyPr/>
        <a:lstStyle/>
        <a:p>
          <a:endParaRPr lang="en-US">
            <a:solidFill>
              <a:schemeClr val="tx1">
                <a:lumMod val="75000"/>
                <a:lumOff val="25000"/>
              </a:schemeClr>
            </a:solidFill>
          </a:endParaRPr>
        </a:p>
      </dgm:t>
    </dgm:pt>
    <dgm:pt modelId="{F046F5F1-4E16-4484-90C0-B7F975335BB6}">
      <dgm:prSet phldrT="[Text]" custT="1"/>
      <dgm:spPr>
        <a:xfrm rot="16200000">
          <a:off x="1188719" y="2521565"/>
          <a:ext cx="6766560" cy="1723429"/>
        </a:xfrm>
        <a:solidFill>
          <a:srgbClr val="D092A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r>
            <a:rPr lang="en-US" sz="800">
              <a:solidFill>
                <a:sysClr val="windowText" lastClr="000000">
                  <a:lumMod val="75000"/>
                  <a:lumOff val="25000"/>
                </a:sysClr>
              </a:solidFill>
              <a:latin typeface="Calibri" panose="020F0502020204030204"/>
              <a:ea typeface="+mn-ea"/>
              <a:cs typeface="+mn-cs"/>
            </a:rPr>
            <a:t>Project Sponsors must provide survivors and remaining beneficiaries a minimum of 90 calendar days and a maximum of 12 months from the date of lease bifurcation to establish eligibility for the DSHS HOPWA Program, establish eligibility for another housing program, or find alternative housing.</a:t>
          </a:r>
        </a:p>
      </dgm:t>
    </dgm:pt>
    <dgm:pt modelId="{86B6B6F9-51C9-4CEC-B7D6-816E7BB78217}" type="parTrans" cxnId="{C331B5AA-A85B-4D2B-A555-2E02389D87E2}">
      <dgm:prSet/>
      <dgm:spPr/>
      <dgm:t>
        <a:bodyPr/>
        <a:lstStyle/>
        <a:p>
          <a:endParaRPr lang="en-US">
            <a:solidFill>
              <a:schemeClr val="tx1">
                <a:lumMod val="75000"/>
                <a:lumOff val="25000"/>
              </a:schemeClr>
            </a:solidFill>
          </a:endParaRPr>
        </a:p>
      </dgm:t>
    </dgm:pt>
    <dgm:pt modelId="{9B0E44FC-9B05-483D-B9AB-10A2F109EC3D}" type="sibTrans" cxnId="{C331B5AA-A85B-4D2B-A555-2E02389D87E2}">
      <dgm:prSet/>
      <dgm:spPr/>
      <dgm:t>
        <a:bodyPr/>
        <a:lstStyle/>
        <a:p>
          <a:endParaRPr lang="en-US">
            <a:solidFill>
              <a:schemeClr val="tx1">
                <a:lumMod val="75000"/>
                <a:lumOff val="25000"/>
              </a:schemeClr>
            </a:solidFill>
          </a:endParaRPr>
        </a:p>
      </dgm:t>
    </dgm:pt>
    <dgm:pt modelId="{FEFDE541-0A4E-4898-BDFF-8ED52900FE00}">
      <dgm:prSet phldrT="[Text]"/>
      <dgm:spPr>
        <a:xfrm rot="16200000">
          <a:off x="3041406" y="2521565"/>
          <a:ext cx="6766560" cy="1723429"/>
        </a:xfrm>
        <a:solidFill>
          <a:srgbClr val="9C85C0">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r>
            <a:rPr lang="en-US" sz="800">
              <a:solidFill>
                <a:sysClr val="windowText" lastClr="000000">
                  <a:lumMod val="75000"/>
                  <a:lumOff val="25000"/>
                </a:sysClr>
              </a:solidFill>
              <a:latin typeface="Calibri" panose="020F0502020204030204"/>
              <a:ea typeface="+mn-ea"/>
              <a:cs typeface="+mn-cs"/>
            </a:rPr>
            <a:t>The Notice and Certification must be made available in multiple languages.</a:t>
          </a:r>
        </a:p>
      </dgm:t>
    </dgm:pt>
    <dgm:pt modelId="{3C7A9D94-E1B1-4D6F-800C-88BB58CCB170}" type="parTrans" cxnId="{FE7EB308-87A1-48BA-8218-AB8F3F51CA32}">
      <dgm:prSet/>
      <dgm:spPr/>
      <dgm:t>
        <a:bodyPr/>
        <a:lstStyle/>
        <a:p>
          <a:endParaRPr lang="en-US">
            <a:solidFill>
              <a:schemeClr val="tx1">
                <a:lumMod val="75000"/>
                <a:lumOff val="25000"/>
              </a:schemeClr>
            </a:solidFill>
          </a:endParaRPr>
        </a:p>
      </dgm:t>
    </dgm:pt>
    <dgm:pt modelId="{7C5FABF8-EF8C-494C-9795-0B497270610C}" type="sibTrans" cxnId="{FE7EB308-87A1-48BA-8218-AB8F3F51CA32}">
      <dgm:prSet/>
      <dgm:spPr/>
      <dgm:t>
        <a:bodyPr/>
        <a:lstStyle/>
        <a:p>
          <a:endParaRPr lang="en-US">
            <a:solidFill>
              <a:schemeClr val="tx1">
                <a:lumMod val="75000"/>
                <a:lumOff val="25000"/>
              </a:schemeClr>
            </a:solidFill>
          </a:endParaRPr>
        </a:p>
      </dgm:t>
    </dgm:pt>
    <dgm:pt modelId="{F60E1FEB-69A6-4875-8CEB-46E35843B09E}">
      <dgm:prSet phldrT="[Text]" custT="1"/>
      <dgm:spPr>
        <a:xfrm rot="16200000">
          <a:off x="4894093" y="2521565"/>
          <a:ext cx="6766560" cy="1723429"/>
        </a:xfrm>
        <a:solidFill>
          <a:srgbClr val="809EC2">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r>
            <a:rPr lang="en-US" sz="800">
              <a:solidFill>
                <a:sysClr val="windowText" lastClr="000000">
                  <a:lumMod val="75000"/>
                  <a:lumOff val="25000"/>
                </a:sysClr>
              </a:solidFill>
              <a:latin typeface="Calibri" panose="020F0502020204030204"/>
              <a:ea typeface="+mn-ea"/>
              <a:cs typeface="+mn-cs"/>
            </a:rPr>
            <a:t>If they survived sexual assault, the survivor must reasonably believe that remaining in the unit they currently occupy poses an actual and imminent threat, or the sexual assault occurred on the premises during the 90-calendar-day period preceding the date of the emergency transfer request.</a:t>
          </a:r>
        </a:p>
      </dgm:t>
    </dgm:pt>
    <dgm:pt modelId="{9E8F72DD-10B4-47F5-A396-5044602A737E}" type="parTrans" cxnId="{F51230CD-1F6C-46CA-9ED5-F4A039BA846C}">
      <dgm:prSet/>
      <dgm:spPr/>
      <dgm:t>
        <a:bodyPr/>
        <a:lstStyle/>
        <a:p>
          <a:endParaRPr lang="en-US">
            <a:solidFill>
              <a:schemeClr val="tx1">
                <a:lumMod val="75000"/>
                <a:lumOff val="25000"/>
              </a:schemeClr>
            </a:solidFill>
          </a:endParaRPr>
        </a:p>
      </dgm:t>
    </dgm:pt>
    <dgm:pt modelId="{8561526C-47C7-44B9-BD44-0A60DD35806B}" type="sibTrans" cxnId="{F51230CD-1F6C-46CA-9ED5-F4A039BA846C}">
      <dgm:prSet/>
      <dgm:spPr/>
      <dgm:t>
        <a:bodyPr/>
        <a:lstStyle/>
        <a:p>
          <a:endParaRPr lang="en-US">
            <a:solidFill>
              <a:schemeClr val="tx1">
                <a:lumMod val="75000"/>
                <a:lumOff val="25000"/>
              </a:schemeClr>
            </a:solidFill>
          </a:endParaRPr>
        </a:p>
      </dgm:t>
    </dgm:pt>
    <dgm:pt modelId="{78ACCF34-7306-429E-86D1-2A765052E597}">
      <dgm:prSet phldrT="[Text]" custT="1"/>
      <dgm:spPr>
        <a:xfrm rot="16200000">
          <a:off x="-2516653" y="2521565"/>
          <a:ext cx="6766560" cy="1723429"/>
        </a:xfrm>
        <a:solidFill>
          <a:srgbClr val="F3A44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endParaRPr lang="en-US" sz="700">
            <a:solidFill>
              <a:sysClr val="windowText" lastClr="000000">
                <a:lumMod val="75000"/>
                <a:lumOff val="25000"/>
              </a:sysClr>
            </a:solidFill>
            <a:latin typeface="Calibri" panose="020F0502020204030204"/>
            <a:ea typeface="+mn-ea"/>
            <a:cs typeface="+mn-cs"/>
          </a:endParaRPr>
        </a:p>
      </dgm:t>
    </dgm:pt>
    <dgm:pt modelId="{5174E8E6-1195-488B-9002-840DF3B91D71}" type="parTrans" cxnId="{AB4DE26E-7169-42B3-A667-CF355542E46E}">
      <dgm:prSet/>
      <dgm:spPr/>
      <dgm:t>
        <a:bodyPr/>
        <a:lstStyle/>
        <a:p>
          <a:endParaRPr lang="en-US">
            <a:solidFill>
              <a:schemeClr val="tx1">
                <a:lumMod val="75000"/>
                <a:lumOff val="25000"/>
              </a:schemeClr>
            </a:solidFill>
          </a:endParaRPr>
        </a:p>
      </dgm:t>
    </dgm:pt>
    <dgm:pt modelId="{B4166F9A-F050-42FC-9B6B-310CD592634B}" type="sibTrans" cxnId="{AB4DE26E-7169-42B3-A667-CF355542E46E}">
      <dgm:prSet/>
      <dgm:spPr/>
      <dgm:t>
        <a:bodyPr/>
        <a:lstStyle/>
        <a:p>
          <a:endParaRPr lang="en-US">
            <a:solidFill>
              <a:schemeClr val="tx1">
                <a:lumMod val="75000"/>
                <a:lumOff val="25000"/>
              </a:schemeClr>
            </a:solidFill>
          </a:endParaRPr>
        </a:p>
      </dgm:t>
    </dgm:pt>
    <dgm:pt modelId="{6DC126E4-9045-4D61-A907-DDC6C7BE0162}">
      <dgm:prSet phldrT="[Text]" custT="1"/>
      <dgm:spPr>
        <a:xfrm rot="16200000">
          <a:off x="-2516653" y="2521565"/>
          <a:ext cx="6766560" cy="1723429"/>
        </a:xfrm>
        <a:solidFill>
          <a:srgbClr val="F3A44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endParaRPr lang="en-US" sz="700">
            <a:solidFill>
              <a:sysClr val="windowText" lastClr="000000">
                <a:lumMod val="75000"/>
                <a:lumOff val="25000"/>
              </a:sysClr>
            </a:solidFill>
            <a:latin typeface="Calibri" panose="020F0502020204030204"/>
            <a:ea typeface="+mn-ea"/>
            <a:cs typeface="+mn-cs"/>
          </a:endParaRPr>
        </a:p>
      </dgm:t>
    </dgm:pt>
    <dgm:pt modelId="{85C6C055-7DFF-4EF4-AE34-44ECA52E0DCB}" type="parTrans" cxnId="{47DF4136-A4E8-41F9-9A4F-02A779E2F3CC}">
      <dgm:prSet/>
      <dgm:spPr/>
      <dgm:t>
        <a:bodyPr/>
        <a:lstStyle/>
        <a:p>
          <a:endParaRPr lang="en-US">
            <a:solidFill>
              <a:schemeClr val="tx1">
                <a:lumMod val="75000"/>
                <a:lumOff val="25000"/>
              </a:schemeClr>
            </a:solidFill>
          </a:endParaRPr>
        </a:p>
      </dgm:t>
    </dgm:pt>
    <dgm:pt modelId="{068E00FE-CBED-4E27-96AD-A57727183FD1}" type="sibTrans" cxnId="{47DF4136-A4E8-41F9-9A4F-02A779E2F3CC}">
      <dgm:prSet/>
      <dgm:spPr/>
      <dgm:t>
        <a:bodyPr/>
        <a:lstStyle/>
        <a:p>
          <a:endParaRPr lang="en-US">
            <a:solidFill>
              <a:schemeClr val="tx1">
                <a:lumMod val="75000"/>
                <a:lumOff val="25000"/>
              </a:schemeClr>
            </a:solidFill>
          </a:endParaRPr>
        </a:p>
      </dgm:t>
    </dgm:pt>
    <dgm:pt modelId="{1A94493C-F7E5-4516-8836-552D3E0C3A67}">
      <dgm:prSet phldrT="[Text]" custT="1"/>
      <dgm:spPr>
        <a:xfrm rot="16200000">
          <a:off x="-2516653" y="2521565"/>
          <a:ext cx="6766560" cy="1723429"/>
        </a:xfrm>
        <a:solidFill>
          <a:srgbClr val="F3A44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endParaRPr lang="en-US" sz="700">
            <a:solidFill>
              <a:sysClr val="windowText" lastClr="000000">
                <a:lumMod val="75000"/>
                <a:lumOff val="25000"/>
              </a:sysClr>
            </a:solidFill>
            <a:latin typeface="Calibri" panose="020F0502020204030204"/>
            <a:ea typeface="+mn-ea"/>
            <a:cs typeface="+mn-cs"/>
          </a:endParaRPr>
        </a:p>
      </dgm:t>
    </dgm:pt>
    <dgm:pt modelId="{46725F7B-637D-4090-B685-B47B5EE263F2}" type="parTrans" cxnId="{B0C1B71C-F96E-46AF-9544-AFAA31656840}">
      <dgm:prSet/>
      <dgm:spPr/>
      <dgm:t>
        <a:bodyPr/>
        <a:lstStyle/>
        <a:p>
          <a:endParaRPr lang="en-US">
            <a:solidFill>
              <a:schemeClr val="tx1">
                <a:lumMod val="75000"/>
                <a:lumOff val="25000"/>
              </a:schemeClr>
            </a:solidFill>
          </a:endParaRPr>
        </a:p>
      </dgm:t>
    </dgm:pt>
    <dgm:pt modelId="{BC4FD664-1157-428A-841A-00C088EE28E4}" type="sibTrans" cxnId="{B0C1B71C-F96E-46AF-9544-AFAA31656840}">
      <dgm:prSet/>
      <dgm:spPr/>
      <dgm:t>
        <a:bodyPr/>
        <a:lstStyle/>
        <a:p>
          <a:endParaRPr lang="en-US">
            <a:solidFill>
              <a:schemeClr val="tx1">
                <a:lumMod val="75000"/>
                <a:lumOff val="25000"/>
              </a:schemeClr>
            </a:solidFill>
          </a:endParaRPr>
        </a:p>
      </dgm:t>
    </dgm:pt>
    <dgm:pt modelId="{AF22E9F5-7591-4AD2-A478-E3A51E44B564}">
      <dgm:prSet phldrT="[Text]" custT="1"/>
      <dgm:spPr>
        <a:xfrm rot="16200000">
          <a:off x="-663966" y="2521565"/>
          <a:ext cx="6766560" cy="1723429"/>
        </a:xfrm>
        <a:solidFill>
          <a:srgbClr val="E7BC29">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endParaRPr lang="en-US" sz="700">
            <a:solidFill>
              <a:sysClr val="windowText" lastClr="000000">
                <a:lumMod val="75000"/>
                <a:lumOff val="25000"/>
              </a:sysClr>
            </a:solidFill>
            <a:latin typeface="Calibri" panose="020F0502020204030204"/>
            <a:ea typeface="+mn-ea"/>
            <a:cs typeface="+mn-cs"/>
          </a:endParaRPr>
        </a:p>
      </dgm:t>
    </dgm:pt>
    <dgm:pt modelId="{B72E8318-5D25-40ED-B1A5-34C11ACA8880}" type="parTrans" cxnId="{6ABDCA8F-4AAF-463C-B804-525D42A6C895}">
      <dgm:prSet/>
      <dgm:spPr/>
      <dgm:t>
        <a:bodyPr/>
        <a:lstStyle/>
        <a:p>
          <a:endParaRPr lang="en-US">
            <a:solidFill>
              <a:schemeClr val="tx1">
                <a:lumMod val="75000"/>
                <a:lumOff val="25000"/>
              </a:schemeClr>
            </a:solidFill>
          </a:endParaRPr>
        </a:p>
      </dgm:t>
    </dgm:pt>
    <dgm:pt modelId="{B67F72E2-FF6C-4BA8-A437-BAA45271F7B3}" type="sibTrans" cxnId="{6ABDCA8F-4AAF-463C-B804-525D42A6C895}">
      <dgm:prSet/>
      <dgm:spPr/>
      <dgm:t>
        <a:bodyPr/>
        <a:lstStyle/>
        <a:p>
          <a:endParaRPr lang="en-US">
            <a:solidFill>
              <a:schemeClr val="tx1">
                <a:lumMod val="75000"/>
                <a:lumOff val="25000"/>
              </a:schemeClr>
            </a:solidFill>
          </a:endParaRPr>
        </a:p>
      </dgm:t>
    </dgm:pt>
    <dgm:pt modelId="{36DDD0A5-79D6-45E2-9DA4-657B0AC60951}">
      <dgm:prSet phldrT="[Text]" custT="1"/>
      <dgm:spPr>
        <a:xfrm rot="16200000">
          <a:off x="-663966" y="2521565"/>
          <a:ext cx="6766560" cy="1723429"/>
        </a:xfrm>
        <a:solidFill>
          <a:srgbClr val="E7BC29">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endParaRPr lang="en-US" sz="700">
            <a:solidFill>
              <a:sysClr val="windowText" lastClr="000000">
                <a:lumMod val="75000"/>
                <a:lumOff val="25000"/>
              </a:sysClr>
            </a:solidFill>
            <a:latin typeface="Calibri" panose="020F0502020204030204"/>
            <a:ea typeface="+mn-ea"/>
            <a:cs typeface="+mn-cs"/>
          </a:endParaRPr>
        </a:p>
      </dgm:t>
    </dgm:pt>
    <dgm:pt modelId="{D119FDD2-617E-416B-A80C-ACBEBB90426C}" type="parTrans" cxnId="{0299DA92-0568-4250-B01B-7C944A4FD6DF}">
      <dgm:prSet/>
      <dgm:spPr/>
      <dgm:t>
        <a:bodyPr/>
        <a:lstStyle/>
        <a:p>
          <a:endParaRPr lang="en-US">
            <a:solidFill>
              <a:schemeClr val="tx1">
                <a:lumMod val="75000"/>
                <a:lumOff val="25000"/>
              </a:schemeClr>
            </a:solidFill>
          </a:endParaRPr>
        </a:p>
      </dgm:t>
    </dgm:pt>
    <dgm:pt modelId="{99372D87-0636-446E-88A2-DCB2C9DB0A95}" type="sibTrans" cxnId="{0299DA92-0568-4250-B01B-7C944A4FD6DF}">
      <dgm:prSet/>
      <dgm:spPr/>
      <dgm:t>
        <a:bodyPr/>
        <a:lstStyle/>
        <a:p>
          <a:endParaRPr lang="en-US">
            <a:solidFill>
              <a:schemeClr val="tx1">
                <a:lumMod val="75000"/>
                <a:lumOff val="25000"/>
              </a:schemeClr>
            </a:solidFill>
          </a:endParaRPr>
        </a:p>
      </dgm:t>
    </dgm:pt>
    <dgm:pt modelId="{5CD04A00-9D25-4344-93A2-4C67717B4E12}">
      <dgm:prSet phldrT="[Text]" custT="1"/>
      <dgm:spPr>
        <a:xfrm rot="16200000">
          <a:off x="-663966" y="2521565"/>
          <a:ext cx="6766560" cy="1723429"/>
        </a:xfrm>
        <a:solidFill>
          <a:srgbClr val="E7BC29">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endParaRPr lang="en-US" sz="700">
            <a:solidFill>
              <a:sysClr val="windowText" lastClr="000000">
                <a:lumMod val="75000"/>
                <a:lumOff val="25000"/>
              </a:sysClr>
            </a:solidFill>
            <a:latin typeface="Calibri" panose="020F0502020204030204"/>
            <a:ea typeface="+mn-ea"/>
            <a:cs typeface="+mn-cs"/>
          </a:endParaRPr>
        </a:p>
      </dgm:t>
    </dgm:pt>
    <dgm:pt modelId="{B020A4AE-2CAC-4D67-9E64-ABC02B7AA822}" type="parTrans" cxnId="{4FE86F4B-2830-4DAE-994D-F2503B6D49DC}">
      <dgm:prSet/>
      <dgm:spPr/>
      <dgm:t>
        <a:bodyPr/>
        <a:lstStyle/>
        <a:p>
          <a:endParaRPr lang="en-US">
            <a:solidFill>
              <a:schemeClr val="tx1">
                <a:lumMod val="75000"/>
                <a:lumOff val="25000"/>
              </a:schemeClr>
            </a:solidFill>
          </a:endParaRPr>
        </a:p>
      </dgm:t>
    </dgm:pt>
    <dgm:pt modelId="{A0306485-6018-4115-A0F1-EEF00460B416}" type="sibTrans" cxnId="{4FE86F4B-2830-4DAE-994D-F2503B6D49DC}">
      <dgm:prSet/>
      <dgm:spPr/>
      <dgm:t>
        <a:bodyPr/>
        <a:lstStyle/>
        <a:p>
          <a:endParaRPr lang="en-US">
            <a:solidFill>
              <a:schemeClr val="tx1">
                <a:lumMod val="75000"/>
                <a:lumOff val="25000"/>
              </a:schemeClr>
            </a:solidFill>
          </a:endParaRPr>
        </a:p>
      </dgm:t>
    </dgm:pt>
    <dgm:pt modelId="{80D002D7-B916-457B-8465-E7FBD9A7974F}">
      <dgm:prSet phldrT="[Text]" custT="1"/>
      <dgm:spPr>
        <a:xfrm rot="16200000">
          <a:off x="-663966" y="2521565"/>
          <a:ext cx="6766560" cy="1723429"/>
        </a:xfrm>
        <a:solidFill>
          <a:srgbClr val="E7BC29">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endParaRPr lang="en-US" sz="700">
            <a:solidFill>
              <a:sysClr val="windowText" lastClr="000000">
                <a:lumMod val="75000"/>
                <a:lumOff val="25000"/>
              </a:sysClr>
            </a:solidFill>
            <a:latin typeface="Calibri" panose="020F0502020204030204"/>
            <a:ea typeface="+mn-ea"/>
            <a:cs typeface="+mn-cs"/>
          </a:endParaRPr>
        </a:p>
      </dgm:t>
    </dgm:pt>
    <dgm:pt modelId="{20ED9119-13D2-406B-916B-795AF5A45EEE}" type="parTrans" cxnId="{0230B4C2-B56D-4535-A642-4F59DB9917DA}">
      <dgm:prSet/>
      <dgm:spPr/>
      <dgm:t>
        <a:bodyPr/>
        <a:lstStyle/>
        <a:p>
          <a:endParaRPr lang="en-US">
            <a:solidFill>
              <a:schemeClr val="tx1">
                <a:lumMod val="75000"/>
                <a:lumOff val="25000"/>
              </a:schemeClr>
            </a:solidFill>
          </a:endParaRPr>
        </a:p>
      </dgm:t>
    </dgm:pt>
    <dgm:pt modelId="{08FE23B1-F3C7-4525-9CAB-573EE5497A44}" type="sibTrans" cxnId="{0230B4C2-B56D-4535-A642-4F59DB9917DA}">
      <dgm:prSet/>
      <dgm:spPr/>
      <dgm:t>
        <a:bodyPr/>
        <a:lstStyle/>
        <a:p>
          <a:endParaRPr lang="en-US">
            <a:solidFill>
              <a:schemeClr val="tx1">
                <a:lumMod val="75000"/>
                <a:lumOff val="25000"/>
              </a:schemeClr>
            </a:solidFill>
          </a:endParaRPr>
        </a:p>
      </dgm:t>
    </dgm:pt>
    <dgm:pt modelId="{A84E21E0-55AB-444B-B55B-65095629202D}">
      <dgm:prSet phldrT="[Text]" custT="1"/>
      <dgm:spPr>
        <a:xfrm rot="16200000">
          <a:off x="1188719" y="2521565"/>
          <a:ext cx="6766560" cy="1723429"/>
        </a:xfrm>
        <a:solidFill>
          <a:srgbClr val="D092A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endParaRPr lang="en-US" sz="700">
            <a:solidFill>
              <a:sysClr val="windowText" lastClr="000000">
                <a:lumMod val="75000"/>
                <a:lumOff val="25000"/>
              </a:sysClr>
            </a:solidFill>
            <a:latin typeface="Calibri" panose="020F0502020204030204"/>
            <a:ea typeface="+mn-ea"/>
            <a:cs typeface="+mn-cs"/>
          </a:endParaRPr>
        </a:p>
      </dgm:t>
    </dgm:pt>
    <dgm:pt modelId="{285A50BB-5144-48C4-9239-98A9DFF36715}" type="parTrans" cxnId="{262BB132-C2F1-4B76-BEAF-05D5C4329598}">
      <dgm:prSet/>
      <dgm:spPr/>
      <dgm:t>
        <a:bodyPr/>
        <a:lstStyle/>
        <a:p>
          <a:endParaRPr lang="en-US">
            <a:solidFill>
              <a:schemeClr val="tx1">
                <a:lumMod val="75000"/>
                <a:lumOff val="25000"/>
              </a:schemeClr>
            </a:solidFill>
          </a:endParaRPr>
        </a:p>
      </dgm:t>
    </dgm:pt>
    <dgm:pt modelId="{63F3D320-B4F2-470F-9EBE-92D56E32DCA9}" type="sibTrans" cxnId="{262BB132-C2F1-4B76-BEAF-05D5C4329598}">
      <dgm:prSet/>
      <dgm:spPr/>
      <dgm:t>
        <a:bodyPr/>
        <a:lstStyle/>
        <a:p>
          <a:endParaRPr lang="en-US">
            <a:solidFill>
              <a:schemeClr val="tx1">
                <a:lumMod val="75000"/>
                <a:lumOff val="25000"/>
              </a:schemeClr>
            </a:solidFill>
          </a:endParaRPr>
        </a:p>
      </dgm:t>
    </dgm:pt>
    <dgm:pt modelId="{97A17F18-5836-4034-B22B-C92FC8F13BED}">
      <dgm:prSet phldrT="[Text]" custT="1"/>
      <dgm:spPr>
        <a:xfrm rot="16200000">
          <a:off x="1188719" y="2521565"/>
          <a:ext cx="6766560" cy="1723429"/>
        </a:xfrm>
        <a:solidFill>
          <a:srgbClr val="D092A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endParaRPr lang="en-US" sz="700">
            <a:solidFill>
              <a:sysClr val="windowText" lastClr="000000">
                <a:lumMod val="75000"/>
                <a:lumOff val="25000"/>
              </a:sysClr>
            </a:solidFill>
            <a:latin typeface="Calibri" panose="020F0502020204030204"/>
            <a:ea typeface="+mn-ea"/>
            <a:cs typeface="+mn-cs"/>
          </a:endParaRPr>
        </a:p>
      </dgm:t>
    </dgm:pt>
    <dgm:pt modelId="{F7A5AB00-332F-4519-8FE8-0D61EE6C3868}" type="parTrans" cxnId="{03973827-B79E-4981-8109-CB3FDD416019}">
      <dgm:prSet/>
      <dgm:spPr/>
      <dgm:t>
        <a:bodyPr/>
        <a:lstStyle/>
        <a:p>
          <a:endParaRPr lang="en-US">
            <a:solidFill>
              <a:schemeClr val="tx1">
                <a:lumMod val="75000"/>
                <a:lumOff val="25000"/>
              </a:schemeClr>
            </a:solidFill>
          </a:endParaRPr>
        </a:p>
      </dgm:t>
    </dgm:pt>
    <dgm:pt modelId="{94A58D5E-C514-43E2-8532-075513841F75}" type="sibTrans" cxnId="{03973827-B79E-4981-8109-CB3FDD416019}">
      <dgm:prSet/>
      <dgm:spPr/>
      <dgm:t>
        <a:bodyPr/>
        <a:lstStyle/>
        <a:p>
          <a:endParaRPr lang="en-US">
            <a:solidFill>
              <a:schemeClr val="tx1">
                <a:lumMod val="75000"/>
                <a:lumOff val="25000"/>
              </a:schemeClr>
            </a:solidFill>
          </a:endParaRPr>
        </a:p>
      </dgm:t>
    </dgm:pt>
    <dgm:pt modelId="{1CB26EF2-AE5B-4324-BB4A-8BFCE574212B}">
      <dgm:prSet phldrT="[Text]" custT="1"/>
      <dgm:spPr>
        <a:xfrm rot="16200000">
          <a:off x="1188719" y="2521565"/>
          <a:ext cx="6766560" cy="1723429"/>
        </a:xfrm>
        <a:solidFill>
          <a:srgbClr val="D092A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endParaRPr lang="en-US" sz="700">
            <a:solidFill>
              <a:sysClr val="windowText" lastClr="000000">
                <a:lumMod val="75000"/>
                <a:lumOff val="25000"/>
              </a:sysClr>
            </a:solidFill>
            <a:latin typeface="Calibri" panose="020F0502020204030204"/>
            <a:ea typeface="+mn-ea"/>
            <a:cs typeface="+mn-cs"/>
          </a:endParaRPr>
        </a:p>
      </dgm:t>
    </dgm:pt>
    <dgm:pt modelId="{29468B1C-E503-4F98-BB67-935046239406}" type="parTrans" cxnId="{608B6909-7D3B-4A0A-9DA3-DD13D834353A}">
      <dgm:prSet/>
      <dgm:spPr/>
      <dgm:t>
        <a:bodyPr/>
        <a:lstStyle/>
        <a:p>
          <a:endParaRPr lang="en-US">
            <a:solidFill>
              <a:schemeClr val="tx1">
                <a:lumMod val="75000"/>
                <a:lumOff val="25000"/>
              </a:schemeClr>
            </a:solidFill>
          </a:endParaRPr>
        </a:p>
      </dgm:t>
    </dgm:pt>
    <dgm:pt modelId="{F413C402-D6D8-498F-84D8-F6FA7F2AB0FD}" type="sibTrans" cxnId="{608B6909-7D3B-4A0A-9DA3-DD13D834353A}">
      <dgm:prSet/>
      <dgm:spPr/>
      <dgm:t>
        <a:bodyPr/>
        <a:lstStyle/>
        <a:p>
          <a:endParaRPr lang="en-US">
            <a:solidFill>
              <a:schemeClr val="tx1">
                <a:lumMod val="75000"/>
                <a:lumOff val="25000"/>
              </a:schemeClr>
            </a:solidFill>
          </a:endParaRPr>
        </a:p>
      </dgm:t>
    </dgm:pt>
    <dgm:pt modelId="{925636EE-F161-4C4D-B432-FB024FF0CEA3}">
      <dgm:prSet phldrT="[Text]" custT="1"/>
      <dgm:spPr>
        <a:xfrm rot="16200000">
          <a:off x="3041406" y="2521565"/>
          <a:ext cx="6766560" cy="1723429"/>
        </a:xfrm>
        <a:solidFill>
          <a:srgbClr val="9C85C0">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endParaRPr lang="en-US" sz="700">
            <a:solidFill>
              <a:sysClr val="windowText" lastClr="000000">
                <a:lumMod val="75000"/>
                <a:lumOff val="25000"/>
              </a:sysClr>
            </a:solidFill>
            <a:latin typeface="Calibri" panose="020F0502020204030204"/>
            <a:ea typeface="+mn-ea"/>
            <a:cs typeface="+mn-cs"/>
          </a:endParaRPr>
        </a:p>
      </dgm:t>
    </dgm:pt>
    <dgm:pt modelId="{C922C014-4EE9-4E16-86B1-BA6299BB38AE}" type="parTrans" cxnId="{2D448C76-E332-41EA-AC29-9EA012BBFCC0}">
      <dgm:prSet/>
      <dgm:spPr/>
      <dgm:t>
        <a:bodyPr/>
        <a:lstStyle/>
        <a:p>
          <a:endParaRPr lang="en-US">
            <a:solidFill>
              <a:schemeClr val="tx1">
                <a:lumMod val="75000"/>
                <a:lumOff val="25000"/>
              </a:schemeClr>
            </a:solidFill>
          </a:endParaRPr>
        </a:p>
      </dgm:t>
    </dgm:pt>
    <dgm:pt modelId="{45A79B5D-D525-4A41-8BA0-100D94C15182}" type="sibTrans" cxnId="{2D448C76-E332-41EA-AC29-9EA012BBFCC0}">
      <dgm:prSet/>
      <dgm:spPr/>
      <dgm:t>
        <a:bodyPr/>
        <a:lstStyle/>
        <a:p>
          <a:endParaRPr lang="en-US">
            <a:solidFill>
              <a:schemeClr val="tx1">
                <a:lumMod val="75000"/>
                <a:lumOff val="25000"/>
              </a:schemeClr>
            </a:solidFill>
          </a:endParaRPr>
        </a:p>
      </dgm:t>
    </dgm:pt>
    <dgm:pt modelId="{48B32486-FE17-4A60-AC15-4C6FDFE7F484}">
      <dgm:prSet phldrT="[Text]" custT="1"/>
      <dgm:spPr>
        <a:xfrm rot="16200000">
          <a:off x="3041406" y="2521565"/>
          <a:ext cx="6766560" cy="1723429"/>
        </a:xfrm>
        <a:solidFill>
          <a:srgbClr val="9C85C0">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endParaRPr lang="en-US" sz="700">
            <a:solidFill>
              <a:sysClr val="windowText" lastClr="000000">
                <a:lumMod val="75000"/>
                <a:lumOff val="25000"/>
              </a:sysClr>
            </a:solidFill>
            <a:latin typeface="Calibri" panose="020F0502020204030204"/>
            <a:ea typeface="+mn-ea"/>
            <a:cs typeface="+mn-cs"/>
          </a:endParaRPr>
        </a:p>
      </dgm:t>
    </dgm:pt>
    <dgm:pt modelId="{543CCB9A-EB30-4ECF-AE34-A3305A66C367}" type="parTrans" cxnId="{866DF5DC-6ECD-4651-8E20-FDC1D516864F}">
      <dgm:prSet/>
      <dgm:spPr/>
      <dgm:t>
        <a:bodyPr/>
        <a:lstStyle/>
        <a:p>
          <a:endParaRPr lang="en-US">
            <a:solidFill>
              <a:schemeClr val="tx1">
                <a:lumMod val="75000"/>
                <a:lumOff val="25000"/>
              </a:schemeClr>
            </a:solidFill>
          </a:endParaRPr>
        </a:p>
      </dgm:t>
    </dgm:pt>
    <dgm:pt modelId="{65BDB79D-03C3-4EBD-A478-DFC7315B64B0}" type="sibTrans" cxnId="{866DF5DC-6ECD-4651-8E20-FDC1D516864F}">
      <dgm:prSet/>
      <dgm:spPr/>
      <dgm:t>
        <a:bodyPr/>
        <a:lstStyle/>
        <a:p>
          <a:endParaRPr lang="en-US">
            <a:solidFill>
              <a:schemeClr val="tx1">
                <a:lumMod val="75000"/>
                <a:lumOff val="25000"/>
              </a:schemeClr>
            </a:solidFill>
          </a:endParaRPr>
        </a:p>
      </dgm:t>
    </dgm:pt>
    <dgm:pt modelId="{A45BB4BB-A949-40C6-B8BC-10516775647C}">
      <dgm:prSet phldrT="[Text]" custT="1"/>
      <dgm:spPr>
        <a:xfrm rot="16200000">
          <a:off x="3041406" y="2521565"/>
          <a:ext cx="6766560" cy="1723429"/>
        </a:xfrm>
        <a:solidFill>
          <a:srgbClr val="9C85C0">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endParaRPr lang="en-US" sz="700">
            <a:solidFill>
              <a:sysClr val="windowText" lastClr="000000">
                <a:lumMod val="75000"/>
                <a:lumOff val="25000"/>
              </a:sysClr>
            </a:solidFill>
            <a:latin typeface="Calibri" panose="020F0502020204030204"/>
            <a:ea typeface="+mn-ea"/>
            <a:cs typeface="+mn-cs"/>
          </a:endParaRPr>
        </a:p>
      </dgm:t>
    </dgm:pt>
    <dgm:pt modelId="{BAF7AA6F-785D-4F1C-BA15-22FE2D799D59}" type="parTrans" cxnId="{3354D4FB-4603-4238-BAE6-3C1DA28A9E74}">
      <dgm:prSet/>
      <dgm:spPr/>
      <dgm:t>
        <a:bodyPr/>
        <a:lstStyle/>
        <a:p>
          <a:endParaRPr lang="en-US">
            <a:solidFill>
              <a:schemeClr val="tx1">
                <a:lumMod val="75000"/>
                <a:lumOff val="25000"/>
              </a:schemeClr>
            </a:solidFill>
          </a:endParaRPr>
        </a:p>
      </dgm:t>
    </dgm:pt>
    <dgm:pt modelId="{BFD1195A-D996-4159-8CFD-AD2289D57D9B}" type="sibTrans" cxnId="{3354D4FB-4603-4238-BAE6-3C1DA28A9E74}">
      <dgm:prSet/>
      <dgm:spPr/>
      <dgm:t>
        <a:bodyPr/>
        <a:lstStyle/>
        <a:p>
          <a:endParaRPr lang="en-US">
            <a:solidFill>
              <a:schemeClr val="tx1">
                <a:lumMod val="75000"/>
                <a:lumOff val="25000"/>
              </a:schemeClr>
            </a:solidFill>
          </a:endParaRPr>
        </a:p>
      </dgm:t>
    </dgm:pt>
    <dgm:pt modelId="{3FACAB87-B2B5-414D-BA49-1449EF3AC2BD}">
      <dgm:prSet phldrT="[Text]" custT="1"/>
      <dgm:spPr>
        <a:xfrm rot="16200000">
          <a:off x="4894093" y="2521565"/>
          <a:ext cx="6766560" cy="1723429"/>
        </a:xfrm>
        <a:solidFill>
          <a:srgbClr val="809EC2">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endParaRPr lang="en-US" sz="700">
            <a:solidFill>
              <a:sysClr val="windowText" lastClr="000000">
                <a:lumMod val="75000"/>
                <a:lumOff val="25000"/>
              </a:sysClr>
            </a:solidFill>
            <a:latin typeface="Calibri" panose="020F0502020204030204"/>
            <a:ea typeface="+mn-ea"/>
            <a:cs typeface="+mn-cs"/>
          </a:endParaRPr>
        </a:p>
      </dgm:t>
    </dgm:pt>
    <dgm:pt modelId="{53B9B899-312A-4EED-8A39-7F445615903C}" type="parTrans" cxnId="{9A1D7CF0-AE27-43C3-BEEB-EAE84FA8E140}">
      <dgm:prSet/>
      <dgm:spPr/>
      <dgm:t>
        <a:bodyPr/>
        <a:lstStyle/>
        <a:p>
          <a:endParaRPr lang="en-US">
            <a:solidFill>
              <a:schemeClr val="tx1">
                <a:lumMod val="75000"/>
                <a:lumOff val="25000"/>
              </a:schemeClr>
            </a:solidFill>
          </a:endParaRPr>
        </a:p>
      </dgm:t>
    </dgm:pt>
    <dgm:pt modelId="{B47B95EE-591A-446D-BBF9-7F4198700C31}" type="sibTrans" cxnId="{9A1D7CF0-AE27-43C3-BEEB-EAE84FA8E140}">
      <dgm:prSet/>
      <dgm:spPr/>
      <dgm:t>
        <a:bodyPr/>
        <a:lstStyle/>
        <a:p>
          <a:endParaRPr lang="en-US">
            <a:solidFill>
              <a:schemeClr val="tx1">
                <a:lumMod val="75000"/>
                <a:lumOff val="25000"/>
              </a:schemeClr>
            </a:solidFill>
          </a:endParaRPr>
        </a:p>
      </dgm:t>
    </dgm:pt>
    <dgm:pt modelId="{D66D0D1F-666B-46C3-953C-B2022C99F7EF}">
      <dgm:prSet phldrT="[Text]" custT="1"/>
      <dgm:spPr>
        <a:xfrm rot="16200000">
          <a:off x="4894093" y="2521565"/>
          <a:ext cx="6766560" cy="1723429"/>
        </a:xfrm>
        <a:solidFill>
          <a:srgbClr val="809EC2">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endParaRPr lang="en-US" sz="700">
            <a:solidFill>
              <a:sysClr val="windowText" lastClr="000000">
                <a:lumMod val="75000"/>
                <a:lumOff val="25000"/>
              </a:sysClr>
            </a:solidFill>
            <a:latin typeface="Calibri" panose="020F0502020204030204"/>
            <a:ea typeface="+mn-ea"/>
            <a:cs typeface="+mn-cs"/>
          </a:endParaRPr>
        </a:p>
      </dgm:t>
    </dgm:pt>
    <dgm:pt modelId="{8DA3882C-9F8A-4FD7-BDF1-97BEDEAD81F7}" type="parTrans" cxnId="{3EA4B7AE-FC25-4698-A7EC-0655B58528DF}">
      <dgm:prSet/>
      <dgm:spPr/>
      <dgm:t>
        <a:bodyPr/>
        <a:lstStyle/>
        <a:p>
          <a:endParaRPr lang="en-US">
            <a:solidFill>
              <a:schemeClr val="tx1">
                <a:lumMod val="75000"/>
                <a:lumOff val="25000"/>
              </a:schemeClr>
            </a:solidFill>
          </a:endParaRPr>
        </a:p>
      </dgm:t>
    </dgm:pt>
    <dgm:pt modelId="{98C93FCF-C757-4820-B7B4-9D179DC03753}" type="sibTrans" cxnId="{3EA4B7AE-FC25-4698-A7EC-0655B58528DF}">
      <dgm:prSet/>
      <dgm:spPr/>
      <dgm:t>
        <a:bodyPr/>
        <a:lstStyle/>
        <a:p>
          <a:endParaRPr lang="en-US">
            <a:solidFill>
              <a:schemeClr val="tx1">
                <a:lumMod val="75000"/>
                <a:lumOff val="25000"/>
              </a:schemeClr>
            </a:solidFill>
          </a:endParaRPr>
        </a:p>
      </dgm:t>
    </dgm:pt>
    <dgm:pt modelId="{0A4CB07B-A117-410E-A94E-D718FACA9C3A}">
      <dgm:prSet phldrT="[Text]" custT="1"/>
      <dgm:spPr>
        <a:xfrm rot="16200000">
          <a:off x="4894093" y="2521565"/>
          <a:ext cx="6766560" cy="1723429"/>
        </a:xfrm>
        <a:solidFill>
          <a:srgbClr val="809EC2">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endParaRPr lang="en-US" sz="700">
            <a:solidFill>
              <a:sysClr val="windowText" lastClr="000000">
                <a:lumMod val="75000"/>
                <a:lumOff val="25000"/>
              </a:sysClr>
            </a:solidFill>
            <a:latin typeface="Calibri" panose="020F0502020204030204"/>
            <a:ea typeface="+mn-ea"/>
            <a:cs typeface="+mn-cs"/>
          </a:endParaRPr>
        </a:p>
      </dgm:t>
    </dgm:pt>
    <dgm:pt modelId="{206C1DF3-A147-4679-8704-200A6ED96F4E}" type="parTrans" cxnId="{6C8FAC8F-A9CE-404F-AC43-16F82B9E4571}">
      <dgm:prSet/>
      <dgm:spPr/>
      <dgm:t>
        <a:bodyPr/>
        <a:lstStyle/>
        <a:p>
          <a:endParaRPr lang="en-US">
            <a:solidFill>
              <a:schemeClr val="tx1">
                <a:lumMod val="75000"/>
                <a:lumOff val="25000"/>
              </a:schemeClr>
            </a:solidFill>
          </a:endParaRPr>
        </a:p>
      </dgm:t>
    </dgm:pt>
    <dgm:pt modelId="{58F8A6B7-373E-4699-8A90-D605A98A9B77}" type="sibTrans" cxnId="{6C8FAC8F-A9CE-404F-AC43-16F82B9E4571}">
      <dgm:prSet/>
      <dgm:spPr/>
      <dgm:t>
        <a:bodyPr/>
        <a:lstStyle/>
        <a:p>
          <a:endParaRPr lang="en-US">
            <a:solidFill>
              <a:schemeClr val="tx1">
                <a:lumMod val="75000"/>
                <a:lumOff val="25000"/>
              </a:schemeClr>
            </a:solidFill>
          </a:endParaRPr>
        </a:p>
      </dgm:t>
    </dgm:pt>
    <dgm:pt modelId="{2E1F4E78-F2E0-469B-9178-47E0CB50DEBE}">
      <dgm:prSet phldrT="[Text]" custT="1"/>
      <dgm:spPr>
        <a:xfrm rot="16200000">
          <a:off x="-2516653" y="2521565"/>
          <a:ext cx="6766560" cy="1723429"/>
        </a:xfrm>
        <a:solidFill>
          <a:srgbClr val="F3A44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endParaRPr lang="en-US" sz="700">
            <a:solidFill>
              <a:sysClr val="windowText" lastClr="000000">
                <a:lumMod val="75000"/>
                <a:lumOff val="25000"/>
              </a:sysClr>
            </a:solidFill>
            <a:latin typeface="Calibri" panose="020F0502020204030204"/>
            <a:ea typeface="+mn-ea"/>
            <a:cs typeface="+mn-cs"/>
          </a:endParaRPr>
        </a:p>
      </dgm:t>
    </dgm:pt>
    <dgm:pt modelId="{6AB4C491-358F-4D4D-94A0-DADFFBAD7595}" type="sibTrans" cxnId="{5CFB183B-4B7E-49A1-8309-5A356453DFBB}">
      <dgm:prSet/>
      <dgm:spPr/>
      <dgm:t>
        <a:bodyPr/>
        <a:lstStyle/>
        <a:p>
          <a:endParaRPr lang="en-US">
            <a:solidFill>
              <a:schemeClr val="tx1">
                <a:lumMod val="75000"/>
                <a:lumOff val="25000"/>
              </a:schemeClr>
            </a:solidFill>
          </a:endParaRPr>
        </a:p>
      </dgm:t>
    </dgm:pt>
    <dgm:pt modelId="{C3C1ABCC-0E86-42E0-81EC-ADD81592B9C3}" type="parTrans" cxnId="{5CFB183B-4B7E-49A1-8309-5A356453DFBB}">
      <dgm:prSet/>
      <dgm:spPr/>
      <dgm:t>
        <a:bodyPr/>
        <a:lstStyle/>
        <a:p>
          <a:endParaRPr lang="en-US">
            <a:solidFill>
              <a:schemeClr val="tx1">
                <a:lumMod val="75000"/>
                <a:lumOff val="25000"/>
              </a:schemeClr>
            </a:solidFill>
          </a:endParaRPr>
        </a:p>
      </dgm:t>
    </dgm:pt>
    <dgm:pt modelId="{2DDADB6A-86EF-46C2-A5C5-3555180EE70B}">
      <dgm:prSet phldrT="[Text]" custT="1"/>
      <dgm:spPr>
        <a:xfrm rot="16200000">
          <a:off x="-2516653" y="2521565"/>
          <a:ext cx="6766560" cy="1723429"/>
        </a:xfrm>
        <a:solidFill>
          <a:srgbClr val="F3A44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r>
            <a:rPr lang="en-US" sz="800">
              <a:solidFill>
                <a:sysClr val="windowText" lastClr="000000">
                  <a:lumMod val="75000"/>
                  <a:lumOff val="25000"/>
                </a:sysClr>
              </a:solidFill>
              <a:latin typeface="Calibri" panose="020F0502020204030204"/>
              <a:ea typeface="+mn-ea"/>
              <a:cs typeface="+mn-cs"/>
            </a:rPr>
            <a:t>The </a:t>
          </a:r>
          <a:r>
            <a:rPr lang="en-US" sz="800" b="1">
              <a:solidFill>
                <a:srgbClr val="8162AE"/>
              </a:solidFill>
              <a:latin typeface="Calibri" panose="020F0502020204030204"/>
              <a:ea typeface="+mn-ea"/>
              <a:cs typeface="+mn-cs"/>
            </a:rPr>
            <a:t>VAWA Lease Addendum</a:t>
          </a:r>
          <a:r>
            <a:rPr lang="en-US" sz="800">
              <a:solidFill>
                <a:sysClr val="windowText" lastClr="000000">
                  <a:lumMod val="75000"/>
                  <a:lumOff val="25000"/>
                </a:sysClr>
              </a:solidFill>
              <a:latin typeface="Calibri" panose="020F0502020204030204"/>
              <a:ea typeface="+mn-ea"/>
              <a:cs typeface="+mn-cs"/>
            </a:rPr>
            <a:t> provides that a survivor may terminate their lease without penalty if they meet emergency transfer requirements.</a:t>
          </a:r>
        </a:p>
      </dgm:t>
    </dgm:pt>
    <dgm:pt modelId="{8015891C-139D-4BB7-B682-1FC09E2F7DE4}" type="sibTrans" cxnId="{437AB3EA-08F8-44BB-A37E-3B70275B103F}">
      <dgm:prSet/>
      <dgm:spPr/>
      <dgm:t>
        <a:bodyPr/>
        <a:lstStyle/>
        <a:p>
          <a:endParaRPr lang="en-US">
            <a:solidFill>
              <a:schemeClr val="tx1">
                <a:lumMod val="75000"/>
                <a:lumOff val="25000"/>
              </a:schemeClr>
            </a:solidFill>
          </a:endParaRPr>
        </a:p>
      </dgm:t>
    </dgm:pt>
    <dgm:pt modelId="{33E3BF99-7193-44B6-8E24-00CEDD2D719E}" type="parTrans" cxnId="{437AB3EA-08F8-44BB-A37E-3B70275B103F}">
      <dgm:prSet/>
      <dgm:spPr/>
      <dgm:t>
        <a:bodyPr/>
        <a:lstStyle/>
        <a:p>
          <a:endParaRPr lang="en-US">
            <a:solidFill>
              <a:schemeClr val="tx1">
                <a:lumMod val="75000"/>
                <a:lumOff val="25000"/>
              </a:schemeClr>
            </a:solidFill>
          </a:endParaRPr>
        </a:p>
      </dgm:t>
    </dgm:pt>
    <dgm:pt modelId="{B9B060EA-7AE5-4220-9FF5-6CF8FB21EEDA}">
      <dgm:prSet phldrT="[Text]" custT="1"/>
      <dgm:spPr>
        <a:xfrm rot="16200000">
          <a:off x="-663966" y="2521565"/>
          <a:ext cx="6766560" cy="1723429"/>
        </a:xfrm>
        <a:solidFill>
          <a:srgbClr val="E7BC29">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endParaRPr lang="en-US" sz="700">
            <a:solidFill>
              <a:sysClr val="windowText" lastClr="000000">
                <a:lumMod val="75000"/>
                <a:lumOff val="25000"/>
              </a:sysClr>
            </a:solidFill>
            <a:latin typeface="Calibri" panose="020F0502020204030204"/>
            <a:ea typeface="+mn-ea"/>
            <a:cs typeface="+mn-cs"/>
          </a:endParaRPr>
        </a:p>
      </dgm:t>
    </dgm:pt>
    <dgm:pt modelId="{2E574BCB-7EAE-4FF7-A18A-BEB3B6C6811E}" type="sibTrans" cxnId="{636E20EE-3337-4E49-8A0D-29EEA0E55BD1}">
      <dgm:prSet/>
      <dgm:spPr/>
      <dgm:t>
        <a:bodyPr/>
        <a:lstStyle/>
        <a:p>
          <a:endParaRPr lang="en-US">
            <a:solidFill>
              <a:schemeClr val="tx1">
                <a:lumMod val="75000"/>
                <a:lumOff val="25000"/>
              </a:schemeClr>
            </a:solidFill>
          </a:endParaRPr>
        </a:p>
      </dgm:t>
    </dgm:pt>
    <dgm:pt modelId="{3E7B1608-39A8-4B46-827F-4AFA2847A8A9}" type="parTrans" cxnId="{636E20EE-3337-4E49-8A0D-29EEA0E55BD1}">
      <dgm:prSet/>
      <dgm:spPr/>
      <dgm:t>
        <a:bodyPr/>
        <a:lstStyle/>
        <a:p>
          <a:endParaRPr lang="en-US">
            <a:solidFill>
              <a:schemeClr val="tx1">
                <a:lumMod val="75000"/>
                <a:lumOff val="25000"/>
              </a:schemeClr>
            </a:solidFill>
          </a:endParaRPr>
        </a:p>
      </dgm:t>
    </dgm:pt>
    <dgm:pt modelId="{417EA7F2-427E-4C18-B6DA-8A00EB952F80}">
      <dgm:prSet phldrT="[Text]" custT="1"/>
      <dgm:spPr>
        <a:xfrm rot="16200000">
          <a:off x="-663966" y="2521565"/>
          <a:ext cx="6766560" cy="1723429"/>
        </a:xfrm>
        <a:solidFill>
          <a:srgbClr val="E7BC29">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r>
            <a:rPr lang="en-US" sz="800">
              <a:solidFill>
                <a:sysClr val="windowText" lastClr="000000">
                  <a:lumMod val="75000"/>
                  <a:lumOff val="25000"/>
                </a:sysClr>
              </a:solidFill>
              <a:latin typeface="Calibri" panose="020F0502020204030204"/>
              <a:ea typeface="+mn-ea"/>
              <a:cs typeface="+mn-cs"/>
            </a:rPr>
            <a:t>Project Sponsors should undertake whatever actions permissible and feasible to assist the survivor to remain in their unit or transfer to a new unit, and for the Project Sponsor to bear the costs of any transfer, where permissible.</a:t>
          </a:r>
        </a:p>
      </dgm:t>
    </dgm:pt>
    <dgm:pt modelId="{F2386228-5F72-4008-9AC5-1E5886C2E866}" type="sibTrans" cxnId="{B86235AD-F6F7-4872-B8AE-7321D54E2189}">
      <dgm:prSet/>
      <dgm:spPr/>
      <dgm:t>
        <a:bodyPr/>
        <a:lstStyle/>
        <a:p>
          <a:endParaRPr lang="en-US">
            <a:solidFill>
              <a:schemeClr val="tx1">
                <a:lumMod val="75000"/>
                <a:lumOff val="25000"/>
              </a:schemeClr>
            </a:solidFill>
          </a:endParaRPr>
        </a:p>
      </dgm:t>
    </dgm:pt>
    <dgm:pt modelId="{A515F678-F0A5-4D45-899E-9391F46F06BD}" type="parTrans" cxnId="{B86235AD-F6F7-4872-B8AE-7321D54E2189}">
      <dgm:prSet/>
      <dgm:spPr/>
      <dgm:t>
        <a:bodyPr/>
        <a:lstStyle/>
        <a:p>
          <a:endParaRPr lang="en-US">
            <a:solidFill>
              <a:schemeClr val="tx1">
                <a:lumMod val="75000"/>
                <a:lumOff val="25000"/>
              </a:schemeClr>
            </a:solidFill>
          </a:endParaRPr>
        </a:p>
      </dgm:t>
    </dgm:pt>
    <dgm:pt modelId="{E4A91622-F17F-4685-AE34-3B783BA471AD}">
      <dgm:prSet phldrT="[Text]"/>
      <dgm:spPr>
        <a:xfrm rot="16200000">
          <a:off x="-663966" y="2521565"/>
          <a:ext cx="6766560" cy="1723429"/>
        </a:xfrm>
        <a:solidFill>
          <a:srgbClr val="E7BC29">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r>
            <a:rPr lang="en-US" sz="800">
              <a:solidFill>
                <a:sysClr val="windowText" lastClr="000000">
                  <a:lumMod val="75000"/>
                  <a:lumOff val="25000"/>
                </a:sysClr>
              </a:solidFill>
              <a:latin typeface="Calibri" panose="020F0502020204030204"/>
              <a:ea typeface="+mn-ea"/>
              <a:cs typeface="+mn-cs"/>
            </a:rPr>
            <a:t>Project Sponsors also determine on a case-by-case basis whether to provide rental assistance to remaining beneficiaries if lease bifurcation or an emergency transfer results in division of the household. </a:t>
          </a:r>
        </a:p>
      </dgm:t>
    </dgm:pt>
    <dgm:pt modelId="{A1D4AC9D-6E75-43FB-A851-300B785E1013}" type="sibTrans" cxnId="{9A97F3E6-662C-4118-8118-7340DB8A8D01}">
      <dgm:prSet/>
      <dgm:spPr/>
      <dgm:t>
        <a:bodyPr/>
        <a:lstStyle/>
        <a:p>
          <a:endParaRPr lang="en-US">
            <a:solidFill>
              <a:schemeClr val="tx1">
                <a:lumMod val="75000"/>
                <a:lumOff val="25000"/>
              </a:schemeClr>
            </a:solidFill>
          </a:endParaRPr>
        </a:p>
      </dgm:t>
    </dgm:pt>
    <dgm:pt modelId="{7EEC2101-5E63-4C4F-B48D-58C10FD69B92}" type="parTrans" cxnId="{9A97F3E6-662C-4118-8118-7340DB8A8D01}">
      <dgm:prSet/>
      <dgm:spPr/>
      <dgm:t>
        <a:bodyPr/>
        <a:lstStyle/>
        <a:p>
          <a:endParaRPr lang="en-US">
            <a:solidFill>
              <a:schemeClr val="tx1">
                <a:lumMod val="75000"/>
                <a:lumOff val="25000"/>
              </a:schemeClr>
            </a:solidFill>
          </a:endParaRPr>
        </a:p>
      </dgm:t>
    </dgm:pt>
    <dgm:pt modelId="{AF52293F-6D5D-4F8E-8FB0-AD31A5327EA8}">
      <dgm:prSet phldrT="[Text]" custT="1"/>
      <dgm:spPr>
        <a:xfrm rot="16200000">
          <a:off x="-663966" y="2521565"/>
          <a:ext cx="6766560" cy="1723429"/>
        </a:xfrm>
        <a:solidFill>
          <a:srgbClr val="E7BC29">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r>
            <a:rPr lang="en-US" sz="800">
              <a:solidFill>
                <a:sysClr val="windowText" lastClr="000000">
                  <a:lumMod val="75000"/>
                  <a:lumOff val="25000"/>
                </a:sysClr>
              </a:solidFill>
              <a:latin typeface="Calibri" panose="020F0502020204030204"/>
              <a:ea typeface="+mn-ea"/>
              <a:cs typeface="+mn-cs"/>
            </a:rPr>
            <a:t>If the survivor requests protections, they must submit the request to the Project Sponsor. The Project Sponsor will work with the owner to facilitate protections on the survivor's behalf. Project Sponsors must follow VAWA documentation and confidentiality requirements.</a:t>
          </a:r>
        </a:p>
      </dgm:t>
    </dgm:pt>
    <dgm:pt modelId="{68785C3F-9CBA-48BF-9E65-4502E613C4EA}" type="sibTrans" cxnId="{8CB0AAE3-8D50-4FC0-93FD-B825B1852354}">
      <dgm:prSet/>
      <dgm:spPr/>
      <dgm:t>
        <a:bodyPr/>
        <a:lstStyle/>
        <a:p>
          <a:endParaRPr lang="en-US">
            <a:solidFill>
              <a:schemeClr val="tx1">
                <a:lumMod val="75000"/>
                <a:lumOff val="25000"/>
              </a:schemeClr>
            </a:solidFill>
          </a:endParaRPr>
        </a:p>
      </dgm:t>
    </dgm:pt>
    <dgm:pt modelId="{F8CEE05E-E944-4E41-B24F-C0EDF9FC9BF5}" type="parTrans" cxnId="{8CB0AAE3-8D50-4FC0-93FD-B825B1852354}">
      <dgm:prSet/>
      <dgm:spPr/>
      <dgm:t>
        <a:bodyPr/>
        <a:lstStyle/>
        <a:p>
          <a:endParaRPr lang="en-US">
            <a:solidFill>
              <a:schemeClr val="tx1">
                <a:lumMod val="75000"/>
                <a:lumOff val="25000"/>
              </a:schemeClr>
            </a:solidFill>
          </a:endParaRPr>
        </a:p>
      </dgm:t>
    </dgm:pt>
    <dgm:pt modelId="{50289988-22CD-494E-BC2D-DDB48C88B801}">
      <dgm:prSet phldrT="[Text]" custT="1"/>
      <dgm:spPr>
        <a:xfrm rot="16200000">
          <a:off x="-663966" y="2521565"/>
          <a:ext cx="6766560" cy="1723429"/>
        </a:xfrm>
        <a:solidFill>
          <a:srgbClr val="E7BC29">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r>
            <a:rPr lang="en-US" sz="800">
              <a:solidFill>
                <a:sysClr val="windowText" lastClr="000000">
                  <a:lumMod val="75000"/>
                  <a:lumOff val="25000"/>
                </a:sysClr>
              </a:solidFill>
              <a:latin typeface="Calibri" panose="020F0502020204030204"/>
              <a:ea typeface="+mn-ea"/>
              <a:cs typeface="+mn-cs"/>
            </a:rPr>
            <a:t>In the event of an incident of domestic violence, dating violence, sexual assault, or stalking, Project Sponsors may request, in writing, that the survivor submit documentation as specified under Permissible Documentation. </a:t>
          </a:r>
        </a:p>
      </dgm:t>
    </dgm:pt>
    <dgm:pt modelId="{B1C725FA-DAED-4470-80F2-82FD776A0C5C}" type="sibTrans" cxnId="{42825467-F6F4-4746-A40D-C8F4FA5716CB}">
      <dgm:prSet/>
      <dgm:spPr/>
      <dgm:t>
        <a:bodyPr/>
        <a:lstStyle/>
        <a:p>
          <a:endParaRPr lang="en-US">
            <a:solidFill>
              <a:schemeClr val="tx1">
                <a:lumMod val="75000"/>
                <a:lumOff val="25000"/>
              </a:schemeClr>
            </a:solidFill>
          </a:endParaRPr>
        </a:p>
      </dgm:t>
    </dgm:pt>
    <dgm:pt modelId="{6202B232-141C-4AFB-829F-19C0017294AA}" type="parTrans" cxnId="{42825467-F6F4-4746-A40D-C8F4FA5716CB}">
      <dgm:prSet/>
      <dgm:spPr/>
      <dgm:t>
        <a:bodyPr/>
        <a:lstStyle/>
        <a:p>
          <a:endParaRPr lang="en-US">
            <a:solidFill>
              <a:schemeClr val="tx1">
                <a:lumMod val="75000"/>
                <a:lumOff val="25000"/>
              </a:schemeClr>
            </a:solidFill>
          </a:endParaRPr>
        </a:p>
      </dgm:t>
    </dgm:pt>
    <dgm:pt modelId="{2305F9D7-CE1D-45AE-A2DF-458144F77A43}">
      <dgm:prSet phldrT="[Text]" custT="1"/>
      <dgm:spPr>
        <a:xfrm rot="16200000">
          <a:off x="-663966" y="2521565"/>
          <a:ext cx="6766560" cy="1723429"/>
        </a:xfrm>
        <a:solidFill>
          <a:srgbClr val="E7BC29">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r>
            <a:rPr lang="en-US" sz="800">
              <a:solidFill>
                <a:sysClr val="windowText" lastClr="000000">
                  <a:lumMod val="75000"/>
                  <a:lumOff val="25000"/>
                </a:sysClr>
              </a:solidFill>
              <a:latin typeface="Calibri" panose="020F0502020204030204"/>
              <a:ea typeface="+mn-ea"/>
              <a:cs typeface="+mn-cs"/>
            </a:rPr>
            <a:t>Despite the name of this law, program applicants and beneficiaries may avail themselves of VAWA protections and remedies regardless of their sex, gender identity, or sexual orientation. Survivors cannot be discriminated against on the basis of any protected characteristic, including race, color, national origin, religion, sex, familial status, disability, or age.</a:t>
          </a:r>
        </a:p>
      </dgm:t>
    </dgm:pt>
    <dgm:pt modelId="{D217CCA2-22EE-4812-B5D7-D6332E99C55A}" type="sibTrans" cxnId="{DC917232-6368-4D8C-8306-7167877A3C00}">
      <dgm:prSet/>
      <dgm:spPr/>
      <dgm:t>
        <a:bodyPr/>
        <a:lstStyle/>
        <a:p>
          <a:endParaRPr lang="en-US">
            <a:solidFill>
              <a:schemeClr val="tx1">
                <a:lumMod val="75000"/>
                <a:lumOff val="25000"/>
              </a:schemeClr>
            </a:solidFill>
          </a:endParaRPr>
        </a:p>
      </dgm:t>
    </dgm:pt>
    <dgm:pt modelId="{3B6934F2-736A-4957-9A28-F6BE865487EE}" type="parTrans" cxnId="{DC917232-6368-4D8C-8306-7167877A3C00}">
      <dgm:prSet/>
      <dgm:spPr/>
      <dgm:t>
        <a:bodyPr/>
        <a:lstStyle/>
        <a:p>
          <a:endParaRPr lang="en-US">
            <a:solidFill>
              <a:schemeClr val="tx1">
                <a:lumMod val="75000"/>
                <a:lumOff val="25000"/>
              </a:schemeClr>
            </a:solidFill>
          </a:endParaRPr>
        </a:p>
      </dgm:t>
    </dgm:pt>
    <dgm:pt modelId="{87E9891C-65DE-4346-848E-653A871BF4C1}">
      <dgm:prSet phldrT="[Text]" custT="1"/>
      <dgm:spPr>
        <a:xfrm rot="16200000">
          <a:off x="4894093" y="2521565"/>
          <a:ext cx="6766560" cy="1723429"/>
        </a:xfrm>
        <a:solidFill>
          <a:srgbClr val="809EC2">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endParaRPr lang="en-US" sz="700">
            <a:solidFill>
              <a:sysClr val="windowText" lastClr="000000">
                <a:lumMod val="75000"/>
                <a:lumOff val="25000"/>
              </a:sysClr>
            </a:solidFill>
            <a:latin typeface="Calibri" panose="020F0502020204030204"/>
            <a:ea typeface="+mn-ea"/>
            <a:cs typeface="+mn-cs"/>
          </a:endParaRPr>
        </a:p>
      </dgm:t>
    </dgm:pt>
    <dgm:pt modelId="{434036A0-44DE-4070-887B-7F9D7D0BE705}" type="parTrans" cxnId="{7EC11B7C-90B7-4FF1-9927-23DAB0CAE402}">
      <dgm:prSet/>
      <dgm:spPr/>
      <dgm:t>
        <a:bodyPr/>
        <a:lstStyle/>
        <a:p>
          <a:endParaRPr lang="en-US">
            <a:solidFill>
              <a:schemeClr val="tx1">
                <a:lumMod val="75000"/>
                <a:lumOff val="25000"/>
              </a:schemeClr>
            </a:solidFill>
          </a:endParaRPr>
        </a:p>
      </dgm:t>
    </dgm:pt>
    <dgm:pt modelId="{764D69D4-4149-4014-85A8-3C1012F398C1}" type="sibTrans" cxnId="{7EC11B7C-90B7-4FF1-9927-23DAB0CAE402}">
      <dgm:prSet/>
      <dgm:spPr/>
      <dgm:t>
        <a:bodyPr/>
        <a:lstStyle/>
        <a:p>
          <a:endParaRPr lang="en-US">
            <a:solidFill>
              <a:schemeClr val="tx1">
                <a:lumMod val="75000"/>
                <a:lumOff val="25000"/>
              </a:schemeClr>
            </a:solidFill>
          </a:endParaRPr>
        </a:p>
      </dgm:t>
    </dgm:pt>
    <dgm:pt modelId="{A6C8B450-F6E0-43FB-B556-1C0B05F7D267}" type="pres">
      <dgm:prSet presAssocID="{4FD9CF94-71AB-4098-B8F7-783C3FDC20C9}" presName="Name0" presStyleCnt="0">
        <dgm:presLayoutVars>
          <dgm:dir/>
          <dgm:resizeHandles val="exact"/>
        </dgm:presLayoutVars>
      </dgm:prSet>
      <dgm:spPr/>
    </dgm:pt>
    <dgm:pt modelId="{CEE5589D-DA03-46F6-BCE4-02000666191B}" type="pres">
      <dgm:prSet presAssocID="{4B572688-D677-4206-A773-A9E7528FB1D6}" presName="node" presStyleLbl="node1" presStyleIdx="0" presStyleCnt="5">
        <dgm:presLayoutVars>
          <dgm:bulletEnabled val="1"/>
        </dgm:presLayoutVars>
      </dgm:prSet>
      <dgm:spPr>
        <a:prstGeom prst="rect">
          <a:avLst/>
        </a:prstGeom>
      </dgm:spPr>
    </dgm:pt>
    <dgm:pt modelId="{F1D4AC7B-62A4-41D1-8453-0BA45453F02C}" type="pres">
      <dgm:prSet presAssocID="{A0CB5395-7862-4970-ADCD-96FCE3D5D3B2}" presName="sibTrans" presStyleCnt="0"/>
      <dgm:spPr/>
    </dgm:pt>
    <dgm:pt modelId="{55C67DBF-395E-43BB-8944-B37A86AFCD7E}" type="pres">
      <dgm:prSet presAssocID="{F6C9BAE1-4DB4-4726-9B16-0F0F928AE1A9}" presName="node" presStyleLbl="node1" presStyleIdx="1" presStyleCnt="5">
        <dgm:presLayoutVars>
          <dgm:bulletEnabled val="1"/>
        </dgm:presLayoutVars>
      </dgm:prSet>
      <dgm:spPr>
        <a:prstGeom prst="rect">
          <a:avLst/>
        </a:prstGeom>
      </dgm:spPr>
    </dgm:pt>
    <dgm:pt modelId="{421FB4C2-8021-4D9F-81BD-15BAA70418BC}" type="pres">
      <dgm:prSet presAssocID="{81CEB374-8A1C-4CC9-BE78-4E2F8E4C288A}" presName="sibTrans" presStyleCnt="0"/>
      <dgm:spPr/>
    </dgm:pt>
    <dgm:pt modelId="{76E4D4D8-AD0A-438D-A9D6-0A048FA28521}" type="pres">
      <dgm:prSet presAssocID="{C1C25AE2-C551-45CE-B8B7-A2C040FA8083}" presName="node" presStyleLbl="node1" presStyleIdx="2" presStyleCnt="5" custScaleX="99019">
        <dgm:presLayoutVars>
          <dgm:bulletEnabled val="1"/>
        </dgm:presLayoutVars>
      </dgm:prSet>
      <dgm:spPr>
        <a:prstGeom prst="rect">
          <a:avLst/>
        </a:prstGeom>
      </dgm:spPr>
    </dgm:pt>
    <dgm:pt modelId="{4B0DBFF8-96F5-4D10-A16F-CBBEA377E1BF}" type="pres">
      <dgm:prSet presAssocID="{92D411DF-1677-451F-9B29-33D4E203BA20}" presName="sibTrans" presStyleCnt="0"/>
      <dgm:spPr/>
    </dgm:pt>
    <dgm:pt modelId="{BA2E6380-8818-4947-A630-F3CD38E6C611}" type="pres">
      <dgm:prSet presAssocID="{3052E29B-E923-40BE-9F38-BD7A7D7698DA}" presName="node" presStyleLbl="node1" presStyleIdx="3" presStyleCnt="5">
        <dgm:presLayoutVars>
          <dgm:bulletEnabled val="1"/>
        </dgm:presLayoutVars>
      </dgm:prSet>
      <dgm:spPr>
        <a:prstGeom prst="rect">
          <a:avLst/>
        </a:prstGeom>
      </dgm:spPr>
    </dgm:pt>
    <dgm:pt modelId="{D7CECF6C-5C52-4BD9-A159-CBB494DCD5CF}" type="pres">
      <dgm:prSet presAssocID="{640340F3-8890-4DBA-8231-E46F3460181C}" presName="sibTrans" presStyleCnt="0"/>
      <dgm:spPr/>
    </dgm:pt>
    <dgm:pt modelId="{D8A4076F-9452-4CAA-A3D7-AF5D4514B86A}" type="pres">
      <dgm:prSet presAssocID="{C3660CEF-7AE0-4584-B802-A7916BE6F0E2}" presName="node" presStyleLbl="node1" presStyleIdx="4" presStyleCnt="5">
        <dgm:presLayoutVars>
          <dgm:bulletEnabled val="1"/>
        </dgm:presLayoutVars>
      </dgm:prSet>
      <dgm:spPr>
        <a:prstGeom prst="rect">
          <a:avLst/>
        </a:prstGeom>
      </dgm:spPr>
    </dgm:pt>
  </dgm:ptLst>
  <dgm:cxnLst>
    <dgm:cxn modelId="{E5079200-43DB-40AC-98C0-0458C971F9E2}" type="presOf" srcId="{9EF3FFFD-979F-46D0-9C6C-F49298B8998E}" destId="{76E4D4D8-AD0A-438D-A9D6-0A048FA28521}" srcOrd="0" destOrd="5" presId="urn:microsoft.com/office/officeart/2005/8/layout/hList6"/>
    <dgm:cxn modelId="{7D7AB004-17DB-4329-AFFE-E8E318385958}" type="presOf" srcId="{417EA7F2-427E-4C18-B6DA-8A00EB952F80}" destId="{55C67DBF-395E-43BB-8944-B37A86AFCD7E}" srcOrd="0" destOrd="11" presId="urn:microsoft.com/office/officeart/2005/8/layout/hList6"/>
    <dgm:cxn modelId="{FE7EB308-87A1-48BA-8218-AB8F3F51CA32}" srcId="{3052E29B-E923-40BE-9F38-BD7A7D7698DA}" destId="{FEFDE541-0A4E-4898-BDFF-8ED52900FE00}" srcOrd="2" destOrd="0" parTransId="{3C7A9D94-E1B1-4D6F-800C-88BB58CCB170}" sibTransId="{7C5FABF8-EF8C-494C-9795-0B497270610C}"/>
    <dgm:cxn modelId="{608B6909-7D3B-4A0A-9DA3-DD13D834353A}" srcId="{C1C25AE2-C551-45CE-B8B7-A2C040FA8083}" destId="{1CB26EF2-AE5B-4324-BB4A-8BFCE574212B}" srcOrd="5" destOrd="0" parTransId="{29468B1C-E503-4F98-BB67-935046239406}" sibTransId="{F413C402-D6D8-498F-84D8-F6FA7F2AB0FD}"/>
    <dgm:cxn modelId="{F1F8F609-F043-4C11-A82D-1CC68FC75A02}" type="presOf" srcId="{6DC126E4-9045-4D61-A907-DDC6C7BE0162}" destId="{CEE5589D-DA03-46F6-BCE4-02000666191B}" srcOrd="0" destOrd="6" presId="urn:microsoft.com/office/officeart/2005/8/layout/hList6"/>
    <dgm:cxn modelId="{1267AA0C-F6B2-45F1-8949-CC2C1A5428D7}" type="presOf" srcId="{2305F9D7-CE1D-45AE-A2DF-458144F77A43}" destId="{55C67DBF-395E-43BB-8944-B37A86AFCD7E}" srcOrd="0" destOrd="3" presId="urn:microsoft.com/office/officeart/2005/8/layout/hList6"/>
    <dgm:cxn modelId="{1C53711C-6411-443D-987E-A76DADB757E1}" type="presOf" srcId="{5CD04A00-9D25-4344-93A2-4C67717B4E12}" destId="{55C67DBF-395E-43BB-8944-B37A86AFCD7E}" srcOrd="0" destOrd="6" presId="urn:microsoft.com/office/officeart/2005/8/layout/hList6"/>
    <dgm:cxn modelId="{B0C1B71C-F96E-46AF-9544-AFAA31656840}" srcId="{4B572688-D677-4206-A773-A9E7528FB1D6}" destId="{1A94493C-F7E5-4516-8836-552D3E0C3A67}" srcOrd="7" destOrd="0" parTransId="{46725F7B-637D-4090-B685-B47B5EE263F2}" sibTransId="{BC4FD664-1157-428A-841A-00C088EE28E4}"/>
    <dgm:cxn modelId="{BA591F27-6054-4FE6-AF54-35DDB634D5F6}" type="presOf" srcId="{87E9891C-65DE-4346-848E-653A871BF4C1}" destId="{D8A4076F-9452-4CAA-A3D7-AF5D4514B86A}" srcOrd="0" destOrd="4" presId="urn:microsoft.com/office/officeart/2005/8/layout/hList6"/>
    <dgm:cxn modelId="{03973827-B79E-4981-8109-CB3FDD416019}" srcId="{C1C25AE2-C551-45CE-B8B7-A2C040FA8083}" destId="{97A17F18-5836-4034-B22B-C92FC8F13BED}" srcOrd="3" destOrd="0" parTransId="{F7A5AB00-332F-4519-8FE8-0D61EE6C3868}" sibTransId="{94A58D5E-C514-43E2-8532-075513841F75}"/>
    <dgm:cxn modelId="{8CED0529-3E1A-47C1-BF19-68DFBD444BC4}" type="presOf" srcId="{97A17F18-5836-4034-B22B-C92FC8F13BED}" destId="{76E4D4D8-AD0A-438D-A9D6-0A048FA28521}" srcOrd="0" destOrd="4" presId="urn:microsoft.com/office/officeart/2005/8/layout/hList6"/>
    <dgm:cxn modelId="{E89FC02C-635A-4C55-B87D-0C0CFCF83502}" type="presOf" srcId="{3CE8D531-4332-4434-B80E-21613C2B995F}" destId="{76E4D4D8-AD0A-438D-A9D6-0A048FA28521}" srcOrd="0" destOrd="1" presId="urn:microsoft.com/office/officeart/2005/8/layout/hList6"/>
    <dgm:cxn modelId="{E1A3852D-8893-48A0-B10C-CF06C9A2B4A4}" type="presOf" srcId="{3052E29B-E923-40BE-9F38-BD7A7D7698DA}" destId="{BA2E6380-8818-4947-A630-F3CD38E6C611}" srcOrd="0" destOrd="0" presId="urn:microsoft.com/office/officeart/2005/8/layout/hList6"/>
    <dgm:cxn modelId="{D4CBE32D-804B-4A13-A7F3-F1FD0410F3C3}" srcId="{4B572688-D677-4206-A773-A9E7528FB1D6}" destId="{DB56001E-881B-4383-9C03-7941D386AD7A}" srcOrd="6" destOrd="0" parTransId="{F2A82271-1241-4E82-A880-1BA536AA77C2}" sibTransId="{8E334F2D-12C1-444C-8153-14B11110D675}"/>
    <dgm:cxn modelId="{5D35BE31-37FA-4CFE-A5FD-84CEC71A6A34}" srcId="{4FD9CF94-71AB-4098-B8F7-783C3FDC20C9}" destId="{C1C25AE2-C551-45CE-B8B7-A2C040FA8083}" srcOrd="2" destOrd="0" parTransId="{DF17789B-7AA2-4687-AA5B-D40C04007A6F}" sibTransId="{92D411DF-1677-451F-9B29-33D4E203BA20}"/>
    <dgm:cxn modelId="{DC917232-6368-4D8C-8306-7167877A3C00}" srcId="{F6C9BAE1-4DB4-4726-9B16-0F0F928AE1A9}" destId="{2305F9D7-CE1D-45AE-A2DF-458144F77A43}" srcOrd="2" destOrd="0" parTransId="{3B6934F2-736A-4957-9A28-F6BE865487EE}" sibTransId="{D217CCA2-22EE-4812-B5D7-D6332E99C55A}"/>
    <dgm:cxn modelId="{262BB132-C2F1-4B76-BEAF-05D5C4329598}" srcId="{C1C25AE2-C551-45CE-B8B7-A2C040FA8083}" destId="{A84E21E0-55AB-444B-B55B-65095629202D}" srcOrd="1" destOrd="0" parTransId="{285A50BB-5144-48C4-9239-98A9DFF36715}" sibTransId="{63F3D320-B4F2-470F-9EBE-92D56E32DCA9}"/>
    <dgm:cxn modelId="{DBB37B33-7FBF-4CB7-9739-74EF8C51B4B6}" type="presOf" srcId="{FEFDE541-0A4E-4898-BDFF-8ED52900FE00}" destId="{BA2E6380-8818-4947-A630-F3CD38E6C611}" srcOrd="0" destOrd="3" presId="urn:microsoft.com/office/officeart/2005/8/layout/hList6"/>
    <dgm:cxn modelId="{6437BA34-1DA3-4AD8-A3FF-153F43B8B671}" srcId="{C1C25AE2-C551-45CE-B8B7-A2C040FA8083}" destId="{3CE8D531-4332-4434-B80E-21613C2B995F}" srcOrd="0" destOrd="0" parTransId="{F8E5BDCC-AA9F-49DE-94D5-DA3F1018368E}" sibTransId="{D55FBCE5-1B0E-4300-92A3-460202501782}"/>
    <dgm:cxn modelId="{47DF4136-A4E8-41F9-9A4F-02A779E2F3CC}" srcId="{4B572688-D677-4206-A773-A9E7528FB1D6}" destId="{6DC126E4-9045-4D61-A907-DDC6C7BE0162}" srcOrd="5" destOrd="0" parTransId="{85C6C055-7DFF-4EF4-AE34-44ECA52E0DCB}" sibTransId="{068E00FE-CBED-4E27-96AD-A57727183FD1}"/>
    <dgm:cxn modelId="{1A62C337-16E0-47C5-9CD3-09C18D565492}" srcId="{4B572688-D677-4206-A773-A9E7528FB1D6}" destId="{CA3EC0B5-B2C1-4CEA-98E3-81562C4CA69C}" srcOrd="4" destOrd="0" parTransId="{4811E56A-70CE-4F8E-99C6-0AE8FBCC2211}" sibTransId="{26A3CFEA-80C3-47E4-89BC-3A1B3E9A6EC1}"/>
    <dgm:cxn modelId="{5CFB183B-4B7E-49A1-8309-5A356453DFBB}" srcId="{4B572688-D677-4206-A773-A9E7528FB1D6}" destId="{2E1F4E78-F2E0-469B-9178-47E0CB50DEBE}" srcOrd="1" destOrd="0" parTransId="{C3C1ABCC-0E86-42E0-81EC-ADD81592B9C3}" sibTransId="{6AB4C491-358F-4D4D-94A0-DADFFBAD7595}"/>
    <dgm:cxn modelId="{F82A0B3C-6683-480D-94BE-359208E216A9}" type="presOf" srcId="{78ACCF34-7306-429E-86D1-2A765052E597}" destId="{CEE5589D-DA03-46F6-BCE4-02000666191B}" srcOrd="0" destOrd="4" presId="urn:microsoft.com/office/officeart/2005/8/layout/hList6"/>
    <dgm:cxn modelId="{6374483F-43E3-453F-BBE5-3FF1E921A9F0}" type="presOf" srcId="{E4A91622-F17F-4685-AE34-3B783BA471AD}" destId="{55C67DBF-395E-43BB-8944-B37A86AFCD7E}" srcOrd="0" destOrd="9" presId="urn:microsoft.com/office/officeart/2005/8/layout/hList6"/>
    <dgm:cxn modelId="{A10EAB40-BE14-4E81-BB83-ABDEFE25D7DE}" type="presOf" srcId="{AF22E9F5-7591-4AD2-A478-E3A51E44B564}" destId="{55C67DBF-395E-43BB-8944-B37A86AFCD7E}" srcOrd="0" destOrd="10" presId="urn:microsoft.com/office/officeart/2005/8/layout/hList6"/>
    <dgm:cxn modelId="{BE25E45D-D5A9-44E8-BC91-DF869B4DACCD}" srcId="{4FD9CF94-71AB-4098-B8F7-783C3FDC20C9}" destId="{F6C9BAE1-4DB4-4726-9B16-0F0F928AE1A9}" srcOrd="1" destOrd="0" parTransId="{D7555038-0158-41CD-BAAB-2D56AAFF3DF3}" sibTransId="{81CEB374-8A1C-4CC9-BE78-4E2F8E4C288A}"/>
    <dgm:cxn modelId="{C9A87B42-F79D-4CB7-A30F-8D0D4775B23C}" type="presOf" srcId="{C1C25AE2-C551-45CE-B8B7-A2C040FA8083}" destId="{76E4D4D8-AD0A-438D-A9D6-0A048FA28521}" srcOrd="0" destOrd="0" presId="urn:microsoft.com/office/officeart/2005/8/layout/hList6"/>
    <dgm:cxn modelId="{87308162-0CFE-4FBF-A4D8-425A4184D1C1}" type="presOf" srcId="{9FC79D67-BED0-41A3-9664-89C64E1E2C45}" destId="{D8A4076F-9452-4CAA-A3D7-AF5D4514B86A}" srcOrd="0" destOrd="7" presId="urn:microsoft.com/office/officeart/2005/8/layout/hList6"/>
    <dgm:cxn modelId="{A27BF164-964D-4518-A74F-966D1EF666B5}" type="presOf" srcId="{80D002D7-B916-457B-8465-E7FBD9A7974F}" destId="{55C67DBF-395E-43BB-8944-B37A86AFCD7E}" srcOrd="0" destOrd="4" presId="urn:microsoft.com/office/officeart/2005/8/layout/hList6"/>
    <dgm:cxn modelId="{4F464447-C676-4D06-8677-35C51A0A22C8}" srcId="{C3660CEF-7AE0-4584-B802-A7916BE6F0E2}" destId="{9FC79D67-BED0-41A3-9664-89C64E1E2C45}" srcOrd="6" destOrd="0" parTransId="{5697C161-D049-4425-9DF0-88D55DF47373}" sibTransId="{819D367A-1174-41F1-A39B-BA56B9646628}"/>
    <dgm:cxn modelId="{42825467-F6F4-4746-A40D-C8F4FA5716CB}" srcId="{F6C9BAE1-4DB4-4726-9B16-0F0F928AE1A9}" destId="{50289988-22CD-494E-BC2D-DDB48C88B801}" srcOrd="4" destOrd="0" parTransId="{6202B232-141C-4AFB-829F-19C0017294AA}" sibTransId="{B1C725FA-DAED-4470-80F2-82FD776A0C5C}"/>
    <dgm:cxn modelId="{4166B247-C269-49D1-AE0D-26D7E6D56119}" type="presOf" srcId="{DB56001E-881B-4383-9C03-7941D386AD7A}" destId="{CEE5589D-DA03-46F6-BCE4-02000666191B}" srcOrd="0" destOrd="7" presId="urn:microsoft.com/office/officeart/2005/8/layout/hList6"/>
    <dgm:cxn modelId="{EC4D8D68-8251-4D37-A781-F5BA41B14C2B}" type="presOf" srcId="{48B32486-FE17-4A60-AC15-4C6FDFE7F484}" destId="{BA2E6380-8818-4947-A630-F3CD38E6C611}" srcOrd="0" destOrd="4" presId="urn:microsoft.com/office/officeart/2005/8/layout/hList6"/>
    <dgm:cxn modelId="{4FE86F4B-2830-4DAE-994D-F2503B6D49DC}" srcId="{F6C9BAE1-4DB4-4726-9B16-0F0F928AE1A9}" destId="{5CD04A00-9D25-4344-93A2-4C67717B4E12}" srcOrd="5" destOrd="0" parTransId="{B020A4AE-2CAC-4D67-9E64-ABC02B7AA822}" sibTransId="{A0306485-6018-4115-A0F1-EEF00460B416}"/>
    <dgm:cxn modelId="{7122584E-A46F-4519-A9D0-BB119646249C}" type="presOf" srcId="{6F65BD3C-ABAC-4440-B794-CC72CF1E7C65}" destId="{76E4D4D8-AD0A-438D-A9D6-0A048FA28521}" srcOrd="0" destOrd="7" presId="urn:microsoft.com/office/officeart/2005/8/layout/hList6"/>
    <dgm:cxn modelId="{AB4DE26E-7169-42B3-A667-CF355542E46E}" srcId="{4B572688-D677-4206-A773-A9E7528FB1D6}" destId="{78ACCF34-7306-429E-86D1-2A765052E597}" srcOrd="3" destOrd="0" parTransId="{5174E8E6-1195-488B-9002-840DF3B91D71}" sibTransId="{B4166F9A-F050-42FC-9B6B-310CD592634B}"/>
    <dgm:cxn modelId="{C3E9E471-5637-4780-9BE2-C4933980B6A3}" type="presOf" srcId="{1CB26EF2-AE5B-4324-BB4A-8BFCE574212B}" destId="{76E4D4D8-AD0A-438D-A9D6-0A048FA28521}" srcOrd="0" destOrd="6" presId="urn:microsoft.com/office/officeart/2005/8/layout/hList6"/>
    <dgm:cxn modelId="{891EDC55-82FC-428E-B276-760F1123B848}" type="presOf" srcId="{0A4CB07B-A117-410E-A94E-D718FACA9C3A}" destId="{D8A4076F-9452-4CAA-A3D7-AF5D4514B86A}" srcOrd="0" destOrd="8" presId="urn:microsoft.com/office/officeart/2005/8/layout/hList6"/>
    <dgm:cxn modelId="{8B3DF275-007E-4DEF-9147-B8C343EEF937}" type="presOf" srcId="{F60E1FEB-69A6-4875-8CEB-46E35843B09E}" destId="{D8A4076F-9452-4CAA-A3D7-AF5D4514B86A}" srcOrd="0" destOrd="5" presId="urn:microsoft.com/office/officeart/2005/8/layout/hList6"/>
    <dgm:cxn modelId="{3E755C76-53E9-4265-9F26-09F162267887}" srcId="{C3660CEF-7AE0-4584-B802-A7916BE6F0E2}" destId="{D43C97B1-003D-4C37-8BB6-1DBB0097F940}" srcOrd="0" destOrd="0" parTransId="{6F5D668D-20BF-4349-A6A1-D9B513E36076}" sibTransId="{4FAB9293-E7BC-417B-8666-36D04433F373}"/>
    <dgm:cxn modelId="{49168A56-8CF8-4869-B9D9-3A0994F87A50}" type="presOf" srcId="{1736444A-4080-42D5-94A0-C7328760C6E1}" destId="{D8A4076F-9452-4CAA-A3D7-AF5D4514B86A}" srcOrd="0" destOrd="9" presId="urn:microsoft.com/office/officeart/2005/8/layout/hList6"/>
    <dgm:cxn modelId="{2D448C76-E332-41EA-AC29-9EA012BBFCC0}" srcId="{3052E29B-E923-40BE-9F38-BD7A7D7698DA}" destId="{925636EE-F161-4C4D-B432-FB024FF0CEA3}" srcOrd="1" destOrd="0" parTransId="{C922C014-4EE9-4E16-86B1-BA6299BB38AE}" sibTransId="{45A79B5D-D525-4A41-8BA0-100D94C15182}"/>
    <dgm:cxn modelId="{162D1B7A-585E-48E2-99FD-64B91AC8B312}" type="presOf" srcId="{50289988-22CD-494E-BC2D-DDB48C88B801}" destId="{55C67DBF-395E-43BB-8944-B37A86AFCD7E}" srcOrd="0" destOrd="5" presId="urn:microsoft.com/office/officeart/2005/8/layout/hList6"/>
    <dgm:cxn modelId="{7EC11B7C-90B7-4FF1-9927-23DAB0CAE402}" srcId="{C3660CEF-7AE0-4584-B802-A7916BE6F0E2}" destId="{87E9891C-65DE-4346-848E-653A871BF4C1}" srcOrd="3" destOrd="0" parTransId="{434036A0-44DE-4070-887B-7F9D7D0BE705}" sibTransId="{764D69D4-4149-4014-85A8-3C1012F398C1}"/>
    <dgm:cxn modelId="{3DB1397D-21D8-4B89-A0AE-B57E13C1B1CF}" type="presOf" srcId="{AF52293F-6D5D-4F8E-8FB0-AD31A5327EA8}" destId="{55C67DBF-395E-43BB-8944-B37A86AFCD7E}" srcOrd="0" destOrd="7" presId="urn:microsoft.com/office/officeart/2005/8/layout/hList6"/>
    <dgm:cxn modelId="{AE016483-27DF-4F47-9EFC-11BCFA8928D2}" type="presOf" srcId="{1B950109-7A39-4689-B12C-AD9DB47DEBD7}" destId="{D8A4076F-9452-4CAA-A3D7-AF5D4514B86A}" srcOrd="0" destOrd="3" presId="urn:microsoft.com/office/officeart/2005/8/layout/hList6"/>
    <dgm:cxn modelId="{49CBA484-972B-4E62-928E-4957862C3ACD}" type="presOf" srcId="{1A94493C-F7E5-4516-8836-552D3E0C3A67}" destId="{CEE5589D-DA03-46F6-BCE4-02000666191B}" srcOrd="0" destOrd="8" presId="urn:microsoft.com/office/officeart/2005/8/layout/hList6"/>
    <dgm:cxn modelId="{4BE2EB84-F943-407B-875D-19E81AFAAF25}" type="presOf" srcId="{36DDD0A5-79D6-45E2-9DA4-657B0AC60951}" destId="{55C67DBF-395E-43BB-8944-B37A86AFCD7E}" srcOrd="0" destOrd="8" presId="urn:microsoft.com/office/officeart/2005/8/layout/hList6"/>
    <dgm:cxn modelId="{3709EB86-B5FD-4C48-9A0F-D69847D2DE6B}" type="presOf" srcId="{A84E21E0-55AB-444B-B55B-65095629202D}" destId="{76E4D4D8-AD0A-438D-A9D6-0A048FA28521}" srcOrd="0" destOrd="2" presId="urn:microsoft.com/office/officeart/2005/8/layout/hList6"/>
    <dgm:cxn modelId="{6C8FAC8F-A9CE-404F-AC43-16F82B9E4571}" srcId="{C3660CEF-7AE0-4584-B802-A7916BE6F0E2}" destId="{0A4CB07B-A117-410E-A94E-D718FACA9C3A}" srcOrd="7" destOrd="0" parTransId="{206C1DF3-A147-4679-8704-200A6ED96F4E}" sibTransId="{58F8A6B7-373E-4699-8A90-D605A98A9B77}"/>
    <dgm:cxn modelId="{6ABDCA8F-4AAF-463C-B804-525D42A6C895}" srcId="{F6C9BAE1-4DB4-4726-9B16-0F0F928AE1A9}" destId="{AF22E9F5-7591-4AD2-A478-E3A51E44B564}" srcOrd="9" destOrd="0" parTransId="{B72E8318-5D25-40ED-B1A5-34C11ACA8880}" sibTransId="{B67F72E2-FF6C-4BA8-A437-BAA45271F7B3}"/>
    <dgm:cxn modelId="{0299DA92-0568-4250-B01B-7C944A4FD6DF}" srcId="{F6C9BAE1-4DB4-4726-9B16-0F0F928AE1A9}" destId="{36DDD0A5-79D6-45E2-9DA4-657B0AC60951}" srcOrd="7" destOrd="0" parTransId="{D119FDD2-617E-416B-A80C-ACBEBB90426C}" sibTransId="{99372D87-0636-446E-88A2-DCB2C9DB0A95}"/>
    <dgm:cxn modelId="{0C906A9C-68A3-479F-B030-41AC15B9B1D6}" srcId="{3052E29B-E923-40BE-9F38-BD7A7D7698DA}" destId="{3EBCD037-7095-497E-AA76-1A6789E3F1A6}" srcOrd="0" destOrd="0" parTransId="{2A66D031-563A-499D-BD4A-7BB8F098C501}" sibTransId="{D1664BD9-1F35-4035-AFAE-82D5E3F7E696}"/>
    <dgm:cxn modelId="{EED3D89E-1E62-41B3-924B-2813736C62B9}" type="presOf" srcId="{4B572688-D677-4206-A773-A9E7528FB1D6}" destId="{CEE5589D-DA03-46F6-BCE4-02000666191B}" srcOrd="0" destOrd="0" presId="urn:microsoft.com/office/officeart/2005/8/layout/hList6"/>
    <dgm:cxn modelId="{FF03009F-414C-47B5-87D4-59F7720A86EF}" type="presOf" srcId="{C3660CEF-7AE0-4584-B802-A7916BE6F0E2}" destId="{D8A4076F-9452-4CAA-A3D7-AF5D4514B86A}" srcOrd="0" destOrd="0" presId="urn:microsoft.com/office/officeart/2005/8/layout/hList6"/>
    <dgm:cxn modelId="{56990AA9-1F11-46FC-9004-3413E55DC785}" srcId="{3052E29B-E923-40BE-9F38-BD7A7D7698DA}" destId="{E03CBD1A-6DB0-4BE2-BDCE-FA39A76D85DC}" srcOrd="4" destOrd="0" parTransId="{4DE9AA84-BC14-4441-B4A6-ED4C5E407BD8}" sibTransId="{EFAE897A-6C06-4E70-AAFB-52DED198BABF}"/>
    <dgm:cxn modelId="{C331B5AA-A85B-4D2B-A555-2E02389D87E2}" srcId="{C1C25AE2-C551-45CE-B8B7-A2C040FA8083}" destId="{F046F5F1-4E16-4484-90C0-B7F975335BB6}" srcOrd="2" destOrd="0" parTransId="{86B6B6F9-51C9-4CEC-B7D6-816E7BB78217}" sibTransId="{9B0E44FC-9B05-483D-B9AB-10A2F109EC3D}"/>
    <dgm:cxn modelId="{F1CA86AB-D8F6-45FC-AAF9-B1EB865723D8}" type="presOf" srcId="{E03CBD1A-6DB0-4BE2-BDCE-FA39A76D85DC}" destId="{BA2E6380-8818-4947-A630-F3CD38E6C611}" srcOrd="0" destOrd="5" presId="urn:microsoft.com/office/officeart/2005/8/layout/hList6"/>
    <dgm:cxn modelId="{B86235AD-F6F7-4872-B8AE-7321D54E2189}" srcId="{F6C9BAE1-4DB4-4726-9B16-0F0F928AE1A9}" destId="{417EA7F2-427E-4C18-B6DA-8A00EB952F80}" srcOrd="10" destOrd="0" parTransId="{A515F678-F0A5-4D45-899E-9391F46F06BD}" sibTransId="{F2386228-5F72-4008-9AC5-1E5886C2E866}"/>
    <dgm:cxn modelId="{3EA4B7AE-FC25-4698-A7EC-0655B58528DF}" srcId="{C3660CEF-7AE0-4584-B802-A7916BE6F0E2}" destId="{D66D0D1F-666B-46C3-953C-B2022C99F7EF}" srcOrd="5" destOrd="0" parTransId="{8DA3882C-9F8A-4FD7-BDF1-97BEDEAD81F7}" sibTransId="{98C93FCF-C757-4820-B7B4-9D179DC03753}"/>
    <dgm:cxn modelId="{2EFDEAAF-2D99-45A2-889C-7F9C3E3F4AE5}" type="presOf" srcId="{D66D0D1F-666B-46C3-953C-B2022C99F7EF}" destId="{D8A4076F-9452-4CAA-A3D7-AF5D4514B86A}" srcOrd="0" destOrd="6" presId="urn:microsoft.com/office/officeart/2005/8/layout/hList6"/>
    <dgm:cxn modelId="{08504EB5-F5CF-4784-BDDB-BF91C15CFA61}" srcId="{C1C25AE2-C551-45CE-B8B7-A2C040FA8083}" destId="{6F65BD3C-ABAC-4440-B794-CC72CF1E7C65}" srcOrd="6" destOrd="0" parTransId="{53538E8F-D9CD-4678-96C3-63FAA38C36A8}" sibTransId="{928852E2-A768-4233-88F8-2A63E3F00DE6}"/>
    <dgm:cxn modelId="{313CA7B5-19E3-4941-9D9B-F633180E43A4}" srcId="{4FD9CF94-71AB-4098-B8F7-783C3FDC20C9}" destId="{C3660CEF-7AE0-4584-B802-A7916BE6F0E2}" srcOrd="4" destOrd="0" parTransId="{76A8C447-52D2-4AD8-8264-8A4B8BB6D5AC}" sibTransId="{99349E85-7408-485A-929E-45ADDD1194F0}"/>
    <dgm:cxn modelId="{E5CBCEB6-8CE1-4D1E-A9C3-D100B9BED27A}" type="presOf" srcId="{459CE310-7969-40C5-AE32-55577AE3ABE1}" destId="{CEE5589D-DA03-46F6-BCE4-02000666191B}" srcOrd="0" destOrd="9" presId="urn:microsoft.com/office/officeart/2005/8/layout/hList6"/>
    <dgm:cxn modelId="{09A8CEBB-3679-49D8-A1A1-A916FA99E8C9}" srcId="{4B572688-D677-4206-A773-A9E7528FB1D6}" destId="{459CE310-7969-40C5-AE32-55577AE3ABE1}" srcOrd="8" destOrd="0" parTransId="{1C636D0E-6994-4371-B9A4-35EADBC708F5}" sibTransId="{F0AC996E-FA87-4D6B-A7A6-EB4A71757BE9}"/>
    <dgm:cxn modelId="{1BE4F5BD-6496-4466-A771-640CBC25D95E}" type="presOf" srcId="{D43C97B1-003D-4C37-8BB6-1DBB0097F940}" destId="{D8A4076F-9452-4CAA-A3D7-AF5D4514B86A}" srcOrd="0" destOrd="1" presId="urn:microsoft.com/office/officeart/2005/8/layout/hList6"/>
    <dgm:cxn modelId="{FF417EBE-12D0-4196-96D1-3B4AF60491BE}" srcId="{4FD9CF94-71AB-4098-B8F7-783C3FDC20C9}" destId="{4B572688-D677-4206-A773-A9E7528FB1D6}" srcOrd="0" destOrd="0" parTransId="{58528259-FB04-4A3C-A3DE-776DF46792E0}" sibTransId="{A0CB5395-7862-4970-ADCD-96FCE3D5D3B2}"/>
    <dgm:cxn modelId="{E6CDABBE-0A61-4E43-B874-DCDFE520904A}" srcId="{C3660CEF-7AE0-4584-B802-A7916BE6F0E2}" destId="{1736444A-4080-42D5-94A0-C7328760C6E1}" srcOrd="8" destOrd="0" parTransId="{7C2247E7-03C4-4BE5-9BEE-99E3E8E8F616}" sibTransId="{BCF9A3D0-BA13-477A-9E4C-220F5B22F0AA}"/>
    <dgm:cxn modelId="{394CC5C0-7BB7-4192-8173-A4C27DEF2E42}" srcId="{F6C9BAE1-4DB4-4726-9B16-0F0F928AE1A9}" destId="{8E6BBBDC-5EF0-440F-BB52-8CB33640B53F}" srcOrd="0" destOrd="0" parTransId="{3E1FAB8E-4EDC-4BB7-8CE1-1836BA74FF98}" sibTransId="{0E4E4A35-A9B7-4F2F-8161-B21E345423C5}"/>
    <dgm:cxn modelId="{0230B4C2-B56D-4535-A642-4F59DB9917DA}" srcId="{F6C9BAE1-4DB4-4726-9B16-0F0F928AE1A9}" destId="{80D002D7-B916-457B-8465-E7FBD9A7974F}" srcOrd="3" destOrd="0" parTransId="{20ED9119-13D2-406B-916B-795AF5A45EEE}" sibTransId="{08FE23B1-F3C7-4525-9CAB-573EE5497A44}"/>
    <dgm:cxn modelId="{865514C4-0C4C-4121-87B5-158135F72A56}" srcId="{C1C25AE2-C551-45CE-B8B7-A2C040FA8083}" destId="{9EF3FFFD-979F-46D0-9C6C-F49298B8998E}" srcOrd="4" destOrd="0" parTransId="{89AA0FB3-83A8-4E3A-9501-132DEE989AAD}" sibTransId="{BC73B00A-2478-481A-B4D4-2090EB1B35A9}"/>
    <dgm:cxn modelId="{7A218EC5-CADB-4BD1-B6DC-F60FB78072D6}" srcId="{3052E29B-E923-40BE-9F38-BD7A7D7698DA}" destId="{30567CE9-DC3B-4424-9541-577BD2DAFB53}" srcOrd="6" destOrd="0" parTransId="{57B92EB0-CD45-440A-BA71-FF0C9441D7DE}" sibTransId="{13B42233-3EF3-49C6-B2AE-79659DFA7D39}"/>
    <dgm:cxn modelId="{1A1FF7C5-4B1A-4D58-A7BE-0F067ED00790}" type="presOf" srcId="{B9B060EA-7AE5-4220-9FF5-6CF8FB21EEDA}" destId="{55C67DBF-395E-43BB-8944-B37A86AFCD7E}" srcOrd="0" destOrd="2" presId="urn:microsoft.com/office/officeart/2005/8/layout/hList6"/>
    <dgm:cxn modelId="{30D6E3CA-6778-4D72-B036-3F3735316302}" srcId="{4B572688-D677-4206-A773-A9E7528FB1D6}" destId="{1136D019-FA49-4785-8EF8-0F5259AA376F}" srcOrd="0" destOrd="0" parTransId="{A06147C7-9BF0-4E17-94FC-C7BDF63FFDFB}" sibTransId="{BB9B2825-C18B-484F-A7C1-3156BD00AE05}"/>
    <dgm:cxn modelId="{7387B7CC-A004-4C01-8F38-819877338704}" type="presOf" srcId="{F046F5F1-4E16-4484-90C0-B7F975335BB6}" destId="{76E4D4D8-AD0A-438D-A9D6-0A048FA28521}" srcOrd="0" destOrd="3" presId="urn:microsoft.com/office/officeart/2005/8/layout/hList6"/>
    <dgm:cxn modelId="{869ACBCC-92EB-4D57-95DA-09405CA1AD99}" type="presOf" srcId="{2E1F4E78-F2E0-469B-9178-47E0CB50DEBE}" destId="{CEE5589D-DA03-46F6-BCE4-02000666191B}" srcOrd="0" destOrd="2" presId="urn:microsoft.com/office/officeart/2005/8/layout/hList6"/>
    <dgm:cxn modelId="{F51230CD-1F6C-46CA-9ED5-F4A039BA846C}" srcId="{C3660CEF-7AE0-4584-B802-A7916BE6F0E2}" destId="{F60E1FEB-69A6-4875-8CEB-46E35843B09E}" srcOrd="4" destOrd="0" parTransId="{9E8F72DD-10B4-47F5-A396-5044602A737E}" sibTransId="{8561526C-47C7-44B9-BD44-0A60DD35806B}"/>
    <dgm:cxn modelId="{D10167CE-6FEC-4B67-95B5-854417907536}" type="presOf" srcId="{4FD9CF94-71AB-4098-B8F7-783C3FDC20C9}" destId="{A6C8B450-F6E0-43FB-B556-1C0B05F7D267}" srcOrd="0" destOrd="0" presId="urn:microsoft.com/office/officeart/2005/8/layout/hList6"/>
    <dgm:cxn modelId="{FA5C17CF-F7F5-410A-B2EC-6B800F72ADF7}" type="presOf" srcId="{925636EE-F161-4C4D-B432-FB024FF0CEA3}" destId="{BA2E6380-8818-4947-A630-F3CD38E6C611}" srcOrd="0" destOrd="2" presId="urn:microsoft.com/office/officeart/2005/8/layout/hList6"/>
    <dgm:cxn modelId="{BF837DD0-569F-4891-87D8-16720C36CCFB}" type="presOf" srcId="{F6C9BAE1-4DB4-4726-9B16-0F0F928AE1A9}" destId="{55C67DBF-395E-43BB-8944-B37A86AFCD7E}" srcOrd="0" destOrd="0" presId="urn:microsoft.com/office/officeart/2005/8/layout/hList6"/>
    <dgm:cxn modelId="{AB1E1DDB-7929-4BCB-BDCF-B5C9599B74CC}" type="presOf" srcId="{8E6BBBDC-5EF0-440F-BB52-8CB33640B53F}" destId="{55C67DBF-395E-43BB-8944-B37A86AFCD7E}" srcOrd="0" destOrd="1" presId="urn:microsoft.com/office/officeart/2005/8/layout/hList6"/>
    <dgm:cxn modelId="{866DF5DC-6ECD-4651-8E20-FDC1D516864F}" srcId="{3052E29B-E923-40BE-9F38-BD7A7D7698DA}" destId="{48B32486-FE17-4A60-AC15-4C6FDFE7F484}" srcOrd="3" destOrd="0" parTransId="{543CCB9A-EB30-4ECF-AE34-A3305A66C367}" sibTransId="{65BDB79D-03C3-4EBD-A478-DFC7315B64B0}"/>
    <dgm:cxn modelId="{FE1A64DD-1F07-491D-8FD4-FD65D022336C}" type="presOf" srcId="{CA3EC0B5-B2C1-4CEA-98E3-81562C4CA69C}" destId="{CEE5589D-DA03-46F6-BCE4-02000666191B}" srcOrd="0" destOrd="5" presId="urn:microsoft.com/office/officeart/2005/8/layout/hList6"/>
    <dgm:cxn modelId="{1B63EBDF-4999-459E-B51E-685A39FF4EEE}" type="presOf" srcId="{A45BB4BB-A949-40C6-B8BC-10516775647C}" destId="{BA2E6380-8818-4947-A630-F3CD38E6C611}" srcOrd="0" destOrd="6" presId="urn:microsoft.com/office/officeart/2005/8/layout/hList6"/>
    <dgm:cxn modelId="{7E830EE2-464C-4891-8A0E-5F95180EFAC9}" type="presOf" srcId="{30567CE9-DC3B-4424-9541-577BD2DAFB53}" destId="{BA2E6380-8818-4947-A630-F3CD38E6C611}" srcOrd="0" destOrd="7" presId="urn:microsoft.com/office/officeart/2005/8/layout/hList6"/>
    <dgm:cxn modelId="{8CB0AAE3-8D50-4FC0-93FD-B825B1852354}" srcId="{F6C9BAE1-4DB4-4726-9B16-0F0F928AE1A9}" destId="{AF52293F-6D5D-4F8E-8FB0-AD31A5327EA8}" srcOrd="6" destOrd="0" parTransId="{F8CEE05E-E944-4E41-B24F-C0EDF9FC9BF5}" sibTransId="{68785C3F-9CBA-48BF-9E65-4502E613C4EA}"/>
    <dgm:cxn modelId="{2D1A7CE6-2E35-4F6D-8B16-75150E9124DE}" srcId="{C3660CEF-7AE0-4584-B802-A7916BE6F0E2}" destId="{1B950109-7A39-4689-B12C-AD9DB47DEBD7}" srcOrd="2" destOrd="0" parTransId="{152E28D4-2BD7-4124-A74C-E964942730CF}" sibTransId="{65001F7A-A85B-4C36-AF4C-A448550F950C}"/>
    <dgm:cxn modelId="{9A97F3E6-662C-4118-8118-7340DB8A8D01}" srcId="{F6C9BAE1-4DB4-4726-9B16-0F0F928AE1A9}" destId="{E4A91622-F17F-4685-AE34-3B783BA471AD}" srcOrd="8" destOrd="0" parTransId="{7EEC2101-5E63-4C4F-B48D-58C10FD69B92}" sibTransId="{A1D4AC9D-6E75-43FB-A851-300B785E1013}"/>
    <dgm:cxn modelId="{437AB3EA-08F8-44BB-A37E-3B70275B103F}" srcId="{4B572688-D677-4206-A773-A9E7528FB1D6}" destId="{2DDADB6A-86EF-46C2-A5C5-3555180EE70B}" srcOrd="2" destOrd="0" parTransId="{33E3BF99-7193-44B6-8E24-00CEDD2D719E}" sibTransId="{8015891C-139D-4BB7-B682-1FC09E2F7DE4}"/>
    <dgm:cxn modelId="{636E20EE-3337-4E49-8A0D-29EEA0E55BD1}" srcId="{F6C9BAE1-4DB4-4726-9B16-0F0F928AE1A9}" destId="{B9B060EA-7AE5-4220-9FF5-6CF8FB21EEDA}" srcOrd="1" destOrd="0" parTransId="{3E7B1608-39A8-4B46-827F-4AFA2847A8A9}" sibTransId="{2E574BCB-7EAE-4FF7-A18A-BEB3B6C6811E}"/>
    <dgm:cxn modelId="{9A1D7CF0-AE27-43C3-BEEB-EAE84FA8E140}" srcId="{C3660CEF-7AE0-4584-B802-A7916BE6F0E2}" destId="{3FACAB87-B2B5-414D-BA49-1449EF3AC2BD}" srcOrd="1" destOrd="0" parTransId="{53B9B899-312A-4EED-8A39-7F445615903C}" sibTransId="{B47B95EE-591A-446D-BBF9-7F4198700C31}"/>
    <dgm:cxn modelId="{F848BFF1-0CCA-4EDD-AA0D-C9C989138E05}" type="presOf" srcId="{1136D019-FA49-4785-8EF8-0F5259AA376F}" destId="{CEE5589D-DA03-46F6-BCE4-02000666191B}" srcOrd="0" destOrd="1" presId="urn:microsoft.com/office/officeart/2005/8/layout/hList6"/>
    <dgm:cxn modelId="{BE1F77F7-911E-4C01-B4F6-2DF369CD9AF2}" type="presOf" srcId="{2DDADB6A-86EF-46C2-A5C5-3555180EE70B}" destId="{CEE5589D-DA03-46F6-BCE4-02000666191B}" srcOrd="0" destOrd="3" presId="urn:microsoft.com/office/officeart/2005/8/layout/hList6"/>
    <dgm:cxn modelId="{1B0D38FA-B053-4747-A197-9843F1BEE128}" srcId="{4FD9CF94-71AB-4098-B8F7-783C3FDC20C9}" destId="{3052E29B-E923-40BE-9F38-BD7A7D7698DA}" srcOrd="3" destOrd="0" parTransId="{6CBD31B4-DC77-4588-9FD5-893676CD0318}" sibTransId="{640340F3-8890-4DBA-8231-E46F3460181C}"/>
    <dgm:cxn modelId="{85B780FB-6E8C-4604-9216-3214F041A94F}" type="presOf" srcId="{3FACAB87-B2B5-414D-BA49-1449EF3AC2BD}" destId="{D8A4076F-9452-4CAA-A3D7-AF5D4514B86A}" srcOrd="0" destOrd="2" presId="urn:microsoft.com/office/officeart/2005/8/layout/hList6"/>
    <dgm:cxn modelId="{3354D4FB-4603-4238-BAE6-3C1DA28A9E74}" srcId="{3052E29B-E923-40BE-9F38-BD7A7D7698DA}" destId="{A45BB4BB-A949-40C6-B8BC-10516775647C}" srcOrd="5" destOrd="0" parTransId="{BAF7AA6F-785D-4F1C-BA15-22FE2D799D59}" sibTransId="{BFD1195A-D996-4159-8CFD-AD2289D57D9B}"/>
    <dgm:cxn modelId="{A6763EFD-5208-4C0B-BFE3-1DAE41FC2108}" type="presOf" srcId="{3EBCD037-7095-497E-AA76-1A6789E3F1A6}" destId="{BA2E6380-8818-4947-A630-F3CD38E6C611}" srcOrd="0" destOrd="1" presId="urn:microsoft.com/office/officeart/2005/8/layout/hList6"/>
    <dgm:cxn modelId="{514957AD-B979-4AE2-A711-63626AD99B33}" type="presParOf" srcId="{A6C8B450-F6E0-43FB-B556-1C0B05F7D267}" destId="{CEE5589D-DA03-46F6-BCE4-02000666191B}" srcOrd="0" destOrd="0" presId="urn:microsoft.com/office/officeart/2005/8/layout/hList6"/>
    <dgm:cxn modelId="{638B9760-4F5B-45C5-B7A7-F866310A6784}" type="presParOf" srcId="{A6C8B450-F6E0-43FB-B556-1C0B05F7D267}" destId="{F1D4AC7B-62A4-41D1-8453-0BA45453F02C}" srcOrd="1" destOrd="0" presId="urn:microsoft.com/office/officeart/2005/8/layout/hList6"/>
    <dgm:cxn modelId="{C4935FB4-5C82-4301-BAEE-B1AF5BB4DFBE}" type="presParOf" srcId="{A6C8B450-F6E0-43FB-B556-1C0B05F7D267}" destId="{55C67DBF-395E-43BB-8944-B37A86AFCD7E}" srcOrd="2" destOrd="0" presId="urn:microsoft.com/office/officeart/2005/8/layout/hList6"/>
    <dgm:cxn modelId="{0A47CB1E-B24C-4D13-9E67-ADA17B3D6758}" type="presParOf" srcId="{A6C8B450-F6E0-43FB-B556-1C0B05F7D267}" destId="{421FB4C2-8021-4D9F-81BD-15BAA70418BC}" srcOrd="3" destOrd="0" presId="urn:microsoft.com/office/officeart/2005/8/layout/hList6"/>
    <dgm:cxn modelId="{7E498BB0-0E33-4CA2-8B12-526C872D5DCC}" type="presParOf" srcId="{A6C8B450-F6E0-43FB-B556-1C0B05F7D267}" destId="{76E4D4D8-AD0A-438D-A9D6-0A048FA28521}" srcOrd="4" destOrd="0" presId="urn:microsoft.com/office/officeart/2005/8/layout/hList6"/>
    <dgm:cxn modelId="{B3EB1660-112E-4681-9A54-44E7DD83DFDF}" type="presParOf" srcId="{A6C8B450-F6E0-43FB-B556-1C0B05F7D267}" destId="{4B0DBFF8-96F5-4D10-A16F-CBBEA377E1BF}" srcOrd="5" destOrd="0" presId="urn:microsoft.com/office/officeart/2005/8/layout/hList6"/>
    <dgm:cxn modelId="{296ACD5E-826A-4FE5-BF73-D938BB115E06}" type="presParOf" srcId="{A6C8B450-F6E0-43FB-B556-1C0B05F7D267}" destId="{BA2E6380-8818-4947-A630-F3CD38E6C611}" srcOrd="6" destOrd="0" presId="urn:microsoft.com/office/officeart/2005/8/layout/hList6"/>
    <dgm:cxn modelId="{BDF2A365-0791-4083-8C3D-AA6D432C786C}" type="presParOf" srcId="{A6C8B450-F6E0-43FB-B556-1C0B05F7D267}" destId="{D7CECF6C-5C52-4BD9-A159-CBB494DCD5CF}" srcOrd="7" destOrd="0" presId="urn:microsoft.com/office/officeart/2005/8/layout/hList6"/>
    <dgm:cxn modelId="{E8C98C63-E834-4921-8AD3-E2F72C27738E}" type="presParOf" srcId="{A6C8B450-F6E0-43FB-B556-1C0B05F7D267}" destId="{D8A4076F-9452-4CAA-A3D7-AF5D4514B86A}" srcOrd="8" destOrd="0" presId="urn:microsoft.com/office/officeart/2005/8/layout/hList6"/>
  </dgm:cxnLst>
  <dgm:bg/>
  <dgm:whole/>
  <dgm:extLst>
    <a:ext uri="http://schemas.microsoft.com/office/drawing/2008/diagram">
      <dsp:dataModelExt xmlns:dsp="http://schemas.microsoft.com/office/drawing/2008/diagram" relId="rId25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855A483-DB95-4329-87E9-AC7C2A3A75AD}" type="doc">
      <dgm:prSet loTypeId="urn:diagrams.loki3.com/BracketList#1" loCatId="list" qsTypeId="urn:microsoft.com/office/officeart/2005/8/quickstyle/simple1" qsCatId="simple" csTypeId="urn:microsoft.com/office/officeart/2005/8/colors/colorful3" csCatId="colorful" phldr="1"/>
      <dgm:spPr/>
      <dgm:t>
        <a:bodyPr/>
        <a:lstStyle/>
        <a:p>
          <a:endParaRPr lang="en-US"/>
        </a:p>
      </dgm:t>
    </dgm:pt>
    <dgm:pt modelId="{42515870-B740-4227-A856-A507DA824C45}">
      <dgm:prSet phldrT="[Text]" custT="1"/>
      <dgm:spPr>
        <a:xfrm>
          <a:off x="4026" y="698348"/>
          <a:ext cx="1085483" cy="375346"/>
        </a:xfrm>
        <a:noFill/>
        <a:ln>
          <a:noFill/>
        </a:ln>
        <a:effectLst/>
      </dgm:spPr>
      <dgm:t>
        <a:bodyPr/>
        <a:lstStyle/>
        <a:p>
          <a:r>
            <a:rPr lang="en-US" sz="1000" b="1" i="0">
              <a:solidFill>
                <a:sysClr val="windowText" lastClr="000000">
                  <a:lumMod val="75000"/>
                  <a:lumOff val="25000"/>
                </a:sysClr>
              </a:solidFill>
              <a:latin typeface="Calibri" panose="020F0502020204030204"/>
              <a:ea typeface="+mn-ea"/>
              <a:cs typeface="+mn-cs"/>
            </a:rPr>
            <a:t>Request for</a:t>
          </a:r>
        </a:p>
        <a:p>
          <a:r>
            <a:rPr lang="en-US" sz="1000" b="1" i="0">
              <a:solidFill>
                <a:sysClr val="windowText" lastClr="000000">
                  <a:lumMod val="75000"/>
                  <a:lumOff val="25000"/>
                </a:sysClr>
              </a:solidFill>
              <a:latin typeface="Calibri" panose="020F0502020204030204"/>
              <a:ea typeface="+mn-ea"/>
              <a:cs typeface="+mn-cs"/>
            </a:rPr>
            <a:t>Documentation</a:t>
          </a:r>
        </a:p>
      </dgm:t>
    </dgm:pt>
    <dgm:pt modelId="{53C49770-8BFC-442B-B73E-D8484945261F}" type="parTrans" cxnId="{506BA57B-46CD-4D33-AD40-EA82270A7524}">
      <dgm:prSet/>
      <dgm:spPr/>
      <dgm:t>
        <a:bodyPr/>
        <a:lstStyle/>
        <a:p>
          <a:endParaRPr lang="en-US" sz="1100">
            <a:solidFill>
              <a:schemeClr val="tx1">
                <a:lumMod val="75000"/>
                <a:lumOff val="25000"/>
              </a:schemeClr>
            </a:solidFill>
          </a:endParaRPr>
        </a:p>
      </dgm:t>
    </dgm:pt>
    <dgm:pt modelId="{FF5087AB-F3E7-410A-A158-F00DF60E26A0}" type="sibTrans" cxnId="{506BA57B-46CD-4D33-AD40-EA82270A7524}">
      <dgm:prSet/>
      <dgm:spPr/>
      <dgm:t>
        <a:bodyPr/>
        <a:lstStyle/>
        <a:p>
          <a:endParaRPr lang="en-US" sz="1100">
            <a:solidFill>
              <a:schemeClr val="tx1">
                <a:lumMod val="75000"/>
                <a:lumOff val="25000"/>
              </a:schemeClr>
            </a:solidFill>
          </a:endParaRPr>
        </a:p>
      </dgm:t>
    </dgm:pt>
    <dgm:pt modelId="{20289BBF-D2E8-439B-A50C-EB245B83B8B0}">
      <dgm:prSet phldrT="[Text]" custT="1"/>
      <dgm:spPr>
        <a:xfrm>
          <a:off x="1451159" y="2356"/>
          <a:ext cx="7688814" cy="1767330"/>
        </a:xfrm>
        <a:solidFill>
          <a:srgbClr val="E7BC29">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57150">
            <a:lnSpc>
              <a:spcPct val="100000"/>
            </a:lnSpc>
            <a:spcAft>
              <a:spcPts val="0"/>
            </a:spcAft>
          </a:pPr>
          <a:r>
            <a:rPr lang="en-US" sz="1000">
              <a:solidFill>
                <a:sysClr val="windowText" lastClr="000000">
                  <a:lumMod val="75000"/>
                  <a:lumOff val="25000"/>
                </a:sysClr>
              </a:solidFill>
              <a:latin typeface="Calibri" panose="020F0502020204030204"/>
              <a:ea typeface="+mn-ea"/>
              <a:cs typeface="+mn-cs"/>
            </a:rPr>
            <a:t>If an applicant or beneficiary informs a Project Sponsor they survived an incident of domestic violence, dating violence, sexual assault, or stalking, the Project Sponsor may request, in writing, that the applicant or beneficiary submit documentation of survivor status as specified under Permissible Documentation.</a:t>
          </a:r>
        </a:p>
      </dgm:t>
    </dgm:pt>
    <dgm:pt modelId="{D140B4E2-8837-4330-A536-1353C14EC882}" type="parTrans" cxnId="{337BC0C3-4BA6-42FF-8402-7098EDEE1A48}">
      <dgm:prSet/>
      <dgm:spPr/>
      <dgm:t>
        <a:bodyPr/>
        <a:lstStyle/>
        <a:p>
          <a:endParaRPr lang="en-US" sz="1100">
            <a:solidFill>
              <a:schemeClr val="tx1">
                <a:lumMod val="75000"/>
                <a:lumOff val="25000"/>
              </a:schemeClr>
            </a:solidFill>
          </a:endParaRPr>
        </a:p>
      </dgm:t>
    </dgm:pt>
    <dgm:pt modelId="{CF8CB686-6DD4-42D8-9BB0-69EAD7879059}" type="sibTrans" cxnId="{337BC0C3-4BA6-42FF-8402-7098EDEE1A48}">
      <dgm:prSet/>
      <dgm:spPr/>
      <dgm:t>
        <a:bodyPr/>
        <a:lstStyle/>
        <a:p>
          <a:endParaRPr lang="en-US" sz="1100">
            <a:solidFill>
              <a:schemeClr val="tx1">
                <a:lumMod val="75000"/>
                <a:lumOff val="25000"/>
              </a:schemeClr>
            </a:solidFill>
          </a:endParaRPr>
        </a:p>
      </dgm:t>
    </dgm:pt>
    <dgm:pt modelId="{53D57C52-EEB7-4E1D-AF9A-617D25938338}">
      <dgm:prSet phldrT="[Text]" custT="1"/>
      <dgm:spPr>
        <a:xfrm>
          <a:off x="4026" y="2851199"/>
          <a:ext cx="1085483" cy="953261"/>
        </a:xfrm>
        <a:noFill/>
        <a:ln>
          <a:noFill/>
        </a:ln>
        <a:effectLst/>
      </dgm:spPr>
      <dgm:t>
        <a:bodyPr/>
        <a:lstStyle/>
        <a:p>
          <a:r>
            <a:rPr lang="en-US" sz="1000" b="1" i="0">
              <a:solidFill>
                <a:sysClr val="windowText" lastClr="000000">
                  <a:lumMod val="75000"/>
                  <a:lumOff val="25000"/>
                </a:sysClr>
              </a:solidFill>
              <a:latin typeface="Calibri" panose="020F0502020204030204"/>
              <a:ea typeface="+mn-ea"/>
              <a:cs typeface="+mn-cs"/>
            </a:rPr>
            <a:t>Permissible</a:t>
          </a:r>
        </a:p>
        <a:p>
          <a:r>
            <a:rPr lang="en-US" sz="1000" b="1" i="0">
              <a:solidFill>
                <a:sysClr val="windowText" lastClr="000000">
                  <a:lumMod val="75000"/>
                  <a:lumOff val="25000"/>
                </a:sysClr>
              </a:solidFill>
              <a:latin typeface="Calibri" panose="020F0502020204030204"/>
              <a:ea typeface="+mn-ea"/>
              <a:cs typeface="+mn-cs"/>
            </a:rPr>
            <a:t>Documentation</a:t>
          </a:r>
        </a:p>
        <a:p>
          <a:r>
            <a:rPr lang="en-US" sz="1000" b="1" i="0">
              <a:solidFill>
                <a:sysClr val="windowText" lastClr="000000">
                  <a:lumMod val="75000"/>
                  <a:lumOff val="25000"/>
                </a:sysClr>
              </a:solidFill>
              <a:latin typeface="Calibri" panose="020F0502020204030204"/>
              <a:ea typeface="+mn-ea"/>
              <a:cs typeface="+mn-cs"/>
            </a:rPr>
            <a:t>&amp;</a:t>
          </a:r>
        </a:p>
        <a:p>
          <a:r>
            <a:rPr lang="en-US" sz="1000" b="1" i="0">
              <a:solidFill>
                <a:sysClr val="windowText" lastClr="000000">
                  <a:lumMod val="75000"/>
                  <a:lumOff val="25000"/>
                </a:sysClr>
              </a:solidFill>
              <a:latin typeface="Calibri" panose="020F0502020204030204"/>
              <a:ea typeface="+mn-ea"/>
              <a:cs typeface="+mn-cs"/>
            </a:rPr>
            <a:t>Submission</a:t>
          </a:r>
        </a:p>
        <a:p>
          <a:r>
            <a:rPr lang="en-US" sz="1000" b="1" i="0">
              <a:solidFill>
                <a:sysClr val="windowText" lastClr="000000">
                  <a:lumMod val="75000"/>
                  <a:lumOff val="25000"/>
                </a:sysClr>
              </a:solidFill>
              <a:latin typeface="Calibri" panose="020F0502020204030204"/>
              <a:ea typeface="+mn-ea"/>
              <a:cs typeface="+mn-cs"/>
            </a:rPr>
            <a:t>Requirements</a:t>
          </a:r>
        </a:p>
      </dgm:t>
    </dgm:pt>
    <dgm:pt modelId="{C5F5027B-86D7-4020-8E39-F9FAC1B39231}" type="parTrans" cxnId="{C6F60229-A1DB-4024-AF55-9E4961A108A7}">
      <dgm:prSet/>
      <dgm:spPr/>
      <dgm:t>
        <a:bodyPr/>
        <a:lstStyle/>
        <a:p>
          <a:endParaRPr lang="en-US" sz="1100">
            <a:solidFill>
              <a:schemeClr val="tx1">
                <a:lumMod val="75000"/>
                <a:lumOff val="25000"/>
              </a:schemeClr>
            </a:solidFill>
          </a:endParaRPr>
        </a:p>
      </dgm:t>
    </dgm:pt>
    <dgm:pt modelId="{2154B486-E74E-4ADC-B76B-12324F12611A}" type="sibTrans" cxnId="{C6F60229-A1DB-4024-AF55-9E4961A108A7}">
      <dgm:prSet/>
      <dgm:spPr/>
      <dgm:t>
        <a:bodyPr/>
        <a:lstStyle/>
        <a:p>
          <a:endParaRPr lang="en-US" sz="1100">
            <a:solidFill>
              <a:schemeClr val="tx1">
                <a:lumMod val="75000"/>
                <a:lumOff val="25000"/>
              </a:schemeClr>
            </a:solidFill>
          </a:endParaRPr>
        </a:p>
      </dgm:t>
    </dgm:pt>
    <dgm:pt modelId="{D48E13F6-4545-4ABE-9313-1314FCB98087}">
      <dgm:prSet phldrT="[Text]" custT="1"/>
      <dgm:spPr>
        <a:xfrm>
          <a:off x="1451159" y="1787019"/>
          <a:ext cx="7688814" cy="3081622"/>
        </a:xfrm>
        <a:solidFill>
          <a:srgbClr val="809EC2">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57150">
            <a:lnSpc>
              <a:spcPct val="100000"/>
            </a:lnSpc>
            <a:spcAft>
              <a:spcPts val="0"/>
            </a:spcAft>
          </a:pPr>
          <a:r>
            <a:rPr lang="en-US" sz="1000">
              <a:solidFill>
                <a:sysClr val="windowText" lastClr="000000">
                  <a:lumMod val="75000"/>
                  <a:lumOff val="25000"/>
                </a:sysClr>
              </a:solidFill>
              <a:latin typeface="Calibri" panose="020F0502020204030204"/>
              <a:ea typeface="+mn-ea"/>
              <a:cs typeface="+mn-cs"/>
            </a:rPr>
            <a:t>In response to a written request from the Project Sponsor, the applicant or beneficiary may submit as documentation any one of the following items, where it is at the discretion of the applicant or beneficiary which one of the following forms of documentation to submit:</a:t>
          </a:r>
        </a:p>
      </dgm:t>
    </dgm:pt>
    <dgm:pt modelId="{999B72CA-06C1-49A1-AB24-25DBF39C0244}" type="parTrans" cxnId="{2A405FD9-EFA1-4105-81E7-E50098883017}">
      <dgm:prSet/>
      <dgm:spPr/>
      <dgm:t>
        <a:bodyPr/>
        <a:lstStyle/>
        <a:p>
          <a:endParaRPr lang="en-US" sz="1100">
            <a:solidFill>
              <a:schemeClr val="tx1">
                <a:lumMod val="75000"/>
                <a:lumOff val="25000"/>
              </a:schemeClr>
            </a:solidFill>
          </a:endParaRPr>
        </a:p>
      </dgm:t>
    </dgm:pt>
    <dgm:pt modelId="{399CB1D4-41D6-4411-B947-EA640A2F220D}" type="sibTrans" cxnId="{2A405FD9-EFA1-4105-81E7-E50098883017}">
      <dgm:prSet/>
      <dgm:spPr/>
      <dgm:t>
        <a:bodyPr/>
        <a:lstStyle/>
        <a:p>
          <a:endParaRPr lang="en-US" sz="1100">
            <a:solidFill>
              <a:schemeClr val="tx1">
                <a:lumMod val="75000"/>
                <a:lumOff val="25000"/>
              </a:schemeClr>
            </a:solidFill>
          </a:endParaRPr>
        </a:p>
      </dgm:t>
    </dgm:pt>
    <dgm:pt modelId="{245CC6A2-5ABB-4054-897A-AD6383ADCBC1}">
      <dgm:prSet phldrT="[Text]" custT="1"/>
      <dgm:spPr>
        <a:xfrm>
          <a:off x="4026" y="5687020"/>
          <a:ext cx="1085483" cy="184694"/>
        </a:xfrm>
        <a:noFill/>
        <a:ln>
          <a:noFill/>
        </a:ln>
        <a:effectLst/>
      </dgm:spPr>
      <dgm:t>
        <a:bodyPr/>
        <a:lstStyle/>
        <a:p>
          <a:r>
            <a:rPr lang="en-US" sz="1000" b="1" i="0">
              <a:solidFill>
                <a:sysClr val="windowText" lastClr="000000">
                  <a:lumMod val="75000"/>
                  <a:lumOff val="25000"/>
                </a:sysClr>
              </a:solidFill>
              <a:latin typeface="Calibri" panose="020F0502020204030204"/>
              <a:ea typeface="+mn-ea"/>
              <a:cs typeface="+mn-cs"/>
            </a:rPr>
            <a:t>Confidentiality</a:t>
          </a:r>
        </a:p>
      </dgm:t>
    </dgm:pt>
    <dgm:pt modelId="{14CE012B-D310-460D-81A0-169D755A7164}" type="parTrans" cxnId="{30BA5B91-C3C7-4646-A9CA-C658E3FF101C}">
      <dgm:prSet/>
      <dgm:spPr/>
      <dgm:t>
        <a:bodyPr/>
        <a:lstStyle/>
        <a:p>
          <a:endParaRPr lang="en-US" sz="1100">
            <a:solidFill>
              <a:schemeClr val="tx1">
                <a:lumMod val="75000"/>
                <a:lumOff val="25000"/>
              </a:schemeClr>
            </a:solidFill>
          </a:endParaRPr>
        </a:p>
      </dgm:t>
    </dgm:pt>
    <dgm:pt modelId="{30580FC4-2EAD-4F36-ADE6-97226581C661}" type="sibTrans" cxnId="{30BA5B91-C3C7-4646-A9CA-C658E3FF101C}">
      <dgm:prSet/>
      <dgm:spPr/>
      <dgm:t>
        <a:bodyPr/>
        <a:lstStyle/>
        <a:p>
          <a:endParaRPr lang="en-US" sz="1100">
            <a:solidFill>
              <a:schemeClr val="tx1">
                <a:lumMod val="75000"/>
                <a:lumOff val="25000"/>
              </a:schemeClr>
            </a:solidFill>
          </a:endParaRPr>
        </a:p>
      </dgm:t>
    </dgm:pt>
    <dgm:pt modelId="{D1BC8A4B-CC93-4D23-AAA3-E0E6BECA5A85}">
      <dgm:prSet phldrT="[Text]" custT="1"/>
      <dgm:spPr>
        <a:xfrm>
          <a:off x="1451159" y="4885973"/>
          <a:ext cx="7688814" cy="1786789"/>
        </a:xfrm>
        <a:solidFill>
          <a:srgbClr val="D092A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57150">
            <a:lnSpc>
              <a:spcPct val="100000"/>
            </a:lnSpc>
            <a:spcAft>
              <a:spcPts val="0"/>
            </a:spcAft>
          </a:pPr>
          <a:r>
            <a:rPr lang="en-US" sz="1000">
              <a:solidFill>
                <a:sysClr val="windowText" lastClr="000000">
                  <a:lumMod val="75000"/>
                  <a:lumOff val="25000"/>
                </a:sysClr>
              </a:solidFill>
              <a:latin typeface="Calibri" panose="020F0502020204030204"/>
              <a:ea typeface="+mn-ea"/>
              <a:cs typeface="+mn-cs"/>
            </a:rPr>
            <a:t>If an applicant or beneficiary submits documentation of survivor status (confidential information) to a Project Sponsor, the Project Sponsor must maintain the documentation in strict confidence. </a:t>
          </a:r>
        </a:p>
      </dgm:t>
    </dgm:pt>
    <dgm:pt modelId="{3B883A3E-B0C5-4DBE-82E7-392BCF7027D2}" type="parTrans" cxnId="{0097FEEB-D2BF-4BBD-BD6F-CC36667CE6F5}">
      <dgm:prSet/>
      <dgm:spPr/>
      <dgm:t>
        <a:bodyPr/>
        <a:lstStyle/>
        <a:p>
          <a:endParaRPr lang="en-US" sz="1100">
            <a:solidFill>
              <a:schemeClr val="tx1">
                <a:lumMod val="75000"/>
                <a:lumOff val="25000"/>
              </a:schemeClr>
            </a:solidFill>
          </a:endParaRPr>
        </a:p>
      </dgm:t>
    </dgm:pt>
    <dgm:pt modelId="{3099EB49-698E-48F8-BDEF-411785F47BB8}" type="sibTrans" cxnId="{0097FEEB-D2BF-4BBD-BD6F-CC36667CE6F5}">
      <dgm:prSet/>
      <dgm:spPr/>
      <dgm:t>
        <a:bodyPr/>
        <a:lstStyle/>
        <a:p>
          <a:endParaRPr lang="en-US" sz="1100">
            <a:solidFill>
              <a:schemeClr val="tx1">
                <a:lumMod val="75000"/>
                <a:lumOff val="25000"/>
              </a:schemeClr>
            </a:solidFill>
          </a:endParaRPr>
        </a:p>
      </dgm:t>
    </dgm:pt>
    <dgm:pt modelId="{099F45CD-1231-493F-9E77-F24D89081A52}">
      <dgm:prSet custT="1"/>
      <dgm:spPr>
        <a:xfrm>
          <a:off x="1451159" y="4885973"/>
          <a:ext cx="7688814" cy="1786789"/>
        </a:xfrm>
        <a:solidFill>
          <a:srgbClr val="D092A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57150">
            <a:lnSpc>
              <a:spcPct val="100000"/>
            </a:lnSpc>
            <a:spcAft>
              <a:spcPts val="0"/>
            </a:spcAft>
          </a:pPr>
          <a:r>
            <a:rPr lang="en-US" sz="1000">
              <a:solidFill>
                <a:sysClr val="windowText" lastClr="000000">
                  <a:lumMod val="75000"/>
                  <a:lumOff val="25000"/>
                </a:sysClr>
              </a:solidFill>
              <a:latin typeface="Calibri" panose="020F0502020204030204"/>
              <a:ea typeface="+mn-ea"/>
              <a:cs typeface="+mn-cs"/>
            </a:rPr>
            <a:t>Project Sponsors cannot enter confidential information into any shared database or disclose such information to any other entity or individual, unless:</a:t>
          </a:r>
        </a:p>
      </dgm:t>
    </dgm:pt>
    <dgm:pt modelId="{C917439B-1F1F-4799-98A6-98D4F9A3D843}" type="parTrans" cxnId="{EC260FD4-2AEC-4AD7-B245-B051BFC3DD5C}">
      <dgm:prSet/>
      <dgm:spPr/>
      <dgm:t>
        <a:bodyPr/>
        <a:lstStyle/>
        <a:p>
          <a:endParaRPr lang="en-US" sz="1100">
            <a:solidFill>
              <a:schemeClr val="tx1">
                <a:lumMod val="75000"/>
                <a:lumOff val="25000"/>
              </a:schemeClr>
            </a:solidFill>
          </a:endParaRPr>
        </a:p>
      </dgm:t>
    </dgm:pt>
    <dgm:pt modelId="{85CE6E2F-A911-4EAD-BDA8-4879F6F01565}" type="sibTrans" cxnId="{EC260FD4-2AEC-4AD7-B245-B051BFC3DD5C}">
      <dgm:prSet/>
      <dgm:spPr/>
      <dgm:t>
        <a:bodyPr/>
        <a:lstStyle/>
        <a:p>
          <a:endParaRPr lang="en-US" sz="1100">
            <a:solidFill>
              <a:schemeClr val="tx1">
                <a:lumMod val="75000"/>
                <a:lumOff val="25000"/>
              </a:schemeClr>
            </a:solidFill>
          </a:endParaRPr>
        </a:p>
      </dgm:t>
    </dgm:pt>
    <dgm:pt modelId="{BAB85E7A-E210-40DB-B4F1-92815C809E4E}">
      <dgm:prSet custT="1"/>
      <dgm:spPr>
        <a:xfrm>
          <a:off x="1451159" y="4885973"/>
          <a:ext cx="7688814" cy="1786789"/>
        </a:xfrm>
        <a:solidFill>
          <a:srgbClr val="D092A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274320">
            <a:lnSpc>
              <a:spcPct val="100000"/>
            </a:lnSpc>
            <a:spcAft>
              <a:spcPts val="0"/>
            </a:spcAft>
          </a:pPr>
          <a:r>
            <a:rPr lang="en-US" sz="1000">
              <a:solidFill>
                <a:sysClr val="windowText" lastClr="000000">
                  <a:lumMod val="75000"/>
                  <a:lumOff val="25000"/>
                </a:sysClr>
              </a:solidFill>
              <a:latin typeface="Calibri" panose="020F0502020204030204"/>
              <a:ea typeface="+mn-ea"/>
              <a:cs typeface="+mn-cs"/>
            </a:rPr>
            <a:t>The survivor requests or consents in a time-limited release to the disclosure;</a:t>
          </a:r>
        </a:p>
      </dgm:t>
    </dgm:pt>
    <dgm:pt modelId="{0DD3CBC3-1223-4CC7-AECD-99A3749ADC60}" type="parTrans" cxnId="{D889F59F-1CEC-48DF-9C07-1F41E75497C8}">
      <dgm:prSet/>
      <dgm:spPr/>
      <dgm:t>
        <a:bodyPr/>
        <a:lstStyle/>
        <a:p>
          <a:endParaRPr lang="en-US" sz="1100">
            <a:solidFill>
              <a:schemeClr val="tx1">
                <a:lumMod val="75000"/>
                <a:lumOff val="25000"/>
              </a:schemeClr>
            </a:solidFill>
          </a:endParaRPr>
        </a:p>
      </dgm:t>
    </dgm:pt>
    <dgm:pt modelId="{A0015DDD-7240-412B-8D27-BCB54A188531}" type="sibTrans" cxnId="{D889F59F-1CEC-48DF-9C07-1F41E75497C8}">
      <dgm:prSet/>
      <dgm:spPr/>
      <dgm:t>
        <a:bodyPr/>
        <a:lstStyle/>
        <a:p>
          <a:endParaRPr lang="en-US" sz="1100">
            <a:solidFill>
              <a:schemeClr val="tx1">
                <a:lumMod val="75000"/>
                <a:lumOff val="25000"/>
              </a:schemeClr>
            </a:solidFill>
          </a:endParaRPr>
        </a:p>
      </dgm:t>
    </dgm:pt>
    <dgm:pt modelId="{9B4B2DB8-2747-49C2-A6A6-853E3D67A90E}">
      <dgm:prSet custT="1"/>
      <dgm:spPr>
        <a:xfrm>
          <a:off x="1451159" y="4885973"/>
          <a:ext cx="7688814" cy="1786789"/>
        </a:xfrm>
        <a:solidFill>
          <a:srgbClr val="D092A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274320">
            <a:lnSpc>
              <a:spcPct val="100000"/>
            </a:lnSpc>
            <a:spcAft>
              <a:spcPts val="0"/>
            </a:spcAft>
          </a:pPr>
          <a:r>
            <a:rPr lang="en-US" sz="1000">
              <a:solidFill>
                <a:sysClr val="windowText" lastClr="000000">
                  <a:lumMod val="75000"/>
                  <a:lumOff val="25000"/>
                </a:sysClr>
              </a:solidFill>
              <a:latin typeface="Calibri" panose="020F0502020204030204"/>
              <a:ea typeface="+mn-ea"/>
              <a:cs typeface="+mn-cs"/>
            </a:rPr>
            <a:t>An eviction proceeding or hearing regarding termination of assistance from the DSHS HOPWA Program requires the disclosure; or</a:t>
          </a:r>
        </a:p>
      </dgm:t>
    </dgm:pt>
    <dgm:pt modelId="{10B9D572-E54D-4D59-A9A8-5DC31226A609}" type="parTrans" cxnId="{421FA8EA-55B7-4FDF-8C94-A6BDBE174CB4}">
      <dgm:prSet/>
      <dgm:spPr/>
      <dgm:t>
        <a:bodyPr/>
        <a:lstStyle/>
        <a:p>
          <a:endParaRPr lang="en-US" sz="1100">
            <a:solidFill>
              <a:schemeClr val="tx1">
                <a:lumMod val="75000"/>
                <a:lumOff val="25000"/>
              </a:schemeClr>
            </a:solidFill>
          </a:endParaRPr>
        </a:p>
      </dgm:t>
    </dgm:pt>
    <dgm:pt modelId="{3A1E24AE-8C37-4977-A49F-7E655B85AF3B}" type="sibTrans" cxnId="{421FA8EA-55B7-4FDF-8C94-A6BDBE174CB4}">
      <dgm:prSet/>
      <dgm:spPr/>
      <dgm:t>
        <a:bodyPr/>
        <a:lstStyle/>
        <a:p>
          <a:endParaRPr lang="en-US" sz="1100">
            <a:solidFill>
              <a:schemeClr val="tx1">
                <a:lumMod val="75000"/>
                <a:lumOff val="25000"/>
              </a:schemeClr>
            </a:solidFill>
          </a:endParaRPr>
        </a:p>
      </dgm:t>
    </dgm:pt>
    <dgm:pt modelId="{DB1288DD-481D-49CA-8DA6-DA1E2DE8F07A}">
      <dgm:prSet custT="1"/>
      <dgm:spPr>
        <a:xfrm>
          <a:off x="1451159" y="4885973"/>
          <a:ext cx="7688814" cy="1786789"/>
        </a:xfrm>
        <a:solidFill>
          <a:srgbClr val="D092A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274320">
            <a:lnSpc>
              <a:spcPct val="100000"/>
            </a:lnSpc>
            <a:spcAft>
              <a:spcPts val="0"/>
            </a:spcAft>
          </a:pPr>
          <a:r>
            <a:rPr lang="en-US" sz="1000">
              <a:solidFill>
                <a:sysClr val="windowText" lastClr="000000">
                  <a:lumMod val="75000"/>
                  <a:lumOff val="25000"/>
                </a:sysClr>
              </a:solidFill>
              <a:latin typeface="Calibri" panose="020F0502020204030204"/>
              <a:ea typeface="+mn-ea"/>
              <a:cs typeface="+mn-cs"/>
            </a:rPr>
            <a:t>Applicable law otherwise mandates the disclosure.</a:t>
          </a:r>
        </a:p>
      </dgm:t>
    </dgm:pt>
    <dgm:pt modelId="{C9C88CC2-9D09-49A1-8305-B4F1E2923E29}" type="parTrans" cxnId="{9BC84B7F-EEAF-4BB6-B067-7169A61AEE07}">
      <dgm:prSet/>
      <dgm:spPr/>
      <dgm:t>
        <a:bodyPr/>
        <a:lstStyle/>
        <a:p>
          <a:endParaRPr lang="en-US" sz="1100">
            <a:solidFill>
              <a:schemeClr val="tx1">
                <a:lumMod val="75000"/>
                <a:lumOff val="25000"/>
              </a:schemeClr>
            </a:solidFill>
          </a:endParaRPr>
        </a:p>
      </dgm:t>
    </dgm:pt>
    <dgm:pt modelId="{EEB58002-9A67-42FE-9FE2-DEDF52EB5705}" type="sibTrans" cxnId="{9BC84B7F-EEAF-4BB6-B067-7169A61AEE07}">
      <dgm:prSet/>
      <dgm:spPr/>
      <dgm:t>
        <a:bodyPr/>
        <a:lstStyle/>
        <a:p>
          <a:endParaRPr lang="en-US" sz="1100">
            <a:solidFill>
              <a:schemeClr val="tx1">
                <a:lumMod val="75000"/>
                <a:lumOff val="25000"/>
              </a:schemeClr>
            </a:solidFill>
          </a:endParaRPr>
        </a:p>
      </dgm:t>
    </dgm:pt>
    <dgm:pt modelId="{D225368A-C9A2-4365-B894-F1BB6A8B9AEA}">
      <dgm:prSet custT="1"/>
      <dgm:spPr>
        <a:xfrm>
          <a:off x="1451159" y="1787019"/>
          <a:ext cx="7688814" cy="3081622"/>
        </a:xfrm>
        <a:solidFill>
          <a:srgbClr val="809EC2">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274320">
            <a:lnSpc>
              <a:spcPct val="100000"/>
            </a:lnSpc>
            <a:spcAft>
              <a:spcPts val="0"/>
            </a:spcAft>
          </a:pPr>
          <a:r>
            <a:rPr lang="en-US" sz="1000">
              <a:solidFill>
                <a:sysClr val="windowText" lastClr="000000">
                  <a:lumMod val="75000"/>
                  <a:lumOff val="25000"/>
                </a:sysClr>
              </a:solidFill>
              <a:latin typeface="Calibri" panose="020F0502020204030204"/>
              <a:ea typeface="+mn-ea"/>
              <a:cs typeface="+mn-cs"/>
            </a:rPr>
            <a:t>The </a:t>
          </a:r>
          <a:r>
            <a:rPr lang="en-US" sz="1000" b="1">
              <a:solidFill>
                <a:srgbClr val="8162AE"/>
              </a:solidFill>
              <a:latin typeface="Calibri" panose="020F0502020204030204"/>
              <a:ea typeface="+mn-ea"/>
              <a:cs typeface="+mn-cs"/>
            </a:rPr>
            <a:t>VAWA Certification Form</a:t>
          </a:r>
          <a:r>
            <a:rPr lang="en-US" sz="1000">
              <a:solidFill>
                <a:sysClr val="windowText" lastClr="000000">
                  <a:lumMod val="75000"/>
                  <a:lumOff val="25000"/>
                </a:sysClr>
              </a:solidFill>
              <a:latin typeface="Calibri" panose="020F0502020204030204"/>
              <a:ea typeface="+mn-ea"/>
              <a:cs typeface="+mn-cs"/>
            </a:rPr>
            <a:t>, which:</a:t>
          </a:r>
        </a:p>
      </dgm:t>
    </dgm:pt>
    <dgm:pt modelId="{18EA7A65-F048-4495-A2A3-8DD61FF08D78}" type="parTrans" cxnId="{95E6BF1F-F068-4CEB-B2B0-0CB6E00ED214}">
      <dgm:prSet/>
      <dgm:spPr/>
      <dgm:t>
        <a:bodyPr/>
        <a:lstStyle/>
        <a:p>
          <a:endParaRPr lang="en-US" sz="1100">
            <a:solidFill>
              <a:schemeClr val="tx1">
                <a:lumMod val="75000"/>
                <a:lumOff val="25000"/>
              </a:schemeClr>
            </a:solidFill>
          </a:endParaRPr>
        </a:p>
      </dgm:t>
    </dgm:pt>
    <dgm:pt modelId="{108810B6-49A9-467C-A391-119C7CD0BA0D}" type="sibTrans" cxnId="{95E6BF1F-F068-4CEB-B2B0-0CB6E00ED214}">
      <dgm:prSet/>
      <dgm:spPr/>
      <dgm:t>
        <a:bodyPr/>
        <a:lstStyle/>
        <a:p>
          <a:endParaRPr lang="en-US" sz="1100">
            <a:solidFill>
              <a:schemeClr val="tx1">
                <a:lumMod val="75000"/>
                <a:lumOff val="25000"/>
              </a:schemeClr>
            </a:solidFill>
          </a:endParaRPr>
        </a:p>
      </dgm:t>
    </dgm:pt>
    <dgm:pt modelId="{102B3B59-86BC-4248-913E-1544C173755F}">
      <dgm:prSet custT="1"/>
      <dgm:spPr>
        <a:xfrm>
          <a:off x="1451159" y="1787019"/>
          <a:ext cx="7688814" cy="3081622"/>
        </a:xfrm>
        <a:solidFill>
          <a:srgbClr val="809EC2">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274320">
            <a:lnSpc>
              <a:spcPct val="100000"/>
            </a:lnSpc>
            <a:spcAft>
              <a:spcPts val="0"/>
            </a:spcAft>
          </a:pPr>
          <a:r>
            <a:rPr lang="en-US" sz="1000">
              <a:solidFill>
                <a:sysClr val="windowText" lastClr="000000">
                  <a:lumMod val="75000"/>
                  <a:lumOff val="25000"/>
                </a:sysClr>
              </a:solidFill>
              <a:latin typeface="Calibri" panose="020F0502020204030204"/>
              <a:ea typeface="+mn-ea"/>
              <a:cs typeface="+mn-cs"/>
            </a:rPr>
            <a:t>A document:</a:t>
          </a:r>
        </a:p>
      </dgm:t>
    </dgm:pt>
    <dgm:pt modelId="{0413E495-1AE6-4BF0-BB02-146F9DAB677D}" type="parTrans" cxnId="{69332C08-4B9B-45C4-8F8F-35F2E22D2D08}">
      <dgm:prSet/>
      <dgm:spPr/>
      <dgm:t>
        <a:bodyPr/>
        <a:lstStyle/>
        <a:p>
          <a:endParaRPr lang="en-US" sz="1100">
            <a:solidFill>
              <a:schemeClr val="tx1">
                <a:lumMod val="75000"/>
                <a:lumOff val="25000"/>
              </a:schemeClr>
            </a:solidFill>
          </a:endParaRPr>
        </a:p>
      </dgm:t>
    </dgm:pt>
    <dgm:pt modelId="{1A7FF211-2F90-4C73-A447-1FA90C39B307}" type="sibTrans" cxnId="{69332C08-4B9B-45C4-8F8F-35F2E22D2D08}">
      <dgm:prSet/>
      <dgm:spPr/>
      <dgm:t>
        <a:bodyPr/>
        <a:lstStyle/>
        <a:p>
          <a:endParaRPr lang="en-US" sz="1100">
            <a:solidFill>
              <a:schemeClr val="tx1">
                <a:lumMod val="75000"/>
                <a:lumOff val="25000"/>
              </a:schemeClr>
            </a:solidFill>
          </a:endParaRPr>
        </a:p>
      </dgm:t>
    </dgm:pt>
    <dgm:pt modelId="{17AA838D-A792-4BA3-82C3-A8E33C4399E9}">
      <dgm:prSet custT="1"/>
      <dgm:spPr>
        <a:xfrm>
          <a:off x="1451159" y="1787019"/>
          <a:ext cx="7688814" cy="3081622"/>
        </a:xfrm>
        <a:solidFill>
          <a:srgbClr val="809EC2">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457200">
            <a:lnSpc>
              <a:spcPct val="100000"/>
            </a:lnSpc>
            <a:spcAft>
              <a:spcPts val="0"/>
            </a:spcAft>
          </a:pPr>
          <a:r>
            <a:rPr lang="en-US" sz="1000">
              <a:solidFill>
                <a:sysClr val="windowText" lastClr="000000">
                  <a:lumMod val="75000"/>
                  <a:lumOff val="25000"/>
                </a:sysClr>
              </a:solidFill>
              <a:latin typeface="Calibri" panose="020F0502020204030204"/>
              <a:ea typeface="+mn-ea"/>
              <a:cs typeface="+mn-cs"/>
            </a:rPr>
            <a:t>Signed by an employee, agent, or volunteer of a survivor service provider, an attorney, or medical professional, or a mental health professional (collectively, “professional”) from whom the survivor has sought assistance relating to the incident or the effects of abuse;</a:t>
          </a:r>
        </a:p>
      </dgm:t>
    </dgm:pt>
    <dgm:pt modelId="{A58942F0-5C47-47B3-9A5F-450EA1CCA996}" type="parTrans" cxnId="{2EC56997-A94F-411F-92E1-E73CA1B5EC14}">
      <dgm:prSet/>
      <dgm:spPr/>
      <dgm:t>
        <a:bodyPr/>
        <a:lstStyle/>
        <a:p>
          <a:endParaRPr lang="en-US" sz="1100">
            <a:solidFill>
              <a:schemeClr val="tx1">
                <a:lumMod val="75000"/>
                <a:lumOff val="25000"/>
              </a:schemeClr>
            </a:solidFill>
          </a:endParaRPr>
        </a:p>
      </dgm:t>
    </dgm:pt>
    <dgm:pt modelId="{9C83AE59-0D73-4BBB-BB0D-04444E88FAED}" type="sibTrans" cxnId="{2EC56997-A94F-411F-92E1-E73CA1B5EC14}">
      <dgm:prSet/>
      <dgm:spPr/>
      <dgm:t>
        <a:bodyPr/>
        <a:lstStyle/>
        <a:p>
          <a:endParaRPr lang="en-US" sz="1100">
            <a:solidFill>
              <a:schemeClr val="tx1">
                <a:lumMod val="75000"/>
                <a:lumOff val="25000"/>
              </a:schemeClr>
            </a:solidFill>
          </a:endParaRPr>
        </a:p>
      </dgm:t>
    </dgm:pt>
    <dgm:pt modelId="{CBFA54EE-1C20-4655-9969-2FDC1C459A0A}">
      <dgm:prSet custT="1"/>
      <dgm:spPr>
        <a:xfrm>
          <a:off x="1451159" y="1787019"/>
          <a:ext cx="7688814" cy="3081622"/>
        </a:xfrm>
        <a:solidFill>
          <a:srgbClr val="809EC2">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457200">
            <a:lnSpc>
              <a:spcPct val="100000"/>
            </a:lnSpc>
            <a:spcAft>
              <a:spcPts val="0"/>
            </a:spcAft>
          </a:pPr>
          <a:r>
            <a:rPr lang="en-US" sz="1000">
              <a:solidFill>
                <a:sysClr val="windowText" lastClr="000000">
                  <a:lumMod val="75000"/>
                  <a:lumOff val="25000"/>
                </a:sysClr>
              </a:solidFill>
              <a:latin typeface="Calibri" panose="020F0502020204030204"/>
              <a:ea typeface="+mn-ea"/>
              <a:cs typeface="+mn-cs"/>
            </a:rPr>
            <a:t>Signed by the applicant or beneficiary; and</a:t>
          </a:r>
        </a:p>
      </dgm:t>
    </dgm:pt>
    <dgm:pt modelId="{930FE067-5271-49C3-B4F9-0AEC3ABF3CEB}" type="parTrans" cxnId="{4B4EDDDA-88E3-43B3-AEDD-822CB53C720A}">
      <dgm:prSet/>
      <dgm:spPr/>
      <dgm:t>
        <a:bodyPr/>
        <a:lstStyle/>
        <a:p>
          <a:endParaRPr lang="en-US" sz="1100">
            <a:solidFill>
              <a:schemeClr val="tx1">
                <a:lumMod val="75000"/>
                <a:lumOff val="25000"/>
              </a:schemeClr>
            </a:solidFill>
          </a:endParaRPr>
        </a:p>
      </dgm:t>
    </dgm:pt>
    <dgm:pt modelId="{2D80963C-AD0A-4544-9748-862BA9AAB7A4}" type="sibTrans" cxnId="{4B4EDDDA-88E3-43B3-AEDD-822CB53C720A}">
      <dgm:prSet/>
      <dgm:spPr/>
      <dgm:t>
        <a:bodyPr/>
        <a:lstStyle/>
        <a:p>
          <a:endParaRPr lang="en-US" sz="1100">
            <a:solidFill>
              <a:schemeClr val="tx1">
                <a:lumMod val="75000"/>
                <a:lumOff val="25000"/>
              </a:schemeClr>
            </a:solidFill>
          </a:endParaRPr>
        </a:p>
      </dgm:t>
    </dgm:pt>
    <dgm:pt modelId="{4491949A-5975-49AB-835E-162D3BBF8C18}">
      <dgm:prSet custT="1"/>
      <dgm:spPr>
        <a:xfrm>
          <a:off x="1451159" y="1787019"/>
          <a:ext cx="7688814" cy="3081622"/>
        </a:xfrm>
        <a:solidFill>
          <a:srgbClr val="809EC2">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457200">
            <a:lnSpc>
              <a:spcPct val="100000"/>
            </a:lnSpc>
            <a:spcAft>
              <a:spcPts val="0"/>
            </a:spcAft>
          </a:pPr>
          <a:r>
            <a:rPr lang="en-US" sz="1000">
              <a:solidFill>
                <a:sysClr val="windowText" lastClr="000000">
                  <a:lumMod val="75000"/>
                  <a:lumOff val="25000"/>
                </a:sysClr>
              </a:solidFill>
              <a:latin typeface="Calibri" panose="020F0502020204030204"/>
              <a:ea typeface="+mn-ea"/>
              <a:cs typeface="+mn-cs"/>
            </a:rPr>
            <a:t>That specifies, under penalty of perjury, that the professional believes the incident occurred, and that the incident meets the applicable definition of domestic violence, dating violence, sexual assault, or stalking; or</a:t>
          </a:r>
        </a:p>
      </dgm:t>
    </dgm:pt>
    <dgm:pt modelId="{9982B6A3-0BB1-45A2-BC59-99141AA0112E}" type="parTrans" cxnId="{F1ACCD8E-26BF-40B1-A5A0-5188BBF8BBB2}">
      <dgm:prSet/>
      <dgm:spPr/>
      <dgm:t>
        <a:bodyPr/>
        <a:lstStyle/>
        <a:p>
          <a:endParaRPr lang="en-US" sz="1100">
            <a:solidFill>
              <a:schemeClr val="tx1">
                <a:lumMod val="75000"/>
                <a:lumOff val="25000"/>
              </a:schemeClr>
            </a:solidFill>
          </a:endParaRPr>
        </a:p>
      </dgm:t>
    </dgm:pt>
    <dgm:pt modelId="{A8B10BD5-8868-430C-9978-128D03C8E8F2}" type="sibTrans" cxnId="{F1ACCD8E-26BF-40B1-A5A0-5188BBF8BBB2}">
      <dgm:prSet/>
      <dgm:spPr/>
      <dgm:t>
        <a:bodyPr/>
        <a:lstStyle/>
        <a:p>
          <a:endParaRPr lang="en-US" sz="1100">
            <a:solidFill>
              <a:schemeClr val="tx1">
                <a:lumMod val="75000"/>
                <a:lumOff val="25000"/>
              </a:schemeClr>
            </a:solidFill>
          </a:endParaRPr>
        </a:p>
      </dgm:t>
    </dgm:pt>
    <dgm:pt modelId="{06A29FBD-C0FA-407F-A565-1CF3472D9584}">
      <dgm:prSet custT="1"/>
      <dgm:spPr>
        <a:xfrm>
          <a:off x="1451159" y="1787019"/>
          <a:ext cx="7688814" cy="3081622"/>
        </a:xfrm>
        <a:solidFill>
          <a:srgbClr val="809EC2">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274320">
            <a:lnSpc>
              <a:spcPct val="100000"/>
            </a:lnSpc>
            <a:spcAft>
              <a:spcPts val="0"/>
            </a:spcAft>
          </a:pPr>
          <a:r>
            <a:rPr lang="en-US" sz="1000">
              <a:solidFill>
                <a:sysClr val="windowText" lastClr="000000">
                  <a:lumMod val="75000"/>
                  <a:lumOff val="25000"/>
                </a:sysClr>
              </a:solidFill>
              <a:latin typeface="Calibri" panose="020F0502020204030204"/>
              <a:ea typeface="+mn-ea"/>
              <a:cs typeface="+mn-cs"/>
            </a:rPr>
            <a:t>A record of a Federal, State, tribal, territorial or local law enforcement agency, court, or administrative agency; or</a:t>
          </a:r>
        </a:p>
      </dgm:t>
    </dgm:pt>
    <dgm:pt modelId="{56DD6E1B-2EBF-4435-B8DE-89181B40092E}" type="parTrans" cxnId="{97D4E8CB-817E-4D82-83C1-F9498FD97E5C}">
      <dgm:prSet/>
      <dgm:spPr/>
      <dgm:t>
        <a:bodyPr/>
        <a:lstStyle/>
        <a:p>
          <a:endParaRPr lang="en-US" sz="1100">
            <a:solidFill>
              <a:schemeClr val="tx1">
                <a:lumMod val="75000"/>
                <a:lumOff val="25000"/>
              </a:schemeClr>
            </a:solidFill>
          </a:endParaRPr>
        </a:p>
      </dgm:t>
    </dgm:pt>
    <dgm:pt modelId="{E070ABF4-3BE3-4532-865A-D224B418F435}" type="sibTrans" cxnId="{97D4E8CB-817E-4D82-83C1-F9498FD97E5C}">
      <dgm:prSet/>
      <dgm:spPr/>
      <dgm:t>
        <a:bodyPr/>
        <a:lstStyle/>
        <a:p>
          <a:endParaRPr lang="en-US" sz="1100">
            <a:solidFill>
              <a:schemeClr val="tx1">
                <a:lumMod val="75000"/>
                <a:lumOff val="25000"/>
              </a:schemeClr>
            </a:solidFill>
          </a:endParaRPr>
        </a:p>
      </dgm:t>
    </dgm:pt>
    <dgm:pt modelId="{3A180E47-E91B-4FEE-8204-5BD2C3B3A271}">
      <dgm:prSet custT="1"/>
      <dgm:spPr>
        <a:xfrm>
          <a:off x="1451159" y="1787019"/>
          <a:ext cx="7688814" cy="3081622"/>
        </a:xfrm>
        <a:solidFill>
          <a:srgbClr val="809EC2">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274320">
            <a:lnSpc>
              <a:spcPct val="100000"/>
            </a:lnSpc>
            <a:spcAft>
              <a:spcPts val="0"/>
            </a:spcAft>
          </a:pPr>
          <a:r>
            <a:rPr lang="en-US" sz="1000">
              <a:solidFill>
                <a:sysClr val="windowText" lastClr="000000">
                  <a:lumMod val="75000"/>
                  <a:lumOff val="25000"/>
                </a:sysClr>
              </a:solidFill>
              <a:latin typeface="Calibri" panose="020F0502020204030204"/>
              <a:ea typeface="+mn-ea"/>
              <a:cs typeface="+mn-cs"/>
            </a:rPr>
            <a:t>At the Project Sponsor's discretion, a statement or other evidence provided by the applicant or beneficiary.</a:t>
          </a:r>
        </a:p>
      </dgm:t>
    </dgm:pt>
    <dgm:pt modelId="{CBC16CF9-4849-458B-870F-6EE41825FCC9}" type="parTrans" cxnId="{88E7B523-6C4C-4A29-A91E-6966321D013F}">
      <dgm:prSet/>
      <dgm:spPr/>
      <dgm:t>
        <a:bodyPr/>
        <a:lstStyle/>
        <a:p>
          <a:endParaRPr lang="en-US" sz="1100">
            <a:solidFill>
              <a:schemeClr val="tx1">
                <a:lumMod val="75000"/>
                <a:lumOff val="25000"/>
              </a:schemeClr>
            </a:solidFill>
          </a:endParaRPr>
        </a:p>
      </dgm:t>
    </dgm:pt>
    <dgm:pt modelId="{6546ACFE-5FA5-4177-BB7D-87A5CFA3EE4C}" type="sibTrans" cxnId="{88E7B523-6C4C-4A29-A91E-6966321D013F}">
      <dgm:prSet/>
      <dgm:spPr/>
      <dgm:t>
        <a:bodyPr/>
        <a:lstStyle/>
        <a:p>
          <a:endParaRPr lang="en-US" sz="1100">
            <a:solidFill>
              <a:schemeClr val="tx1">
                <a:lumMod val="75000"/>
                <a:lumOff val="25000"/>
              </a:schemeClr>
            </a:solidFill>
          </a:endParaRPr>
        </a:p>
      </dgm:t>
    </dgm:pt>
    <dgm:pt modelId="{03FE4DCF-A6E9-4730-A846-DF045039391D}">
      <dgm:prSet custT="1"/>
      <dgm:spPr>
        <a:xfrm>
          <a:off x="1451159" y="1787019"/>
          <a:ext cx="7688814" cy="3081622"/>
        </a:xfrm>
        <a:solidFill>
          <a:srgbClr val="809EC2">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57150">
            <a:lnSpc>
              <a:spcPct val="100000"/>
            </a:lnSpc>
            <a:spcAft>
              <a:spcPts val="0"/>
            </a:spcAft>
          </a:pPr>
          <a:r>
            <a:rPr lang="en-US" sz="1000">
              <a:solidFill>
                <a:sysClr val="windowText" lastClr="000000">
                  <a:lumMod val="75000"/>
                  <a:lumOff val="25000"/>
                </a:sysClr>
              </a:solidFill>
              <a:latin typeface="Calibri" panose="020F0502020204030204"/>
              <a:ea typeface="+mn-ea"/>
              <a:cs typeface="+mn-cs"/>
            </a:rPr>
            <a:t>If a Project Sponsor receives documentation that contains conflicting information (including Certification Forms from two or more beneficiaries of a household each claiming to be the survivor and naming another beneficiary as the accused perpetrator), the Project Sponsor may require an applicant or beneficiary to submit third-party documentation, as described above, within 30 calendar days of the date of the request for the third-party documentation.</a:t>
          </a:r>
        </a:p>
      </dgm:t>
    </dgm:pt>
    <dgm:pt modelId="{FF5558B6-7FC1-4C11-9CC1-373079BA115E}" type="parTrans" cxnId="{272DDA23-088E-42C3-89B9-ACD235B8CD81}">
      <dgm:prSet/>
      <dgm:spPr/>
      <dgm:t>
        <a:bodyPr/>
        <a:lstStyle/>
        <a:p>
          <a:endParaRPr lang="en-US" sz="1100">
            <a:solidFill>
              <a:schemeClr val="tx1">
                <a:lumMod val="75000"/>
                <a:lumOff val="25000"/>
              </a:schemeClr>
            </a:solidFill>
          </a:endParaRPr>
        </a:p>
      </dgm:t>
    </dgm:pt>
    <dgm:pt modelId="{17BDF639-0420-4BE1-B800-7530E5D5C949}" type="sibTrans" cxnId="{272DDA23-088E-42C3-89B9-ACD235B8CD81}">
      <dgm:prSet/>
      <dgm:spPr/>
      <dgm:t>
        <a:bodyPr/>
        <a:lstStyle/>
        <a:p>
          <a:endParaRPr lang="en-US" sz="1100">
            <a:solidFill>
              <a:schemeClr val="tx1">
                <a:lumMod val="75000"/>
                <a:lumOff val="25000"/>
              </a:schemeClr>
            </a:solidFill>
          </a:endParaRPr>
        </a:p>
      </dgm:t>
    </dgm:pt>
    <dgm:pt modelId="{6125E05D-DE5D-4791-87D2-3CDE0BC95E27}">
      <dgm:prSet custT="1"/>
      <dgm:spPr>
        <a:xfrm>
          <a:off x="1451159" y="2356"/>
          <a:ext cx="7688814" cy="1767330"/>
        </a:xfrm>
        <a:solidFill>
          <a:srgbClr val="E7BC29">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57150">
            <a:lnSpc>
              <a:spcPct val="100000"/>
            </a:lnSpc>
            <a:spcAft>
              <a:spcPts val="0"/>
            </a:spcAft>
          </a:pPr>
          <a:r>
            <a:rPr lang="en-US" sz="1000">
              <a:solidFill>
                <a:sysClr val="windowText" lastClr="000000">
                  <a:lumMod val="75000"/>
                  <a:lumOff val="25000"/>
                </a:sysClr>
              </a:solidFill>
              <a:latin typeface="Calibri" panose="020F0502020204030204"/>
              <a:ea typeface="+mn-ea"/>
              <a:cs typeface="+mn-cs"/>
            </a:rPr>
            <a:t>If an applicant or beneficiary does not provide the requested documentation within 14 business days after the date they receive the request in writing, the Project Sponsor may:</a:t>
          </a:r>
        </a:p>
      </dgm:t>
    </dgm:pt>
    <dgm:pt modelId="{713B665B-27E7-4490-A011-30A88A977A95}" type="parTrans" cxnId="{145E77B2-6248-4043-89B9-A82B7CCBDDBE}">
      <dgm:prSet/>
      <dgm:spPr/>
      <dgm:t>
        <a:bodyPr/>
        <a:lstStyle/>
        <a:p>
          <a:endParaRPr lang="en-US" sz="1100">
            <a:solidFill>
              <a:schemeClr val="tx1">
                <a:lumMod val="75000"/>
                <a:lumOff val="25000"/>
              </a:schemeClr>
            </a:solidFill>
          </a:endParaRPr>
        </a:p>
      </dgm:t>
    </dgm:pt>
    <dgm:pt modelId="{F4627D69-4B1D-4FDA-9D06-9E705A1D254E}" type="sibTrans" cxnId="{145E77B2-6248-4043-89B9-A82B7CCBDDBE}">
      <dgm:prSet/>
      <dgm:spPr/>
      <dgm:t>
        <a:bodyPr/>
        <a:lstStyle/>
        <a:p>
          <a:endParaRPr lang="en-US" sz="1100">
            <a:solidFill>
              <a:schemeClr val="tx1">
                <a:lumMod val="75000"/>
                <a:lumOff val="25000"/>
              </a:schemeClr>
            </a:solidFill>
          </a:endParaRPr>
        </a:p>
      </dgm:t>
    </dgm:pt>
    <dgm:pt modelId="{06573BBD-EBAD-4B5E-9F0E-1C41B99A573D}">
      <dgm:prSet custT="1"/>
      <dgm:spPr>
        <a:xfrm>
          <a:off x="1451159" y="2356"/>
          <a:ext cx="7688814" cy="1767330"/>
        </a:xfrm>
        <a:solidFill>
          <a:srgbClr val="E7BC29">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274320">
            <a:lnSpc>
              <a:spcPct val="100000"/>
            </a:lnSpc>
            <a:spcAft>
              <a:spcPts val="0"/>
            </a:spcAft>
          </a:pPr>
          <a:r>
            <a:rPr lang="en-US" sz="1000">
              <a:solidFill>
                <a:sysClr val="windowText" lastClr="000000">
                  <a:lumMod val="75000"/>
                  <a:lumOff val="25000"/>
                </a:sysClr>
              </a:solidFill>
              <a:latin typeface="Calibri" panose="020F0502020204030204"/>
              <a:ea typeface="+mn-ea"/>
              <a:cs typeface="+mn-cs"/>
            </a:rPr>
            <a:t>Deny admission by the applicant or beneficiary to the DSHS HOPWA Program;</a:t>
          </a:r>
        </a:p>
      </dgm:t>
    </dgm:pt>
    <dgm:pt modelId="{230F6B62-D106-4CDC-9AC1-8C8210F20AED}" type="parTrans" cxnId="{B4AF6883-C6CB-4ADE-9C73-C48EDDB0B431}">
      <dgm:prSet/>
      <dgm:spPr/>
      <dgm:t>
        <a:bodyPr/>
        <a:lstStyle/>
        <a:p>
          <a:endParaRPr lang="en-US" sz="1100">
            <a:solidFill>
              <a:schemeClr val="tx1">
                <a:lumMod val="75000"/>
                <a:lumOff val="25000"/>
              </a:schemeClr>
            </a:solidFill>
          </a:endParaRPr>
        </a:p>
      </dgm:t>
    </dgm:pt>
    <dgm:pt modelId="{35CF8174-FF98-4EDA-A9F2-CE41D0E045C3}" type="sibTrans" cxnId="{B4AF6883-C6CB-4ADE-9C73-C48EDDB0B431}">
      <dgm:prSet/>
      <dgm:spPr/>
      <dgm:t>
        <a:bodyPr/>
        <a:lstStyle/>
        <a:p>
          <a:endParaRPr lang="en-US" sz="1100">
            <a:solidFill>
              <a:schemeClr val="tx1">
                <a:lumMod val="75000"/>
                <a:lumOff val="25000"/>
              </a:schemeClr>
            </a:solidFill>
          </a:endParaRPr>
        </a:p>
      </dgm:t>
    </dgm:pt>
    <dgm:pt modelId="{DE603B70-72A1-4058-BD54-EB46648ECAC2}">
      <dgm:prSet custT="1"/>
      <dgm:spPr>
        <a:xfrm>
          <a:off x="1451159" y="2356"/>
          <a:ext cx="7688814" cy="1767330"/>
        </a:xfrm>
        <a:solidFill>
          <a:srgbClr val="E7BC29">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274320">
            <a:lnSpc>
              <a:spcPct val="100000"/>
            </a:lnSpc>
            <a:spcAft>
              <a:spcPts val="0"/>
            </a:spcAft>
          </a:pPr>
          <a:r>
            <a:rPr lang="en-US" sz="1000">
              <a:solidFill>
                <a:sysClr val="windowText" lastClr="000000">
                  <a:lumMod val="75000"/>
                  <a:lumOff val="25000"/>
                </a:sysClr>
              </a:solidFill>
              <a:latin typeface="Calibri" panose="020F0502020204030204"/>
              <a:ea typeface="+mn-ea"/>
              <a:cs typeface="+mn-cs"/>
            </a:rPr>
            <a:t>Deny housing assistance and supportive services to the applicant or beneficiary;</a:t>
          </a:r>
        </a:p>
      </dgm:t>
    </dgm:pt>
    <dgm:pt modelId="{0286E35E-7949-4E3E-9E75-B19CB17D8D5E}" type="parTrans" cxnId="{55CFE61C-A861-4808-87D3-B68555EE954B}">
      <dgm:prSet/>
      <dgm:spPr/>
      <dgm:t>
        <a:bodyPr/>
        <a:lstStyle/>
        <a:p>
          <a:endParaRPr lang="en-US" sz="1100">
            <a:solidFill>
              <a:schemeClr val="tx1">
                <a:lumMod val="75000"/>
                <a:lumOff val="25000"/>
              </a:schemeClr>
            </a:solidFill>
          </a:endParaRPr>
        </a:p>
      </dgm:t>
    </dgm:pt>
    <dgm:pt modelId="{A0BA4ED8-81AC-4732-89BE-EBA6E7C41191}" type="sibTrans" cxnId="{55CFE61C-A861-4808-87D3-B68555EE954B}">
      <dgm:prSet/>
      <dgm:spPr/>
      <dgm:t>
        <a:bodyPr/>
        <a:lstStyle/>
        <a:p>
          <a:endParaRPr lang="en-US" sz="1100">
            <a:solidFill>
              <a:schemeClr val="tx1">
                <a:lumMod val="75000"/>
                <a:lumOff val="25000"/>
              </a:schemeClr>
            </a:solidFill>
          </a:endParaRPr>
        </a:p>
      </dgm:t>
    </dgm:pt>
    <dgm:pt modelId="{CC5E7121-3588-4E2A-AE1A-3B49B543BC0A}">
      <dgm:prSet custT="1"/>
      <dgm:spPr>
        <a:xfrm>
          <a:off x="1451159" y="2356"/>
          <a:ext cx="7688814" cy="1767330"/>
        </a:xfrm>
        <a:solidFill>
          <a:srgbClr val="E7BC29">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274320">
            <a:lnSpc>
              <a:spcPct val="100000"/>
            </a:lnSpc>
            <a:spcAft>
              <a:spcPts val="0"/>
            </a:spcAft>
          </a:pPr>
          <a:r>
            <a:rPr lang="en-US" sz="1000">
              <a:solidFill>
                <a:sysClr val="windowText" lastClr="000000">
                  <a:lumMod val="75000"/>
                  <a:lumOff val="25000"/>
                </a:sysClr>
              </a:solidFill>
              <a:latin typeface="Calibri" panose="020F0502020204030204"/>
              <a:ea typeface="+mn-ea"/>
              <a:cs typeface="+mn-cs"/>
            </a:rPr>
            <a:t>Terminate the participation of the beneficiary in the DSHS HOPWA Program; or</a:t>
          </a:r>
        </a:p>
      </dgm:t>
    </dgm:pt>
    <dgm:pt modelId="{6226D699-4B68-40E3-A976-39B420E31267}" type="parTrans" cxnId="{FE1ACD15-BD2A-45C9-9CF6-28DA3F4A17CF}">
      <dgm:prSet/>
      <dgm:spPr/>
      <dgm:t>
        <a:bodyPr/>
        <a:lstStyle/>
        <a:p>
          <a:endParaRPr lang="en-US" sz="1100">
            <a:solidFill>
              <a:schemeClr val="tx1">
                <a:lumMod val="75000"/>
                <a:lumOff val="25000"/>
              </a:schemeClr>
            </a:solidFill>
          </a:endParaRPr>
        </a:p>
      </dgm:t>
    </dgm:pt>
    <dgm:pt modelId="{E6501B8D-A3C3-4654-A435-A138BD4D773D}" type="sibTrans" cxnId="{FE1ACD15-BD2A-45C9-9CF6-28DA3F4A17CF}">
      <dgm:prSet/>
      <dgm:spPr/>
      <dgm:t>
        <a:bodyPr/>
        <a:lstStyle/>
        <a:p>
          <a:endParaRPr lang="en-US" sz="1100">
            <a:solidFill>
              <a:schemeClr val="tx1">
                <a:lumMod val="75000"/>
                <a:lumOff val="25000"/>
              </a:schemeClr>
            </a:solidFill>
          </a:endParaRPr>
        </a:p>
      </dgm:t>
    </dgm:pt>
    <dgm:pt modelId="{7EC0E29A-1EAA-446E-8F8F-E73D51CF5A08}">
      <dgm:prSet custT="1"/>
      <dgm:spPr>
        <a:xfrm>
          <a:off x="1451159" y="2356"/>
          <a:ext cx="7688814" cy="1767330"/>
        </a:xfrm>
        <a:solidFill>
          <a:srgbClr val="E7BC29">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274320">
            <a:lnSpc>
              <a:spcPct val="100000"/>
            </a:lnSpc>
            <a:spcAft>
              <a:spcPts val="0"/>
            </a:spcAft>
          </a:pPr>
          <a:r>
            <a:rPr lang="en-US" sz="1000">
              <a:solidFill>
                <a:sysClr val="windowText" lastClr="000000">
                  <a:lumMod val="75000"/>
                  <a:lumOff val="25000"/>
                </a:sysClr>
              </a:solidFill>
              <a:latin typeface="Calibri" panose="020F0502020204030204"/>
              <a:ea typeface="+mn-ea"/>
              <a:cs typeface="+mn-cs"/>
            </a:rPr>
            <a:t>At the Project Sponsor's discretion, extend the 14-business-day deadline.</a:t>
          </a:r>
        </a:p>
      </dgm:t>
    </dgm:pt>
    <dgm:pt modelId="{3CA28546-BC1A-4F99-8790-F2E3A76A4B74}" type="parTrans" cxnId="{E865D1BC-860E-414A-B28D-7B8677424F2E}">
      <dgm:prSet/>
      <dgm:spPr/>
      <dgm:t>
        <a:bodyPr/>
        <a:lstStyle/>
        <a:p>
          <a:endParaRPr lang="en-US" sz="1100">
            <a:solidFill>
              <a:schemeClr val="tx1">
                <a:lumMod val="75000"/>
                <a:lumOff val="25000"/>
              </a:schemeClr>
            </a:solidFill>
          </a:endParaRPr>
        </a:p>
      </dgm:t>
    </dgm:pt>
    <dgm:pt modelId="{D24BB188-E28B-4132-846D-8C07F7A1CCED}" type="sibTrans" cxnId="{E865D1BC-860E-414A-B28D-7B8677424F2E}">
      <dgm:prSet/>
      <dgm:spPr/>
      <dgm:t>
        <a:bodyPr/>
        <a:lstStyle/>
        <a:p>
          <a:endParaRPr lang="en-US" sz="1100">
            <a:solidFill>
              <a:schemeClr val="tx1">
                <a:lumMod val="75000"/>
                <a:lumOff val="25000"/>
              </a:schemeClr>
            </a:solidFill>
          </a:endParaRPr>
        </a:p>
      </dgm:t>
    </dgm:pt>
    <dgm:pt modelId="{D4774806-809B-48DD-802D-4B313DD7D0E3}">
      <dgm:prSet custT="1"/>
      <dgm:spPr>
        <a:xfrm>
          <a:off x="1451159" y="1787019"/>
          <a:ext cx="7688814" cy="3081622"/>
        </a:xfrm>
        <a:solidFill>
          <a:srgbClr val="809EC2">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457200">
            <a:lnSpc>
              <a:spcPct val="100000"/>
            </a:lnSpc>
            <a:spcAft>
              <a:spcPts val="0"/>
            </a:spcAft>
          </a:pPr>
          <a:r>
            <a:rPr lang="en-US" sz="1000">
              <a:solidFill>
                <a:sysClr val="windowText" lastClr="000000">
                  <a:lumMod val="75000"/>
                  <a:lumOff val="25000"/>
                </a:sysClr>
              </a:solidFill>
              <a:latin typeface="Calibri" panose="020F0502020204030204"/>
              <a:ea typeface="+mn-ea"/>
              <a:cs typeface="+mn-cs"/>
            </a:rPr>
            <a:t>States that the applicant or beneficiary survived an incident of domestic violence, dating violence, sexual assault, or stalking;</a:t>
          </a:r>
        </a:p>
      </dgm:t>
    </dgm:pt>
    <dgm:pt modelId="{54F16342-6DAD-40A2-8907-E994FE251E07}" type="parTrans" cxnId="{0AC6CE9F-59F2-4E2C-804D-22BC9AA743EC}">
      <dgm:prSet/>
      <dgm:spPr/>
      <dgm:t>
        <a:bodyPr/>
        <a:lstStyle/>
        <a:p>
          <a:endParaRPr lang="en-US" sz="1100">
            <a:solidFill>
              <a:schemeClr val="tx1">
                <a:lumMod val="75000"/>
                <a:lumOff val="25000"/>
              </a:schemeClr>
            </a:solidFill>
          </a:endParaRPr>
        </a:p>
      </dgm:t>
    </dgm:pt>
    <dgm:pt modelId="{80E77C98-3DD7-46AF-8A50-A9C8C1513864}" type="sibTrans" cxnId="{0AC6CE9F-59F2-4E2C-804D-22BC9AA743EC}">
      <dgm:prSet/>
      <dgm:spPr/>
      <dgm:t>
        <a:bodyPr/>
        <a:lstStyle/>
        <a:p>
          <a:endParaRPr lang="en-US" sz="1100">
            <a:solidFill>
              <a:schemeClr val="tx1">
                <a:lumMod val="75000"/>
                <a:lumOff val="25000"/>
              </a:schemeClr>
            </a:solidFill>
          </a:endParaRPr>
        </a:p>
      </dgm:t>
    </dgm:pt>
    <dgm:pt modelId="{13E64CB1-0F73-4712-8DE4-DB39142A4F23}">
      <dgm:prSet custT="1"/>
      <dgm:spPr>
        <a:xfrm>
          <a:off x="1451159" y="1787019"/>
          <a:ext cx="7688814" cy="3081622"/>
        </a:xfrm>
        <a:solidFill>
          <a:srgbClr val="809EC2">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457200">
            <a:lnSpc>
              <a:spcPct val="100000"/>
            </a:lnSpc>
            <a:spcAft>
              <a:spcPts val="0"/>
            </a:spcAft>
          </a:pPr>
          <a:r>
            <a:rPr lang="en-US" sz="1000">
              <a:solidFill>
                <a:sysClr val="windowText" lastClr="000000">
                  <a:lumMod val="75000"/>
                  <a:lumOff val="25000"/>
                </a:sysClr>
              </a:solidFill>
              <a:latin typeface="Calibri" panose="020F0502020204030204"/>
              <a:ea typeface="+mn-ea"/>
              <a:cs typeface="+mn-cs"/>
            </a:rPr>
            <a:t>Describes the incident; and</a:t>
          </a:r>
        </a:p>
      </dgm:t>
    </dgm:pt>
    <dgm:pt modelId="{215AB36F-0580-4EF0-B7D3-E0EFC3845E34}" type="parTrans" cxnId="{8E127D3F-2DBB-40B5-A3CB-AAF1613E0148}">
      <dgm:prSet/>
      <dgm:spPr/>
      <dgm:t>
        <a:bodyPr/>
        <a:lstStyle/>
        <a:p>
          <a:endParaRPr lang="en-US" sz="1100">
            <a:solidFill>
              <a:schemeClr val="tx1">
                <a:lumMod val="75000"/>
                <a:lumOff val="25000"/>
              </a:schemeClr>
            </a:solidFill>
          </a:endParaRPr>
        </a:p>
      </dgm:t>
    </dgm:pt>
    <dgm:pt modelId="{5FE2349E-096D-4DB0-99FD-8D018F634B65}" type="sibTrans" cxnId="{8E127D3F-2DBB-40B5-A3CB-AAF1613E0148}">
      <dgm:prSet/>
      <dgm:spPr/>
      <dgm:t>
        <a:bodyPr/>
        <a:lstStyle/>
        <a:p>
          <a:endParaRPr lang="en-US" sz="1100">
            <a:solidFill>
              <a:schemeClr val="tx1">
                <a:lumMod val="75000"/>
                <a:lumOff val="25000"/>
              </a:schemeClr>
            </a:solidFill>
          </a:endParaRPr>
        </a:p>
      </dgm:t>
    </dgm:pt>
    <dgm:pt modelId="{2AD5C1A5-97D2-4FE1-8650-396AFCD6EAAA}">
      <dgm:prSet custT="1"/>
      <dgm:spPr>
        <a:xfrm>
          <a:off x="1451159" y="1787019"/>
          <a:ext cx="7688814" cy="3081622"/>
        </a:xfrm>
        <a:solidFill>
          <a:srgbClr val="809EC2">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457200">
            <a:lnSpc>
              <a:spcPct val="100000"/>
            </a:lnSpc>
            <a:spcAft>
              <a:spcPts val="0"/>
            </a:spcAft>
          </a:pPr>
          <a:r>
            <a:rPr lang="en-US" sz="1000">
              <a:solidFill>
                <a:sysClr val="windowText" lastClr="000000">
                  <a:lumMod val="75000"/>
                  <a:lumOff val="25000"/>
                </a:sysClr>
              </a:solidFill>
              <a:latin typeface="Calibri" panose="020F0502020204030204"/>
              <a:ea typeface="+mn-ea"/>
              <a:cs typeface="+mn-cs"/>
            </a:rPr>
            <a:t>Includes the name of the accused perpetrator if known and safe to provide; or</a:t>
          </a:r>
        </a:p>
      </dgm:t>
    </dgm:pt>
    <dgm:pt modelId="{00FCDA5E-833D-46C6-BF23-DCC7273B870A}" type="parTrans" cxnId="{4FA4F195-C4C1-4E62-AC7F-A3F9EA613EF2}">
      <dgm:prSet/>
      <dgm:spPr/>
      <dgm:t>
        <a:bodyPr/>
        <a:lstStyle/>
        <a:p>
          <a:endParaRPr lang="en-US" sz="1100">
            <a:solidFill>
              <a:schemeClr val="tx1">
                <a:lumMod val="75000"/>
                <a:lumOff val="25000"/>
              </a:schemeClr>
            </a:solidFill>
          </a:endParaRPr>
        </a:p>
      </dgm:t>
    </dgm:pt>
    <dgm:pt modelId="{253A54BD-39C1-40F8-BE0E-21E98D722586}" type="sibTrans" cxnId="{4FA4F195-C4C1-4E62-AC7F-A3F9EA613EF2}">
      <dgm:prSet/>
      <dgm:spPr/>
      <dgm:t>
        <a:bodyPr/>
        <a:lstStyle/>
        <a:p>
          <a:endParaRPr lang="en-US" sz="1100">
            <a:solidFill>
              <a:schemeClr val="tx1">
                <a:lumMod val="75000"/>
                <a:lumOff val="25000"/>
              </a:schemeClr>
            </a:solidFill>
          </a:endParaRPr>
        </a:p>
      </dgm:t>
    </dgm:pt>
    <dgm:pt modelId="{1BA1972A-8A85-4BB4-96B2-D1EDECD862AC}">
      <dgm:prSet phldrT="[Text]" custT="1"/>
      <dgm:spPr>
        <a:xfrm>
          <a:off x="1451159" y="4885973"/>
          <a:ext cx="7688814" cy="1786789"/>
        </a:xfrm>
        <a:solidFill>
          <a:srgbClr val="D092A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57150">
            <a:lnSpc>
              <a:spcPct val="100000"/>
            </a:lnSpc>
            <a:spcAft>
              <a:spcPts val="0"/>
            </a:spcAft>
          </a:pPr>
          <a:r>
            <a:rPr lang="en-US" sz="1000">
              <a:solidFill>
                <a:sysClr val="windowText" lastClr="000000">
                  <a:lumMod val="75000"/>
                  <a:lumOff val="25000"/>
                </a:sysClr>
              </a:solidFill>
              <a:latin typeface="Calibri" panose="020F0502020204030204"/>
              <a:ea typeface="+mn-ea"/>
              <a:cs typeface="+mn-cs"/>
            </a:rPr>
            <a:t>Project Sponsors will not allow any staff to have access to confidential information unless explicitly authorized by the Project Sponsor for reasons that specifically call for these individuals to have access to this information under applicable Federal, State, or local law.</a:t>
          </a:r>
        </a:p>
      </dgm:t>
    </dgm:pt>
    <dgm:pt modelId="{A9B12371-1CF6-42B7-A814-7BFD4EE04A28}" type="parTrans" cxnId="{2D6AFA04-144E-4307-9B23-D1B09205AD2D}">
      <dgm:prSet/>
      <dgm:spPr/>
      <dgm:t>
        <a:bodyPr/>
        <a:lstStyle/>
        <a:p>
          <a:endParaRPr lang="en-US" sz="1100">
            <a:solidFill>
              <a:schemeClr val="tx1">
                <a:lumMod val="75000"/>
                <a:lumOff val="25000"/>
              </a:schemeClr>
            </a:solidFill>
          </a:endParaRPr>
        </a:p>
      </dgm:t>
    </dgm:pt>
    <dgm:pt modelId="{DA134F9D-937F-4A14-8D06-19254BD7905C}" type="sibTrans" cxnId="{2D6AFA04-144E-4307-9B23-D1B09205AD2D}">
      <dgm:prSet/>
      <dgm:spPr/>
      <dgm:t>
        <a:bodyPr/>
        <a:lstStyle/>
        <a:p>
          <a:endParaRPr lang="en-US" sz="1100">
            <a:solidFill>
              <a:schemeClr val="tx1">
                <a:lumMod val="75000"/>
                <a:lumOff val="25000"/>
              </a:schemeClr>
            </a:solidFill>
          </a:endParaRPr>
        </a:p>
      </dgm:t>
    </dgm:pt>
    <dgm:pt modelId="{348486B5-DF9E-4B19-BA6E-4744AEFB04D5}">
      <dgm:prSet phldrT="[Text]" custT="1"/>
      <dgm:spPr>
        <a:xfrm>
          <a:off x="1451159" y="2356"/>
          <a:ext cx="7688814" cy="1767330"/>
        </a:xfrm>
        <a:solidFill>
          <a:srgbClr val="E7BC29">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57150">
            <a:lnSpc>
              <a:spcPct val="100000"/>
            </a:lnSpc>
            <a:spcAft>
              <a:spcPts val="0"/>
            </a:spcAft>
          </a:pPr>
          <a:r>
            <a:rPr lang="en-US" sz="1000">
              <a:solidFill>
                <a:sysClr val="windowText" lastClr="000000">
                  <a:lumMod val="75000"/>
                  <a:lumOff val="25000"/>
                </a:sysClr>
              </a:solidFill>
              <a:latin typeface="Calibri" panose="020F0502020204030204"/>
              <a:ea typeface="+mn-ea"/>
              <a:cs typeface="+mn-cs"/>
            </a:rPr>
            <a:t>Project Sponsors do not need to request that an applicant or beneficiary submit documentation of survivor status.</a:t>
          </a:r>
        </a:p>
      </dgm:t>
    </dgm:pt>
    <dgm:pt modelId="{D1C3FF60-FAFD-4D9F-986F-63A722F95CC5}" type="parTrans" cxnId="{D3531917-CC3E-4E42-BF8D-459EB83323E5}">
      <dgm:prSet/>
      <dgm:spPr/>
      <dgm:t>
        <a:bodyPr/>
        <a:lstStyle/>
        <a:p>
          <a:endParaRPr lang="en-US">
            <a:solidFill>
              <a:schemeClr val="tx1">
                <a:lumMod val="75000"/>
                <a:lumOff val="25000"/>
              </a:schemeClr>
            </a:solidFill>
          </a:endParaRPr>
        </a:p>
      </dgm:t>
    </dgm:pt>
    <dgm:pt modelId="{3481C528-A8A9-4A9A-AF93-62E05B7FB00C}" type="sibTrans" cxnId="{D3531917-CC3E-4E42-BF8D-459EB83323E5}">
      <dgm:prSet/>
      <dgm:spPr/>
      <dgm:t>
        <a:bodyPr/>
        <a:lstStyle/>
        <a:p>
          <a:endParaRPr lang="en-US">
            <a:solidFill>
              <a:schemeClr val="tx1">
                <a:lumMod val="75000"/>
                <a:lumOff val="25000"/>
              </a:schemeClr>
            </a:solidFill>
          </a:endParaRPr>
        </a:p>
      </dgm:t>
    </dgm:pt>
    <dgm:pt modelId="{7E62A2B9-96CD-4439-ADC2-C3611A3B8864}">
      <dgm:prSet custT="1"/>
      <dgm:spPr>
        <a:xfrm>
          <a:off x="1451159" y="1787019"/>
          <a:ext cx="7688814" cy="3081622"/>
        </a:xfrm>
        <a:solidFill>
          <a:srgbClr val="809EC2">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57150">
            <a:lnSpc>
              <a:spcPct val="100000"/>
            </a:lnSpc>
            <a:spcAft>
              <a:spcPts val="0"/>
            </a:spcAft>
          </a:pPr>
          <a:endParaRPr lang="en-US" sz="900">
            <a:solidFill>
              <a:sysClr val="windowText" lastClr="000000">
                <a:lumMod val="75000"/>
                <a:lumOff val="25000"/>
              </a:sysClr>
            </a:solidFill>
            <a:latin typeface="Calibri" panose="020F0502020204030204"/>
            <a:ea typeface="+mn-ea"/>
            <a:cs typeface="+mn-cs"/>
          </a:endParaRPr>
        </a:p>
      </dgm:t>
    </dgm:pt>
    <dgm:pt modelId="{0EF4E421-24A2-40F4-91C8-D7D4C00385E3}" type="parTrans" cxnId="{A7BF4EF6-59C5-45BD-B66C-663E549B1AA2}">
      <dgm:prSet/>
      <dgm:spPr/>
      <dgm:t>
        <a:bodyPr/>
        <a:lstStyle/>
        <a:p>
          <a:endParaRPr lang="en-US">
            <a:solidFill>
              <a:schemeClr val="tx1">
                <a:lumMod val="75000"/>
                <a:lumOff val="25000"/>
              </a:schemeClr>
            </a:solidFill>
          </a:endParaRPr>
        </a:p>
      </dgm:t>
    </dgm:pt>
    <dgm:pt modelId="{2D592F40-F125-4080-A0E7-175B8A2A116F}" type="sibTrans" cxnId="{A7BF4EF6-59C5-45BD-B66C-663E549B1AA2}">
      <dgm:prSet/>
      <dgm:spPr/>
      <dgm:t>
        <a:bodyPr/>
        <a:lstStyle/>
        <a:p>
          <a:endParaRPr lang="en-US">
            <a:solidFill>
              <a:schemeClr val="tx1">
                <a:lumMod val="75000"/>
                <a:lumOff val="25000"/>
              </a:schemeClr>
            </a:solidFill>
          </a:endParaRPr>
        </a:p>
      </dgm:t>
    </dgm:pt>
    <dgm:pt modelId="{678B4A76-6E24-4307-80F7-F54B924B5AE0}">
      <dgm:prSet phldrT="[Text]" custT="1"/>
      <dgm:spPr>
        <a:xfrm>
          <a:off x="1451159" y="4885973"/>
          <a:ext cx="7688814" cy="1786789"/>
        </a:xfrm>
        <a:solidFill>
          <a:srgbClr val="D092A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57150">
            <a:lnSpc>
              <a:spcPct val="100000"/>
            </a:lnSpc>
            <a:spcAft>
              <a:spcPts val="0"/>
            </a:spcAft>
          </a:pPr>
          <a:endParaRPr lang="en-US" sz="900">
            <a:solidFill>
              <a:sysClr val="windowText" lastClr="000000">
                <a:lumMod val="75000"/>
                <a:lumOff val="25000"/>
              </a:sysClr>
            </a:solidFill>
            <a:latin typeface="Calibri" panose="020F0502020204030204"/>
            <a:ea typeface="+mn-ea"/>
            <a:cs typeface="+mn-cs"/>
          </a:endParaRPr>
        </a:p>
      </dgm:t>
    </dgm:pt>
    <dgm:pt modelId="{88D6AD64-2F34-4693-B0AF-5EEE5C88AEA3}" type="parTrans" cxnId="{8642603E-DFCA-4AF8-9D7F-DC056FE3A294}">
      <dgm:prSet/>
      <dgm:spPr/>
      <dgm:t>
        <a:bodyPr/>
        <a:lstStyle/>
        <a:p>
          <a:endParaRPr lang="en-US">
            <a:solidFill>
              <a:schemeClr val="tx1">
                <a:lumMod val="75000"/>
                <a:lumOff val="25000"/>
              </a:schemeClr>
            </a:solidFill>
          </a:endParaRPr>
        </a:p>
      </dgm:t>
    </dgm:pt>
    <dgm:pt modelId="{1F21BCE3-BF12-4303-9CBD-C8D0977712F1}" type="sibTrans" cxnId="{8642603E-DFCA-4AF8-9D7F-DC056FE3A294}">
      <dgm:prSet/>
      <dgm:spPr/>
      <dgm:t>
        <a:bodyPr/>
        <a:lstStyle/>
        <a:p>
          <a:endParaRPr lang="en-US">
            <a:solidFill>
              <a:schemeClr val="tx1">
                <a:lumMod val="75000"/>
                <a:lumOff val="25000"/>
              </a:schemeClr>
            </a:solidFill>
          </a:endParaRPr>
        </a:p>
      </dgm:t>
    </dgm:pt>
    <dgm:pt modelId="{40C1CB9B-0A09-4E22-9E6A-62887D8BABD3}">
      <dgm:prSet custT="1"/>
      <dgm:spPr>
        <a:xfrm>
          <a:off x="1451159" y="4885973"/>
          <a:ext cx="7688814" cy="1786789"/>
        </a:xfrm>
        <a:solidFill>
          <a:srgbClr val="D092A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57150">
            <a:lnSpc>
              <a:spcPct val="100000"/>
            </a:lnSpc>
            <a:spcAft>
              <a:spcPts val="0"/>
            </a:spcAft>
          </a:pPr>
          <a:endParaRPr lang="en-US" sz="900">
            <a:solidFill>
              <a:sysClr val="windowText" lastClr="000000">
                <a:lumMod val="75000"/>
                <a:lumOff val="25000"/>
              </a:sysClr>
            </a:solidFill>
            <a:latin typeface="Calibri" panose="020F0502020204030204"/>
            <a:ea typeface="+mn-ea"/>
            <a:cs typeface="+mn-cs"/>
          </a:endParaRPr>
        </a:p>
      </dgm:t>
    </dgm:pt>
    <dgm:pt modelId="{87774315-4F94-4B53-A737-ED4B662EDBC8}" type="parTrans" cxnId="{1926E7CD-4B68-427A-BADB-A1DFB1424D82}">
      <dgm:prSet/>
      <dgm:spPr/>
      <dgm:t>
        <a:bodyPr/>
        <a:lstStyle/>
        <a:p>
          <a:endParaRPr lang="en-US">
            <a:solidFill>
              <a:schemeClr val="tx1">
                <a:lumMod val="75000"/>
                <a:lumOff val="25000"/>
              </a:schemeClr>
            </a:solidFill>
          </a:endParaRPr>
        </a:p>
      </dgm:t>
    </dgm:pt>
    <dgm:pt modelId="{03F93993-113A-4E44-BF61-F6332F26EFDC}" type="sibTrans" cxnId="{1926E7CD-4B68-427A-BADB-A1DFB1424D82}">
      <dgm:prSet/>
      <dgm:spPr/>
      <dgm:t>
        <a:bodyPr/>
        <a:lstStyle/>
        <a:p>
          <a:endParaRPr lang="en-US">
            <a:solidFill>
              <a:schemeClr val="tx1">
                <a:lumMod val="75000"/>
                <a:lumOff val="25000"/>
              </a:schemeClr>
            </a:solidFill>
          </a:endParaRPr>
        </a:p>
      </dgm:t>
    </dgm:pt>
    <dgm:pt modelId="{8C4029B0-6AFE-49D9-A5FF-963881F75386}">
      <dgm:prSet phldrT="[Text]" custT="1"/>
      <dgm:spPr>
        <a:xfrm>
          <a:off x="1451159" y="2356"/>
          <a:ext cx="7688814" cy="1767330"/>
        </a:xfrm>
        <a:solidFill>
          <a:srgbClr val="E7BC29">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57150">
            <a:lnSpc>
              <a:spcPct val="100000"/>
            </a:lnSpc>
            <a:spcAft>
              <a:spcPts val="0"/>
            </a:spcAft>
          </a:pPr>
          <a:endParaRPr lang="en-US" sz="900">
            <a:solidFill>
              <a:sysClr val="windowText" lastClr="000000">
                <a:lumMod val="75000"/>
                <a:lumOff val="25000"/>
              </a:sysClr>
            </a:solidFill>
            <a:latin typeface="Calibri" panose="020F0502020204030204"/>
            <a:ea typeface="+mn-ea"/>
            <a:cs typeface="+mn-cs"/>
          </a:endParaRPr>
        </a:p>
      </dgm:t>
    </dgm:pt>
    <dgm:pt modelId="{71E000C2-B589-4881-A386-2327E343D131}" type="parTrans" cxnId="{529D6953-7121-4041-9C25-5827AFA1C804}">
      <dgm:prSet/>
      <dgm:spPr/>
      <dgm:t>
        <a:bodyPr/>
        <a:lstStyle/>
        <a:p>
          <a:endParaRPr lang="en-US">
            <a:solidFill>
              <a:schemeClr val="tx1">
                <a:lumMod val="75000"/>
                <a:lumOff val="25000"/>
              </a:schemeClr>
            </a:solidFill>
          </a:endParaRPr>
        </a:p>
      </dgm:t>
    </dgm:pt>
    <dgm:pt modelId="{4B7110C4-E8A1-4260-9143-6DE71963EA1B}" type="sibTrans" cxnId="{529D6953-7121-4041-9C25-5827AFA1C804}">
      <dgm:prSet/>
      <dgm:spPr/>
      <dgm:t>
        <a:bodyPr/>
        <a:lstStyle/>
        <a:p>
          <a:endParaRPr lang="en-US">
            <a:solidFill>
              <a:schemeClr val="tx1">
                <a:lumMod val="75000"/>
                <a:lumOff val="25000"/>
              </a:schemeClr>
            </a:solidFill>
          </a:endParaRPr>
        </a:p>
      </dgm:t>
    </dgm:pt>
    <dgm:pt modelId="{A122FE24-6FBF-42AD-A56C-9A5956327A72}">
      <dgm:prSet custT="1"/>
      <dgm:spPr>
        <a:xfrm>
          <a:off x="1451159" y="2356"/>
          <a:ext cx="7688814" cy="1767330"/>
        </a:xfrm>
        <a:solidFill>
          <a:srgbClr val="E7BC29">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endParaRPr lang="en-US" sz="900">
            <a:solidFill>
              <a:sysClr val="windowText" lastClr="000000">
                <a:lumMod val="75000"/>
                <a:lumOff val="25000"/>
              </a:sysClr>
            </a:solidFill>
            <a:latin typeface="Calibri" panose="020F0502020204030204"/>
            <a:ea typeface="+mn-ea"/>
            <a:cs typeface="+mn-cs"/>
          </a:endParaRPr>
        </a:p>
      </dgm:t>
    </dgm:pt>
    <dgm:pt modelId="{7B5F2902-2E8D-429B-AC51-0EAC378C8A5A}" type="parTrans" cxnId="{EFE768BA-4262-4106-BD26-2A6E1AC72F2D}">
      <dgm:prSet/>
      <dgm:spPr/>
      <dgm:t>
        <a:bodyPr/>
        <a:lstStyle/>
        <a:p>
          <a:endParaRPr lang="en-US">
            <a:solidFill>
              <a:schemeClr val="tx1">
                <a:lumMod val="75000"/>
                <a:lumOff val="25000"/>
              </a:schemeClr>
            </a:solidFill>
          </a:endParaRPr>
        </a:p>
      </dgm:t>
    </dgm:pt>
    <dgm:pt modelId="{6E58F5E9-4CA2-4421-8E6B-BD581F4EABA8}" type="sibTrans" cxnId="{EFE768BA-4262-4106-BD26-2A6E1AC72F2D}">
      <dgm:prSet/>
      <dgm:spPr/>
      <dgm:t>
        <a:bodyPr/>
        <a:lstStyle/>
        <a:p>
          <a:endParaRPr lang="en-US">
            <a:solidFill>
              <a:schemeClr val="tx1">
                <a:lumMod val="75000"/>
                <a:lumOff val="25000"/>
              </a:schemeClr>
            </a:solidFill>
          </a:endParaRPr>
        </a:p>
      </dgm:t>
    </dgm:pt>
    <dgm:pt modelId="{E9EAB9D8-12EB-41E3-9715-2D4227487633}" type="pres">
      <dgm:prSet presAssocID="{9855A483-DB95-4329-87E9-AC7C2A3A75AD}" presName="Name0" presStyleCnt="0">
        <dgm:presLayoutVars>
          <dgm:dir/>
          <dgm:animLvl val="lvl"/>
          <dgm:resizeHandles val="exact"/>
        </dgm:presLayoutVars>
      </dgm:prSet>
      <dgm:spPr/>
    </dgm:pt>
    <dgm:pt modelId="{71B7B24F-6D0A-49B2-9BC0-BC33D0A22A76}" type="pres">
      <dgm:prSet presAssocID="{42515870-B740-4227-A856-A507DA824C45}" presName="linNode" presStyleCnt="0"/>
      <dgm:spPr/>
    </dgm:pt>
    <dgm:pt modelId="{76A2ECFA-501A-4667-9C83-BC04BDEA37BF}" type="pres">
      <dgm:prSet presAssocID="{42515870-B740-4227-A856-A507DA824C45}" presName="parTx" presStyleLbl="revTx" presStyleIdx="0" presStyleCnt="3" custScaleX="48047">
        <dgm:presLayoutVars>
          <dgm:chMax val="1"/>
          <dgm:bulletEnabled val="1"/>
        </dgm:presLayoutVars>
      </dgm:prSet>
      <dgm:spPr>
        <a:prstGeom prst="rect">
          <a:avLst/>
        </a:prstGeom>
      </dgm:spPr>
    </dgm:pt>
    <dgm:pt modelId="{37B11A56-2E3E-46D8-B8B4-970C3EE581F4}" type="pres">
      <dgm:prSet presAssocID="{42515870-B740-4227-A856-A507DA824C45}" presName="bracket" presStyleLbl="parChTrans1D1" presStyleIdx="0" presStyleCnt="3" custScaleX="40039"/>
      <dgm:spPr>
        <a:xfrm>
          <a:off x="1089509" y="18032"/>
          <a:ext cx="180913" cy="1735978"/>
        </a:xfrm>
        <a:prstGeom prst="leftBrace">
          <a:avLst>
            <a:gd name="adj1" fmla="val 35000"/>
            <a:gd name="adj2" fmla="val 50000"/>
          </a:avLst>
        </a:prstGeom>
        <a:noFill/>
        <a:ln w="12700" cap="flat" cmpd="sng" algn="ctr">
          <a:solidFill>
            <a:srgbClr val="E7BC29">
              <a:hueOff val="0"/>
              <a:satOff val="0"/>
              <a:lumOff val="0"/>
              <a:alphaOff val="0"/>
            </a:srgbClr>
          </a:solidFill>
          <a:prstDash val="solid"/>
          <a:miter lim="800000"/>
        </a:ln>
        <a:effectLst/>
      </dgm:spPr>
    </dgm:pt>
    <dgm:pt modelId="{E90C2578-BD0A-43FC-9505-5DF663A0374F}" type="pres">
      <dgm:prSet presAssocID="{42515870-B740-4227-A856-A507DA824C45}" presName="spH" presStyleCnt="0"/>
      <dgm:spPr/>
    </dgm:pt>
    <dgm:pt modelId="{A78479D3-0EE8-4794-83D6-A0B1D65AA960}" type="pres">
      <dgm:prSet presAssocID="{42515870-B740-4227-A856-A507DA824C45}" presName="desTx" presStyleLbl="node1" presStyleIdx="0" presStyleCnt="3" custScaleX="125122" custScaleY="101806">
        <dgm:presLayoutVars>
          <dgm:bulletEnabled val="1"/>
        </dgm:presLayoutVars>
      </dgm:prSet>
      <dgm:spPr>
        <a:prstGeom prst="rect">
          <a:avLst/>
        </a:prstGeom>
      </dgm:spPr>
    </dgm:pt>
    <dgm:pt modelId="{F4A9CC8C-3763-497A-8B9C-001790F97663}" type="pres">
      <dgm:prSet presAssocID="{FF5087AB-F3E7-410A-A158-F00DF60E26A0}" presName="spV" presStyleCnt="0"/>
      <dgm:spPr/>
    </dgm:pt>
    <dgm:pt modelId="{3E2C6DA1-ACB0-49B2-A1DD-B6B89B69521A}" type="pres">
      <dgm:prSet presAssocID="{53D57C52-EEB7-4E1D-AF9A-617D25938338}" presName="linNode" presStyleCnt="0"/>
      <dgm:spPr/>
    </dgm:pt>
    <dgm:pt modelId="{07546064-6274-479D-9BB7-8F658CDB775B}" type="pres">
      <dgm:prSet presAssocID="{53D57C52-EEB7-4E1D-AF9A-617D25938338}" presName="parTx" presStyleLbl="revTx" presStyleIdx="1" presStyleCnt="3" custScaleX="48047">
        <dgm:presLayoutVars>
          <dgm:chMax val="1"/>
          <dgm:bulletEnabled val="1"/>
        </dgm:presLayoutVars>
      </dgm:prSet>
      <dgm:spPr>
        <a:prstGeom prst="rect">
          <a:avLst/>
        </a:prstGeom>
      </dgm:spPr>
    </dgm:pt>
    <dgm:pt modelId="{00E5E552-191F-4316-84EE-571792FD06E5}" type="pres">
      <dgm:prSet presAssocID="{53D57C52-EEB7-4E1D-AF9A-617D25938338}" presName="bracket" presStyleLbl="parChTrans1D1" presStyleIdx="1" presStyleCnt="3" custScaleX="40039"/>
      <dgm:spPr>
        <a:xfrm>
          <a:off x="1089509" y="1868148"/>
          <a:ext cx="180913" cy="2919364"/>
        </a:xfrm>
        <a:prstGeom prst="leftBrace">
          <a:avLst>
            <a:gd name="adj1" fmla="val 35000"/>
            <a:gd name="adj2" fmla="val 50000"/>
          </a:avLst>
        </a:prstGeom>
        <a:noFill/>
        <a:ln w="12700" cap="flat" cmpd="sng" algn="ctr">
          <a:solidFill>
            <a:srgbClr val="E7BC29">
              <a:hueOff val="0"/>
              <a:satOff val="0"/>
              <a:lumOff val="0"/>
              <a:alphaOff val="0"/>
            </a:srgbClr>
          </a:solidFill>
          <a:prstDash val="solid"/>
          <a:miter lim="800000"/>
        </a:ln>
        <a:effectLst/>
      </dgm:spPr>
    </dgm:pt>
    <dgm:pt modelId="{62A85D7A-2229-4AAD-B7A3-5ABDBD05A8D4}" type="pres">
      <dgm:prSet presAssocID="{53D57C52-EEB7-4E1D-AF9A-617D25938338}" presName="spH" presStyleCnt="0"/>
      <dgm:spPr/>
    </dgm:pt>
    <dgm:pt modelId="{25FEE5B0-2E30-4426-A88C-65E12CAB0320}" type="pres">
      <dgm:prSet presAssocID="{53D57C52-EEB7-4E1D-AF9A-617D25938338}" presName="desTx" presStyleLbl="node1" presStyleIdx="1" presStyleCnt="3" custScaleX="125122" custScaleY="105558">
        <dgm:presLayoutVars>
          <dgm:bulletEnabled val="1"/>
        </dgm:presLayoutVars>
      </dgm:prSet>
      <dgm:spPr>
        <a:prstGeom prst="rect">
          <a:avLst/>
        </a:prstGeom>
      </dgm:spPr>
    </dgm:pt>
    <dgm:pt modelId="{542C18B5-BD61-4325-8277-37542C93E70F}" type="pres">
      <dgm:prSet presAssocID="{2154B486-E74E-4ADC-B76B-12324F12611A}" presName="spV" presStyleCnt="0"/>
      <dgm:spPr/>
    </dgm:pt>
    <dgm:pt modelId="{F6C39966-1E5E-4F51-916A-B624BB136FB6}" type="pres">
      <dgm:prSet presAssocID="{245CC6A2-5ABB-4054-897A-AD6383ADCBC1}" presName="linNode" presStyleCnt="0"/>
      <dgm:spPr/>
    </dgm:pt>
    <dgm:pt modelId="{8F954A4D-5D86-4A55-A823-71B6276B80C0}" type="pres">
      <dgm:prSet presAssocID="{245CC6A2-5ABB-4054-897A-AD6383ADCBC1}" presName="parTx" presStyleLbl="revTx" presStyleIdx="2" presStyleCnt="3" custScaleX="48047">
        <dgm:presLayoutVars>
          <dgm:chMax val="1"/>
          <dgm:bulletEnabled val="1"/>
        </dgm:presLayoutVars>
      </dgm:prSet>
      <dgm:spPr>
        <a:prstGeom prst="rect">
          <a:avLst/>
        </a:prstGeom>
      </dgm:spPr>
    </dgm:pt>
    <dgm:pt modelId="{B655AF80-ECEB-42E7-A5CB-D04E26823638}" type="pres">
      <dgm:prSet presAssocID="{245CC6A2-5ABB-4054-897A-AD6383ADCBC1}" presName="bracket" presStyleLbl="parChTrans1D1" presStyleIdx="2" presStyleCnt="3" custScaleX="40039"/>
      <dgm:spPr>
        <a:xfrm>
          <a:off x="1089509" y="4925156"/>
          <a:ext cx="180913" cy="1708423"/>
        </a:xfrm>
        <a:prstGeom prst="leftBrace">
          <a:avLst>
            <a:gd name="adj1" fmla="val 35000"/>
            <a:gd name="adj2" fmla="val 50000"/>
          </a:avLst>
        </a:prstGeom>
        <a:noFill/>
        <a:ln w="12700" cap="flat" cmpd="sng" algn="ctr">
          <a:solidFill>
            <a:srgbClr val="E7BC29">
              <a:hueOff val="0"/>
              <a:satOff val="0"/>
              <a:lumOff val="0"/>
              <a:alphaOff val="0"/>
            </a:srgbClr>
          </a:solidFill>
          <a:prstDash val="solid"/>
          <a:miter lim="800000"/>
        </a:ln>
        <a:effectLst/>
      </dgm:spPr>
    </dgm:pt>
    <dgm:pt modelId="{516F7C26-6CE0-4EA5-B781-6635DF628EED}" type="pres">
      <dgm:prSet presAssocID="{245CC6A2-5ABB-4054-897A-AD6383ADCBC1}" presName="spH" presStyleCnt="0"/>
      <dgm:spPr/>
    </dgm:pt>
    <dgm:pt modelId="{20E7AD3B-552B-493B-846E-8563BB6F1CC7}" type="pres">
      <dgm:prSet presAssocID="{245CC6A2-5ABB-4054-897A-AD6383ADCBC1}" presName="desTx" presStyleLbl="node1" presStyleIdx="2" presStyleCnt="3" custScaleX="125122" custScaleY="104587">
        <dgm:presLayoutVars>
          <dgm:bulletEnabled val="1"/>
        </dgm:presLayoutVars>
      </dgm:prSet>
      <dgm:spPr>
        <a:prstGeom prst="rect">
          <a:avLst/>
        </a:prstGeom>
      </dgm:spPr>
    </dgm:pt>
  </dgm:ptLst>
  <dgm:cxnLst>
    <dgm:cxn modelId="{5C5C2502-BAA0-49D4-A9F2-15E97EB6CE5A}" type="presOf" srcId="{7E62A2B9-96CD-4439-ADC2-C3611A3B8864}" destId="{25FEE5B0-2E30-4426-A88C-65E12CAB0320}" srcOrd="0" destOrd="11" presId="urn:diagrams.loki3.com/BracketList#1"/>
    <dgm:cxn modelId="{2D6AFA04-144E-4307-9B23-D1B09205AD2D}" srcId="{245CC6A2-5ABB-4054-897A-AD6383ADCBC1}" destId="{1BA1972A-8A85-4BB4-96B2-D1EDECD862AC}" srcOrd="2" destOrd="0" parTransId="{A9B12371-1CF6-42B7-A814-7BFD4EE04A28}" sibTransId="{DA134F9D-937F-4A14-8D06-19254BD7905C}"/>
    <dgm:cxn modelId="{69332C08-4B9B-45C4-8F8F-35F2E22D2D08}" srcId="{D48E13F6-4545-4ABE-9313-1314FCB98087}" destId="{102B3B59-86BC-4248-913E-1544C173755F}" srcOrd="1" destOrd="0" parTransId="{0413E495-1AE6-4BF0-BB02-146F9DAB677D}" sibTransId="{1A7FF211-2F90-4C73-A447-1FA90C39B307}"/>
    <dgm:cxn modelId="{3CA6050B-93FD-46A0-829A-E9872FC9A555}" type="presOf" srcId="{A122FE24-6FBF-42AD-A56C-9A5956327A72}" destId="{A78479D3-0EE8-4794-83D6-A0B1D65AA960}" srcOrd="0" destOrd="3" presId="urn:diagrams.loki3.com/BracketList#1"/>
    <dgm:cxn modelId="{FBB0AC11-D095-4F6C-B6EB-E33962BB43FE}" type="presOf" srcId="{2AD5C1A5-97D2-4FE1-8650-396AFCD6EAAA}" destId="{25FEE5B0-2E30-4426-A88C-65E12CAB0320}" srcOrd="0" destOrd="4" presId="urn:diagrams.loki3.com/BracketList#1"/>
    <dgm:cxn modelId="{FE1ACD15-BD2A-45C9-9CF6-28DA3F4A17CF}" srcId="{6125E05D-DE5D-4791-87D2-3CDE0BC95E27}" destId="{CC5E7121-3588-4E2A-AE1A-3B49B543BC0A}" srcOrd="2" destOrd="0" parTransId="{6226D699-4B68-40E3-A976-39B420E31267}" sibTransId="{E6501B8D-A3C3-4654-A435-A138BD4D773D}"/>
    <dgm:cxn modelId="{D3531917-CC3E-4E42-BF8D-459EB83323E5}" srcId="{42515870-B740-4227-A856-A507DA824C45}" destId="{348486B5-DF9E-4B19-BA6E-4744AEFB04D5}" srcOrd="2" destOrd="0" parTransId="{D1C3FF60-FAFD-4D9F-986F-63A722F95CC5}" sibTransId="{3481C528-A8A9-4A9A-AF93-62E05B7FB00C}"/>
    <dgm:cxn modelId="{E95C391B-CE2D-4F07-B087-3784A87C86A8}" type="presOf" srcId="{D1BC8A4B-CC93-4D23-AAA3-E0E6BECA5A85}" destId="{20E7AD3B-552B-493B-846E-8563BB6F1CC7}" srcOrd="0" destOrd="0" presId="urn:diagrams.loki3.com/BracketList#1"/>
    <dgm:cxn modelId="{55CFE61C-A861-4808-87D3-B68555EE954B}" srcId="{6125E05D-DE5D-4791-87D2-3CDE0BC95E27}" destId="{DE603B70-72A1-4058-BD54-EB46648ECAC2}" srcOrd="1" destOrd="0" parTransId="{0286E35E-7949-4E3E-9E75-B19CB17D8D5E}" sibTransId="{A0BA4ED8-81AC-4732-89BE-EBA6E7C41191}"/>
    <dgm:cxn modelId="{9B7B151E-506D-41A1-9363-F47F18B54B56}" type="presOf" srcId="{D48E13F6-4545-4ABE-9313-1314FCB98087}" destId="{25FEE5B0-2E30-4426-A88C-65E12CAB0320}" srcOrd="0" destOrd="0" presId="urn:diagrams.loki3.com/BracketList#1"/>
    <dgm:cxn modelId="{95E6BF1F-F068-4CEB-B2B0-0CB6E00ED214}" srcId="{D48E13F6-4545-4ABE-9313-1314FCB98087}" destId="{D225368A-C9A2-4365-B894-F1BB6A8B9AEA}" srcOrd="0" destOrd="0" parTransId="{18EA7A65-F048-4495-A2A3-8DD61FF08D78}" sibTransId="{108810B6-49A9-467C-A391-119C7CD0BA0D}"/>
    <dgm:cxn modelId="{762AFF20-0552-4F3E-84DE-234474BCD31D}" type="presOf" srcId="{245CC6A2-5ABB-4054-897A-AD6383ADCBC1}" destId="{8F954A4D-5D86-4A55-A823-71B6276B80C0}" srcOrd="0" destOrd="0" presId="urn:diagrams.loki3.com/BracketList#1"/>
    <dgm:cxn modelId="{3F2E6321-8D05-4960-B862-9F6D0BCCBEF7}" type="presOf" srcId="{13E64CB1-0F73-4712-8DE4-DB39142A4F23}" destId="{25FEE5B0-2E30-4426-A88C-65E12CAB0320}" srcOrd="0" destOrd="3" presId="urn:diagrams.loki3.com/BracketList#1"/>
    <dgm:cxn modelId="{88E7B523-6C4C-4A29-A91E-6966321D013F}" srcId="{D48E13F6-4545-4ABE-9313-1314FCB98087}" destId="{3A180E47-E91B-4FEE-8204-5BD2C3B3A271}" srcOrd="3" destOrd="0" parTransId="{CBC16CF9-4849-458B-870F-6EE41825FCC9}" sibTransId="{6546ACFE-5FA5-4177-BB7D-87A5CFA3EE4C}"/>
    <dgm:cxn modelId="{272DDA23-088E-42C3-89B9-ACD235B8CD81}" srcId="{53D57C52-EEB7-4E1D-AF9A-617D25938338}" destId="{03FE4DCF-A6E9-4730-A846-DF045039391D}" srcOrd="2" destOrd="0" parTransId="{FF5558B6-7FC1-4C11-9CC1-373079BA115E}" sibTransId="{17BDF639-0420-4BE1-B800-7530E5D5C949}"/>
    <dgm:cxn modelId="{C6F60229-A1DB-4024-AF55-9E4961A108A7}" srcId="{9855A483-DB95-4329-87E9-AC7C2A3A75AD}" destId="{53D57C52-EEB7-4E1D-AF9A-617D25938338}" srcOrd="1" destOrd="0" parTransId="{C5F5027B-86D7-4020-8E39-F9FAC1B39231}" sibTransId="{2154B486-E74E-4ADC-B76B-12324F12611A}"/>
    <dgm:cxn modelId="{C15E273E-84F2-4D70-989B-BABED89A64F0}" type="presOf" srcId="{9B4B2DB8-2747-49C2-A6A6-853E3D67A90E}" destId="{20E7AD3B-552B-493B-846E-8563BB6F1CC7}" srcOrd="0" destOrd="6" presId="urn:diagrams.loki3.com/BracketList#1"/>
    <dgm:cxn modelId="{8642603E-DFCA-4AF8-9D7F-DC056FE3A294}" srcId="{245CC6A2-5ABB-4054-897A-AD6383ADCBC1}" destId="{678B4A76-6E24-4307-80F7-F54B924B5AE0}" srcOrd="1" destOrd="0" parTransId="{88D6AD64-2F34-4693-B0AF-5EEE5C88AEA3}" sibTransId="{1F21BCE3-BF12-4303-9CBD-C8D0977712F1}"/>
    <dgm:cxn modelId="{8E127D3F-2DBB-40B5-A3CB-AAF1613E0148}" srcId="{D225368A-C9A2-4365-B894-F1BB6A8B9AEA}" destId="{13E64CB1-0F73-4712-8DE4-DB39142A4F23}" srcOrd="1" destOrd="0" parTransId="{215AB36F-0580-4EF0-B7D3-E0EFC3845E34}" sibTransId="{5FE2349E-096D-4DB0-99FD-8D018F634B65}"/>
    <dgm:cxn modelId="{072F3A42-F5E0-4D63-9C07-663AF0558952}" type="presOf" srcId="{06A29FBD-C0FA-407F-A565-1CF3472D9584}" destId="{25FEE5B0-2E30-4426-A88C-65E12CAB0320}" srcOrd="0" destOrd="9" presId="urn:diagrams.loki3.com/BracketList#1"/>
    <dgm:cxn modelId="{9233FE42-4621-4146-88DE-33CC6065DAA2}" type="presOf" srcId="{CC5E7121-3588-4E2A-AE1A-3B49B543BC0A}" destId="{A78479D3-0EE8-4794-83D6-A0B1D65AA960}" srcOrd="0" destOrd="7" presId="urn:diagrams.loki3.com/BracketList#1"/>
    <dgm:cxn modelId="{4296BC46-FBC0-46F8-832E-A5699B0AC6AD}" type="presOf" srcId="{8C4029B0-6AFE-49D9-A5FF-963881F75386}" destId="{A78479D3-0EE8-4794-83D6-A0B1D65AA960}" srcOrd="0" destOrd="1" presId="urn:diagrams.loki3.com/BracketList#1"/>
    <dgm:cxn modelId="{D83F0F48-842C-443C-A029-7284BCAE5AB2}" type="presOf" srcId="{17AA838D-A792-4BA3-82C3-A8E33C4399E9}" destId="{25FEE5B0-2E30-4426-A88C-65E12CAB0320}" srcOrd="0" destOrd="6" presId="urn:diagrams.loki3.com/BracketList#1"/>
    <dgm:cxn modelId="{AD1EDB49-33B3-4523-9733-13C30CFBF5AA}" type="presOf" srcId="{40C1CB9B-0A09-4E22-9E6A-62887D8BABD3}" destId="{20E7AD3B-552B-493B-846E-8563BB6F1CC7}" srcOrd="0" destOrd="3" presId="urn:diagrams.loki3.com/BracketList#1"/>
    <dgm:cxn modelId="{CC7C384D-2932-4213-9F0F-89FC514F4B92}" type="presOf" srcId="{06573BBD-EBAD-4B5E-9F0E-1C41B99A573D}" destId="{A78479D3-0EE8-4794-83D6-A0B1D65AA960}" srcOrd="0" destOrd="5" presId="urn:diagrams.loki3.com/BracketList#1"/>
    <dgm:cxn modelId="{529D6953-7121-4041-9C25-5827AFA1C804}" srcId="{42515870-B740-4227-A856-A507DA824C45}" destId="{8C4029B0-6AFE-49D9-A5FF-963881F75386}" srcOrd="1" destOrd="0" parTransId="{71E000C2-B589-4881-A386-2327E343D131}" sibTransId="{4B7110C4-E8A1-4260-9143-6DE71963EA1B}"/>
    <dgm:cxn modelId="{506BA57B-46CD-4D33-AD40-EA82270A7524}" srcId="{9855A483-DB95-4329-87E9-AC7C2A3A75AD}" destId="{42515870-B740-4227-A856-A507DA824C45}" srcOrd="0" destOrd="0" parTransId="{53C49770-8BFC-442B-B73E-D8484945261F}" sibTransId="{FF5087AB-F3E7-410A-A158-F00DF60E26A0}"/>
    <dgm:cxn modelId="{9BC84B7F-EEAF-4BB6-B067-7169A61AEE07}" srcId="{099F45CD-1231-493F-9E77-F24D89081A52}" destId="{DB1288DD-481D-49CA-8DA6-DA1E2DE8F07A}" srcOrd="2" destOrd="0" parTransId="{C9C88CC2-9D09-49A1-8305-B4F1E2923E29}" sibTransId="{EEB58002-9A67-42FE-9FE2-DEDF52EB5705}"/>
    <dgm:cxn modelId="{B4AF6883-C6CB-4ADE-9C73-C48EDDB0B431}" srcId="{6125E05D-DE5D-4791-87D2-3CDE0BC95E27}" destId="{06573BBD-EBAD-4B5E-9F0E-1C41B99A573D}" srcOrd="0" destOrd="0" parTransId="{230F6B62-D106-4CDC-9AC1-8C8210F20AED}" sibTransId="{35CF8174-FF98-4EDA-A9F2-CE41D0E045C3}"/>
    <dgm:cxn modelId="{F1ACCD8E-26BF-40B1-A5A0-5188BBF8BBB2}" srcId="{102B3B59-86BC-4248-913E-1544C173755F}" destId="{4491949A-5975-49AB-835E-162D3BBF8C18}" srcOrd="2" destOrd="0" parTransId="{9982B6A3-0BB1-45A2-BC59-99141AA0112E}" sibTransId="{A8B10BD5-8868-430C-9978-128D03C8E8F2}"/>
    <dgm:cxn modelId="{30BA5B91-C3C7-4646-A9CA-C658E3FF101C}" srcId="{9855A483-DB95-4329-87E9-AC7C2A3A75AD}" destId="{245CC6A2-5ABB-4054-897A-AD6383ADCBC1}" srcOrd="2" destOrd="0" parTransId="{14CE012B-D310-460D-81A0-169D755A7164}" sibTransId="{30580FC4-2EAD-4F36-ADE6-97226581C661}"/>
    <dgm:cxn modelId="{841E1695-02B5-416B-A8E5-AD60A40AC832}" type="presOf" srcId="{9855A483-DB95-4329-87E9-AC7C2A3A75AD}" destId="{E9EAB9D8-12EB-41E3-9715-2D4227487633}" srcOrd="0" destOrd="0" presId="urn:diagrams.loki3.com/BracketList#1"/>
    <dgm:cxn modelId="{4FA4F195-C4C1-4E62-AC7F-A3F9EA613EF2}" srcId="{D225368A-C9A2-4365-B894-F1BB6A8B9AEA}" destId="{2AD5C1A5-97D2-4FE1-8650-396AFCD6EAAA}" srcOrd="2" destOrd="0" parTransId="{00FCDA5E-833D-46C6-BF23-DCC7273B870A}" sibTransId="{253A54BD-39C1-40F8-BE0E-21E98D722586}"/>
    <dgm:cxn modelId="{2EC56997-A94F-411F-92E1-E73CA1B5EC14}" srcId="{102B3B59-86BC-4248-913E-1544C173755F}" destId="{17AA838D-A792-4BA3-82C3-A8E33C4399E9}" srcOrd="0" destOrd="0" parTransId="{A58942F0-5C47-47B3-9A5F-450EA1CCA996}" sibTransId="{9C83AE59-0D73-4BBB-BB0D-04444E88FAED}"/>
    <dgm:cxn modelId="{0AC6CE9F-59F2-4E2C-804D-22BC9AA743EC}" srcId="{D225368A-C9A2-4365-B894-F1BB6A8B9AEA}" destId="{D4774806-809B-48DD-802D-4B313DD7D0E3}" srcOrd="0" destOrd="0" parTransId="{54F16342-6DAD-40A2-8907-E994FE251E07}" sibTransId="{80E77C98-3DD7-46AF-8A50-A9C8C1513864}"/>
    <dgm:cxn modelId="{D889F59F-1CEC-48DF-9C07-1F41E75497C8}" srcId="{099F45CD-1231-493F-9E77-F24D89081A52}" destId="{BAB85E7A-E210-40DB-B4F1-92815C809E4E}" srcOrd="0" destOrd="0" parTransId="{0DD3CBC3-1223-4CC7-AECD-99A3749ADC60}" sibTransId="{A0015DDD-7240-412B-8D27-BCB54A188531}"/>
    <dgm:cxn modelId="{44F801A0-DFF1-4730-9689-8E5BFD2BC9C4}" type="presOf" srcId="{4491949A-5975-49AB-835E-162D3BBF8C18}" destId="{25FEE5B0-2E30-4426-A88C-65E12CAB0320}" srcOrd="0" destOrd="8" presId="urn:diagrams.loki3.com/BracketList#1"/>
    <dgm:cxn modelId="{325052A4-D6F8-4460-AFBB-44BDCCAE7966}" type="presOf" srcId="{BAB85E7A-E210-40DB-B4F1-92815C809E4E}" destId="{20E7AD3B-552B-493B-846E-8563BB6F1CC7}" srcOrd="0" destOrd="5" presId="urn:diagrams.loki3.com/BracketList#1"/>
    <dgm:cxn modelId="{071CEAAA-EF91-4F5A-A199-1C6ED218131F}" type="presOf" srcId="{102B3B59-86BC-4248-913E-1544C173755F}" destId="{25FEE5B0-2E30-4426-A88C-65E12CAB0320}" srcOrd="0" destOrd="5" presId="urn:diagrams.loki3.com/BracketList#1"/>
    <dgm:cxn modelId="{8D9C27B2-A7E5-4831-8841-7A983AA6E7EB}" type="presOf" srcId="{6125E05D-DE5D-4791-87D2-3CDE0BC95E27}" destId="{A78479D3-0EE8-4794-83D6-A0B1D65AA960}" srcOrd="0" destOrd="4" presId="urn:diagrams.loki3.com/BracketList#1"/>
    <dgm:cxn modelId="{145E77B2-6248-4043-89B9-A82B7CCBDDBE}" srcId="{42515870-B740-4227-A856-A507DA824C45}" destId="{6125E05D-DE5D-4791-87D2-3CDE0BC95E27}" srcOrd="4" destOrd="0" parTransId="{713B665B-27E7-4490-A011-30A88A977A95}" sibTransId="{F4627D69-4B1D-4FDA-9D06-9E705A1D254E}"/>
    <dgm:cxn modelId="{5E50B9B7-1BCB-45EC-9058-3CC8CD7BAE4B}" type="presOf" srcId="{1BA1972A-8A85-4BB4-96B2-D1EDECD862AC}" destId="{20E7AD3B-552B-493B-846E-8563BB6F1CC7}" srcOrd="0" destOrd="2" presId="urn:diagrams.loki3.com/BracketList#1"/>
    <dgm:cxn modelId="{47E8F7B9-6D50-437F-8469-FD03007478C3}" type="presOf" srcId="{678B4A76-6E24-4307-80F7-F54B924B5AE0}" destId="{20E7AD3B-552B-493B-846E-8563BB6F1CC7}" srcOrd="0" destOrd="1" presId="urn:diagrams.loki3.com/BracketList#1"/>
    <dgm:cxn modelId="{EFE768BA-4262-4106-BD26-2A6E1AC72F2D}" srcId="{42515870-B740-4227-A856-A507DA824C45}" destId="{A122FE24-6FBF-42AD-A56C-9A5956327A72}" srcOrd="3" destOrd="0" parTransId="{7B5F2902-2E8D-429B-AC51-0EAC378C8A5A}" sibTransId="{6E58F5E9-4CA2-4421-8E6B-BD581F4EABA8}"/>
    <dgm:cxn modelId="{E865D1BC-860E-414A-B28D-7B8677424F2E}" srcId="{6125E05D-DE5D-4791-87D2-3CDE0BC95E27}" destId="{7EC0E29A-1EAA-446E-8F8F-E73D51CF5A08}" srcOrd="3" destOrd="0" parTransId="{3CA28546-BC1A-4F99-8790-F2E3A76A4B74}" sibTransId="{D24BB188-E28B-4132-846D-8C07F7A1CCED}"/>
    <dgm:cxn modelId="{F3C7FEBF-216D-4F2F-9762-ACC0AF5901C0}" type="presOf" srcId="{20289BBF-D2E8-439B-A50C-EB245B83B8B0}" destId="{A78479D3-0EE8-4794-83D6-A0B1D65AA960}" srcOrd="0" destOrd="0" presId="urn:diagrams.loki3.com/BracketList#1"/>
    <dgm:cxn modelId="{26A233C1-3260-4928-B76A-79F97447A854}" type="presOf" srcId="{03FE4DCF-A6E9-4730-A846-DF045039391D}" destId="{25FEE5B0-2E30-4426-A88C-65E12CAB0320}" srcOrd="0" destOrd="12" presId="urn:diagrams.loki3.com/BracketList#1"/>
    <dgm:cxn modelId="{337BC0C3-4BA6-42FF-8402-7098EDEE1A48}" srcId="{42515870-B740-4227-A856-A507DA824C45}" destId="{20289BBF-D2E8-439B-A50C-EB245B83B8B0}" srcOrd="0" destOrd="0" parTransId="{D140B4E2-8837-4330-A536-1353C14EC882}" sibTransId="{CF8CB686-6DD4-42D8-9BB0-69EAD7879059}"/>
    <dgm:cxn modelId="{5ECCE5C4-A541-4F25-A056-6A8DE775797D}" type="presOf" srcId="{DB1288DD-481D-49CA-8DA6-DA1E2DE8F07A}" destId="{20E7AD3B-552B-493B-846E-8563BB6F1CC7}" srcOrd="0" destOrd="7" presId="urn:diagrams.loki3.com/BracketList#1"/>
    <dgm:cxn modelId="{21827AC8-2C11-4C12-A0E5-3D1CCE8DD415}" type="presOf" srcId="{D4774806-809B-48DD-802D-4B313DD7D0E3}" destId="{25FEE5B0-2E30-4426-A88C-65E12CAB0320}" srcOrd="0" destOrd="2" presId="urn:diagrams.loki3.com/BracketList#1"/>
    <dgm:cxn modelId="{CB20CEC8-1166-4D6E-AABC-CEFD66B909FC}" type="presOf" srcId="{3A180E47-E91B-4FEE-8204-5BD2C3B3A271}" destId="{25FEE5B0-2E30-4426-A88C-65E12CAB0320}" srcOrd="0" destOrd="10" presId="urn:diagrams.loki3.com/BracketList#1"/>
    <dgm:cxn modelId="{97D4E8CB-817E-4D82-83C1-F9498FD97E5C}" srcId="{D48E13F6-4545-4ABE-9313-1314FCB98087}" destId="{06A29FBD-C0FA-407F-A565-1CF3472D9584}" srcOrd="2" destOrd="0" parTransId="{56DD6E1B-2EBF-4435-B8DE-89181B40092E}" sibTransId="{E070ABF4-3BE3-4532-865A-D224B418F435}"/>
    <dgm:cxn modelId="{DA3DA0CD-7715-4613-9D3C-586554925200}" type="presOf" srcId="{DE603B70-72A1-4058-BD54-EB46648ECAC2}" destId="{A78479D3-0EE8-4794-83D6-A0B1D65AA960}" srcOrd="0" destOrd="6" presId="urn:diagrams.loki3.com/BracketList#1"/>
    <dgm:cxn modelId="{1926E7CD-4B68-427A-BADB-A1DFB1424D82}" srcId="{245CC6A2-5ABB-4054-897A-AD6383ADCBC1}" destId="{40C1CB9B-0A09-4E22-9E6A-62887D8BABD3}" srcOrd="3" destOrd="0" parTransId="{87774315-4F94-4B53-A737-ED4B662EDBC8}" sibTransId="{03F93993-113A-4E44-BF61-F6332F26EFDC}"/>
    <dgm:cxn modelId="{E009F4CE-319A-4C97-95B3-078D553F1C1C}" type="presOf" srcId="{099F45CD-1231-493F-9E77-F24D89081A52}" destId="{20E7AD3B-552B-493B-846E-8563BB6F1CC7}" srcOrd="0" destOrd="4" presId="urn:diagrams.loki3.com/BracketList#1"/>
    <dgm:cxn modelId="{EC260FD4-2AEC-4AD7-B245-B051BFC3DD5C}" srcId="{245CC6A2-5ABB-4054-897A-AD6383ADCBC1}" destId="{099F45CD-1231-493F-9E77-F24D89081A52}" srcOrd="4" destOrd="0" parTransId="{C917439B-1F1F-4799-98A6-98D4F9A3D843}" sibTransId="{85CE6E2F-A911-4EAD-BDA8-4879F6F01565}"/>
    <dgm:cxn modelId="{190630D8-38FC-46EB-A997-BFFFC4B9419E}" type="presOf" srcId="{D225368A-C9A2-4365-B894-F1BB6A8B9AEA}" destId="{25FEE5B0-2E30-4426-A88C-65E12CAB0320}" srcOrd="0" destOrd="1" presId="urn:diagrams.loki3.com/BracketList#1"/>
    <dgm:cxn modelId="{2A405FD9-EFA1-4105-81E7-E50098883017}" srcId="{53D57C52-EEB7-4E1D-AF9A-617D25938338}" destId="{D48E13F6-4545-4ABE-9313-1314FCB98087}" srcOrd="0" destOrd="0" parTransId="{999B72CA-06C1-49A1-AB24-25DBF39C0244}" sibTransId="{399CB1D4-41D6-4411-B947-EA640A2F220D}"/>
    <dgm:cxn modelId="{4B4EDDDA-88E3-43B3-AEDD-822CB53C720A}" srcId="{102B3B59-86BC-4248-913E-1544C173755F}" destId="{CBFA54EE-1C20-4655-9969-2FDC1C459A0A}" srcOrd="1" destOrd="0" parTransId="{930FE067-5271-49C3-B4F9-0AEC3ABF3CEB}" sibTransId="{2D80963C-AD0A-4544-9748-862BA9AAB7A4}"/>
    <dgm:cxn modelId="{F49019DD-867A-4500-8099-AB96C03F7A30}" type="presOf" srcId="{7EC0E29A-1EAA-446E-8F8F-E73D51CF5A08}" destId="{A78479D3-0EE8-4794-83D6-A0B1D65AA960}" srcOrd="0" destOrd="8" presId="urn:diagrams.loki3.com/BracketList#1"/>
    <dgm:cxn modelId="{1EEE92DD-335D-452F-9F42-D77A7AD5ACAB}" type="presOf" srcId="{348486B5-DF9E-4B19-BA6E-4744AEFB04D5}" destId="{A78479D3-0EE8-4794-83D6-A0B1D65AA960}" srcOrd="0" destOrd="2" presId="urn:diagrams.loki3.com/BracketList#1"/>
    <dgm:cxn modelId="{821FEFE8-DABE-4BFD-8DB0-11C4C1239772}" type="presOf" srcId="{CBFA54EE-1C20-4655-9969-2FDC1C459A0A}" destId="{25FEE5B0-2E30-4426-A88C-65E12CAB0320}" srcOrd="0" destOrd="7" presId="urn:diagrams.loki3.com/BracketList#1"/>
    <dgm:cxn modelId="{F227A0E9-1089-4F7D-8A33-5EEA295138F0}" type="presOf" srcId="{42515870-B740-4227-A856-A507DA824C45}" destId="{76A2ECFA-501A-4667-9C83-BC04BDEA37BF}" srcOrd="0" destOrd="0" presId="urn:diagrams.loki3.com/BracketList#1"/>
    <dgm:cxn modelId="{421FA8EA-55B7-4FDF-8C94-A6BDBE174CB4}" srcId="{099F45CD-1231-493F-9E77-F24D89081A52}" destId="{9B4B2DB8-2747-49C2-A6A6-853E3D67A90E}" srcOrd="1" destOrd="0" parTransId="{10B9D572-E54D-4D59-A9A8-5DC31226A609}" sibTransId="{3A1E24AE-8C37-4977-A49F-7E655B85AF3B}"/>
    <dgm:cxn modelId="{0097FEEB-D2BF-4BBD-BD6F-CC36667CE6F5}" srcId="{245CC6A2-5ABB-4054-897A-AD6383ADCBC1}" destId="{D1BC8A4B-CC93-4D23-AAA3-E0E6BECA5A85}" srcOrd="0" destOrd="0" parTransId="{3B883A3E-B0C5-4DBE-82E7-392BCF7027D2}" sibTransId="{3099EB49-698E-48F8-BDEF-411785F47BB8}"/>
    <dgm:cxn modelId="{F1D846F6-0811-41BC-9F2B-6DD8FF8528CA}" type="presOf" srcId="{53D57C52-EEB7-4E1D-AF9A-617D25938338}" destId="{07546064-6274-479D-9BB7-8F658CDB775B}" srcOrd="0" destOrd="0" presId="urn:diagrams.loki3.com/BracketList#1"/>
    <dgm:cxn modelId="{A7BF4EF6-59C5-45BD-B66C-663E549B1AA2}" srcId="{53D57C52-EEB7-4E1D-AF9A-617D25938338}" destId="{7E62A2B9-96CD-4439-ADC2-C3611A3B8864}" srcOrd="1" destOrd="0" parTransId="{0EF4E421-24A2-40F4-91C8-D7D4C00385E3}" sibTransId="{2D592F40-F125-4080-A0E7-175B8A2A116F}"/>
    <dgm:cxn modelId="{40600364-3555-4CDD-B329-4668E51CA36E}" type="presParOf" srcId="{E9EAB9D8-12EB-41E3-9715-2D4227487633}" destId="{71B7B24F-6D0A-49B2-9BC0-BC33D0A22A76}" srcOrd="0" destOrd="0" presId="urn:diagrams.loki3.com/BracketList#1"/>
    <dgm:cxn modelId="{B0F4E314-CB40-4E93-A2A4-061F718D697E}" type="presParOf" srcId="{71B7B24F-6D0A-49B2-9BC0-BC33D0A22A76}" destId="{76A2ECFA-501A-4667-9C83-BC04BDEA37BF}" srcOrd="0" destOrd="0" presId="urn:diagrams.loki3.com/BracketList#1"/>
    <dgm:cxn modelId="{B8D51326-5D54-43E5-BA17-05538ED8E260}" type="presParOf" srcId="{71B7B24F-6D0A-49B2-9BC0-BC33D0A22A76}" destId="{37B11A56-2E3E-46D8-B8B4-970C3EE581F4}" srcOrd="1" destOrd="0" presId="urn:diagrams.loki3.com/BracketList#1"/>
    <dgm:cxn modelId="{F0EE467A-C76B-4970-90E4-86FE585E121F}" type="presParOf" srcId="{71B7B24F-6D0A-49B2-9BC0-BC33D0A22A76}" destId="{E90C2578-BD0A-43FC-9505-5DF663A0374F}" srcOrd="2" destOrd="0" presId="urn:diagrams.loki3.com/BracketList#1"/>
    <dgm:cxn modelId="{5ECAA24F-6B88-41C9-B7C6-44E1A8FDA9C1}" type="presParOf" srcId="{71B7B24F-6D0A-49B2-9BC0-BC33D0A22A76}" destId="{A78479D3-0EE8-4794-83D6-A0B1D65AA960}" srcOrd="3" destOrd="0" presId="urn:diagrams.loki3.com/BracketList#1"/>
    <dgm:cxn modelId="{ECF63873-DD33-49EA-808A-AA96D26023BB}" type="presParOf" srcId="{E9EAB9D8-12EB-41E3-9715-2D4227487633}" destId="{F4A9CC8C-3763-497A-8B9C-001790F97663}" srcOrd="1" destOrd="0" presId="urn:diagrams.loki3.com/BracketList#1"/>
    <dgm:cxn modelId="{1EE63C05-A3E1-4D9C-AF67-47E6E9CFB272}" type="presParOf" srcId="{E9EAB9D8-12EB-41E3-9715-2D4227487633}" destId="{3E2C6DA1-ACB0-49B2-A1DD-B6B89B69521A}" srcOrd="2" destOrd="0" presId="urn:diagrams.loki3.com/BracketList#1"/>
    <dgm:cxn modelId="{6545076F-DCC8-4A95-9E6F-6EBECE4301D4}" type="presParOf" srcId="{3E2C6DA1-ACB0-49B2-A1DD-B6B89B69521A}" destId="{07546064-6274-479D-9BB7-8F658CDB775B}" srcOrd="0" destOrd="0" presId="urn:diagrams.loki3.com/BracketList#1"/>
    <dgm:cxn modelId="{10B867AC-3658-48E5-96A0-CDC80D233048}" type="presParOf" srcId="{3E2C6DA1-ACB0-49B2-A1DD-B6B89B69521A}" destId="{00E5E552-191F-4316-84EE-571792FD06E5}" srcOrd="1" destOrd="0" presId="urn:diagrams.loki3.com/BracketList#1"/>
    <dgm:cxn modelId="{0859F8F9-3B79-4363-8BE1-8492EEC5CAA8}" type="presParOf" srcId="{3E2C6DA1-ACB0-49B2-A1DD-B6B89B69521A}" destId="{62A85D7A-2229-4AAD-B7A3-5ABDBD05A8D4}" srcOrd="2" destOrd="0" presId="urn:diagrams.loki3.com/BracketList#1"/>
    <dgm:cxn modelId="{CC1855FF-EBDA-4BBE-9479-8CEAE23F88D5}" type="presParOf" srcId="{3E2C6DA1-ACB0-49B2-A1DD-B6B89B69521A}" destId="{25FEE5B0-2E30-4426-A88C-65E12CAB0320}" srcOrd="3" destOrd="0" presId="urn:diagrams.loki3.com/BracketList#1"/>
    <dgm:cxn modelId="{FEE9FAE9-DBA5-44E3-9903-6C35094800C8}" type="presParOf" srcId="{E9EAB9D8-12EB-41E3-9715-2D4227487633}" destId="{542C18B5-BD61-4325-8277-37542C93E70F}" srcOrd="3" destOrd="0" presId="urn:diagrams.loki3.com/BracketList#1"/>
    <dgm:cxn modelId="{0B85ACCB-0120-413B-96A8-729A6725F423}" type="presParOf" srcId="{E9EAB9D8-12EB-41E3-9715-2D4227487633}" destId="{F6C39966-1E5E-4F51-916A-B624BB136FB6}" srcOrd="4" destOrd="0" presId="urn:diagrams.loki3.com/BracketList#1"/>
    <dgm:cxn modelId="{393898B2-5B0D-430E-9251-899FDA56BF0F}" type="presParOf" srcId="{F6C39966-1E5E-4F51-916A-B624BB136FB6}" destId="{8F954A4D-5D86-4A55-A823-71B6276B80C0}" srcOrd="0" destOrd="0" presId="urn:diagrams.loki3.com/BracketList#1"/>
    <dgm:cxn modelId="{13C2F0EE-9D5B-49D9-8330-6F0FD5537D5C}" type="presParOf" srcId="{F6C39966-1E5E-4F51-916A-B624BB136FB6}" destId="{B655AF80-ECEB-42E7-A5CB-D04E26823638}" srcOrd="1" destOrd="0" presId="urn:diagrams.loki3.com/BracketList#1"/>
    <dgm:cxn modelId="{CA2FD245-2722-4B08-9233-BCDCE992A7C6}" type="presParOf" srcId="{F6C39966-1E5E-4F51-916A-B624BB136FB6}" destId="{516F7C26-6CE0-4EA5-B781-6635DF628EED}" srcOrd="2" destOrd="0" presId="urn:diagrams.loki3.com/BracketList#1"/>
    <dgm:cxn modelId="{3C217475-6149-49C2-A263-947E89580683}" type="presParOf" srcId="{F6C39966-1E5E-4F51-916A-B624BB136FB6}" destId="{20E7AD3B-552B-493B-846E-8563BB6F1CC7}" srcOrd="3" destOrd="0" presId="urn:diagrams.loki3.com/BracketList#1"/>
  </dgm:cxnLst>
  <dgm:bg/>
  <dgm:whole/>
  <dgm:extLst>
    <a:ext uri="http://schemas.microsoft.com/office/drawing/2008/diagram">
      <dsp:dataModelExt xmlns:dsp="http://schemas.microsoft.com/office/drawing/2008/diagram" relId="rId25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2DC3EAB-0BC1-4510-A192-A157D59FC950}" type="doc">
      <dgm:prSet loTypeId="urn:microsoft.com/office/officeart/2005/8/layout/vList2" loCatId="list" qsTypeId="urn:microsoft.com/office/officeart/2005/8/quickstyle/simple1" qsCatId="simple" csTypeId="urn:microsoft.com/office/officeart/2005/8/colors/accent1_3" csCatId="accent1" phldr="1"/>
      <dgm:spPr/>
      <dgm:t>
        <a:bodyPr/>
        <a:lstStyle/>
        <a:p>
          <a:endParaRPr lang="en-US"/>
        </a:p>
      </dgm:t>
    </dgm:pt>
    <dgm:pt modelId="{48449D67-85EA-46EC-88B2-9E39EBFB84C3}">
      <dgm:prSet phldrT="[Text]" custT="1"/>
      <dgm:spPr>
        <a:xfrm>
          <a:off x="0" y="47002"/>
          <a:ext cx="9144000" cy="542880"/>
        </a:xfrm>
        <a:solidFill>
          <a:schemeClr val="accent6">
            <a:lumMod val="60000"/>
            <a:lumOff val="40000"/>
          </a:schemeClr>
        </a:solidFill>
        <a:ln w="12700" cap="flat" cmpd="sng" algn="ctr">
          <a:solidFill>
            <a:sysClr val="window" lastClr="FFFFFF">
              <a:hueOff val="0"/>
              <a:satOff val="0"/>
              <a:lumOff val="0"/>
              <a:alphaOff val="0"/>
            </a:sysClr>
          </a:solidFill>
          <a:prstDash val="solid"/>
          <a:miter lim="800000"/>
        </a:ln>
        <a:effectLst/>
      </dgm:spPr>
      <dgm:t>
        <a:bodyPr/>
        <a:lstStyle/>
        <a:p>
          <a:r>
            <a:rPr lang="en-US" sz="1400" b="1">
              <a:solidFill>
                <a:schemeClr val="accent6">
                  <a:lumMod val="50000"/>
                </a:schemeClr>
              </a:solidFill>
              <a:latin typeface="Calibri" panose="020F0502020204030204"/>
              <a:ea typeface="+mn-ea"/>
              <a:cs typeface="+mn-cs"/>
            </a:rPr>
            <a:t>Prohibited basis for denial or termination of assistance or eviction</a:t>
          </a:r>
        </a:p>
      </dgm:t>
    </dgm:pt>
    <dgm:pt modelId="{EC61CFA4-CC24-41FB-BBCE-EFF1220D5917}" type="parTrans" cxnId="{12BE329B-8919-4013-A453-B6FB9AF2FA72}">
      <dgm:prSet/>
      <dgm:spPr/>
      <dgm:t>
        <a:bodyPr/>
        <a:lstStyle/>
        <a:p>
          <a:endParaRPr lang="en-US"/>
        </a:p>
      </dgm:t>
    </dgm:pt>
    <dgm:pt modelId="{C0F89EF3-65C8-45D0-B980-AF84F8175E2E}" type="sibTrans" cxnId="{12BE329B-8919-4013-A453-B6FB9AF2FA72}">
      <dgm:prSet/>
      <dgm:spPr/>
      <dgm:t>
        <a:bodyPr/>
        <a:lstStyle/>
        <a:p>
          <a:endParaRPr lang="en-US"/>
        </a:p>
      </dgm:t>
    </dgm:pt>
    <dgm:pt modelId="{436E6C82-FC9A-4BC5-AE43-2426E6BAFD4A}">
      <dgm:prSet phldrT="[Text]" custT="1"/>
      <dgm:spPr>
        <a:xfrm>
          <a:off x="0" y="1970572"/>
          <a:ext cx="9144000" cy="542880"/>
        </a:xfrm>
        <a:solidFill>
          <a:schemeClr val="accent6">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en-US" sz="1400" b="1">
              <a:solidFill>
                <a:schemeClr val="accent6">
                  <a:lumMod val="50000"/>
                </a:schemeClr>
              </a:solidFill>
              <a:latin typeface="Calibri" panose="020F0502020204030204"/>
              <a:ea typeface="+mn-ea"/>
              <a:cs typeface="+mn-cs"/>
            </a:rPr>
            <a:t>Construction of lease terms and terms of assistance</a:t>
          </a:r>
        </a:p>
      </dgm:t>
    </dgm:pt>
    <dgm:pt modelId="{2DF458B7-6BD3-4F37-B935-FF954478DC7D}" type="parTrans" cxnId="{7E736F6C-9F10-4BF1-A0AE-7C29E065399D}">
      <dgm:prSet/>
      <dgm:spPr/>
      <dgm:t>
        <a:bodyPr/>
        <a:lstStyle/>
        <a:p>
          <a:endParaRPr lang="en-US"/>
        </a:p>
      </dgm:t>
    </dgm:pt>
    <dgm:pt modelId="{DEAB0FBD-8F66-478E-8EE5-3C9E35097902}" type="sibTrans" cxnId="{7E736F6C-9F10-4BF1-A0AE-7C29E065399D}">
      <dgm:prSet/>
      <dgm:spPr/>
      <dgm:t>
        <a:bodyPr/>
        <a:lstStyle/>
        <a:p>
          <a:endParaRPr lang="en-US"/>
        </a:p>
      </dgm:t>
    </dgm:pt>
    <dgm:pt modelId="{ED30AF48-283C-434D-BD5B-AED3A99C1F74}">
      <dgm:prSet phldrT="[Text]" custT="1"/>
      <dgm:spPr>
        <a:xfrm>
          <a:off x="0" y="3143766"/>
          <a:ext cx="9144000" cy="542880"/>
        </a:xfrm>
        <a:solidFill>
          <a:schemeClr val="accent6">
            <a:lumMod val="20000"/>
            <a:lumOff val="80000"/>
          </a:schemeClr>
        </a:solidFill>
        <a:ln w="12700" cap="flat" cmpd="sng" algn="ctr">
          <a:solidFill>
            <a:sysClr val="window" lastClr="FFFFFF">
              <a:hueOff val="0"/>
              <a:satOff val="0"/>
              <a:lumOff val="0"/>
              <a:alphaOff val="0"/>
            </a:sysClr>
          </a:solidFill>
          <a:prstDash val="solid"/>
          <a:miter lim="800000"/>
        </a:ln>
        <a:effectLst/>
      </dgm:spPr>
      <dgm:t>
        <a:bodyPr/>
        <a:lstStyle/>
        <a:p>
          <a:r>
            <a:rPr lang="en-US" sz="1400" b="1">
              <a:solidFill>
                <a:schemeClr val="accent6">
                  <a:lumMod val="50000"/>
                </a:schemeClr>
              </a:solidFill>
              <a:latin typeface="Calibri" panose="020F0502020204030204"/>
              <a:ea typeface="+mn-ea"/>
              <a:cs typeface="+mn-cs"/>
            </a:rPr>
            <a:t>Limitations of VAWA protections</a:t>
          </a:r>
        </a:p>
      </dgm:t>
    </dgm:pt>
    <dgm:pt modelId="{FAD01372-2A99-4D92-AA8E-2A2BEF4C680E}" type="parTrans" cxnId="{31E2EAEF-53E1-4C23-9A93-F1C6D7C0CE87}">
      <dgm:prSet/>
      <dgm:spPr/>
      <dgm:t>
        <a:bodyPr/>
        <a:lstStyle/>
        <a:p>
          <a:endParaRPr lang="en-US"/>
        </a:p>
      </dgm:t>
    </dgm:pt>
    <dgm:pt modelId="{A62BB401-7CD2-4631-8526-38A0B126A485}" type="sibTrans" cxnId="{31E2EAEF-53E1-4C23-9A93-F1C6D7C0CE87}">
      <dgm:prSet/>
      <dgm:spPr/>
      <dgm:t>
        <a:bodyPr/>
        <a:lstStyle/>
        <a:p>
          <a:endParaRPr lang="en-US"/>
        </a:p>
      </dgm:t>
    </dgm:pt>
    <dgm:pt modelId="{4362E16A-E4C0-4314-BF51-85FCCFAB4B56}">
      <dgm:prSet phldrT="[Text]" custT="1"/>
      <dgm:spPr>
        <a:xfrm>
          <a:off x="0" y="589882"/>
          <a:ext cx="9144000" cy="1380689"/>
        </a:xfrm>
        <a:noFill/>
        <a:ln>
          <a:noFill/>
        </a:ln>
        <a:effectLst/>
      </dgm:spPr>
      <dgm:t>
        <a:bodyPr/>
        <a:lstStyle/>
        <a:p>
          <a:pPr marL="57150">
            <a:lnSpc>
              <a:spcPct val="100000"/>
            </a:lnSpc>
            <a:spcAft>
              <a:spcPts val="0"/>
            </a:spcAft>
          </a:pPr>
          <a:r>
            <a:rPr lang="en-US" sz="1000">
              <a:solidFill>
                <a:sysClr val="windowText" lastClr="000000">
                  <a:hueOff val="0"/>
                  <a:satOff val="0"/>
                  <a:lumOff val="0"/>
                  <a:alphaOff val="0"/>
                </a:sysClr>
              </a:solidFill>
              <a:latin typeface="Calibri" panose="020F0502020204030204"/>
              <a:ea typeface="+mn-ea"/>
              <a:cs typeface="+mn-cs"/>
            </a:rPr>
            <a:t>An applicant or beneficiary of the DSHS HOPWA Program cannot be denied admission to, denied assistance under, terminated from participation in, or evicted from the unit solely because they survived domestic violence, dating violence, sexual assault, or stalking, if the applicant or beneficiary otherwise qualifies for admission, assistance, participation, or occupancy.</a:t>
          </a:r>
        </a:p>
      </dgm:t>
    </dgm:pt>
    <dgm:pt modelId="{8757BB39-4646-4163-AA85-03EBFCA82786}" type="parTrans" cxnId="{F41D5639-6D8F-49FB-9523-FE6218537ECC}">
      <dgm:prSet/>
      <dgm:spPr/>
      <dgm:t>
        <a:bodyPr/>
        <a:lstStyle/>
        <a:p>
          <a:endParaRPr lang="en-US"/>
        </a:p>
      </dgm:t>
    </dgm:pt>
    <dgm:pt modelId="{5F6811E1-F4E1-4D31-9F6B-672E55A7E172}" type="sibTrans" cxnId="{F41D5639-6D8F-49FB-9523-FE6218537ECC}">
      <dgm:prSet/>
      <dgm:spPr/>
      <dgm:t>
        <a:bodyPr/>
        <a:lstStyle/>
        <a:p>
          <a:endParaRPr lang="en-US"/>
        </a:p>
      </dgm:t>
    </dgm:pt>
    <dgm:pt modelId="{E91F3AEB-9F86-4FCD-ADD3-AC62763F93FF}">
      <dgm:prSet phldrT="[Text]" custT="1"/>
      <dgm:spPr>
        <a:xfrm>
          <a:off x="0" y="2513452"/>
          <a:ext cx="9144000" cy="630315"/>
        </a:xfrm>
        <a:noFill/>
        <a:ln>
          <a:noFill/>
        </a:ln>
        <a:effectLst/>
      </dgm:spPr>
      <dgm:t>
        <a:bodyPr/>
        <a:lstStyle/>
        <a:p>
          <a:pPr marL="57150">
            <a:lnSpc>
              <a:spcPct val="100000"/>
            </a:lnSpc>
            <a:spcAft>
              <a:spcPts val="0"/>
            </a:spcAft>
          </a:pPr>
          <a:r>
            <a:rPr lang="en-US" sz="1000">
              <a:solidFill>
                <a:sysClr val="windowText" lastClr="000000">
                  <a:hueOff val="0"/>
                  <a:satOff val="0"/>
                  <a:lumOff val="0"/>
                  <a:alphaOff val="0"/>
                </a:sysClr>
              </a:solidFill>
              <a:latin typeface="Calibri" panose="020F0502020204030204"/>
              <a:ea typeface="+mn-ea"/>
              <a:cs typeface="+mn-cs"/>
            </a:rPr>
            <a:t>An incident of actual or threatened domestic violence, dating violence, sexual assault, or stalking cannot be construed as:</a:t>
          </a:r>
        </a:p>
      </dgm:t>
    </dgm:pt>
    <dgm:pt modelId="{B57D66B6-FF47-4773-8224-0FBB70E20E73}" type="parTrans" cxnId="{19924CFD-25C6-44CC-B968-D014FF571779}">
      <dgm:prSet/>
      <dgm:spPr/>
      <dgm:t>
        <a:bodyPr/>
        <a:lstStyle/>
        <a:p>
          <a:endParaRPr lang="en-US"/>
        </a:p>
      </dgm:t>
    </dgm:pt>
    <dgm:pt modelId="{18DEF9FA-D0C3-41DA-BF67-97EDD463AA83}" type="sibTrans" cxnId="{19924CFD-25C6-44CC-B968-D014FF571779}">
      <dgm:prSet/>
      <dgm:spPr/>
      <dgm:t>
        <a:bodyPr/>
        <a:lstStyle/>
        <a:p>
          <a:endParaRPr lang="en-US"/>
        </a:p>
      </dgm:t>
    </dgm:pt>
    <dgm:pt modelId="{7F5191E3-D137-4DB6-8913-856CC8DE2759}">
      <dgm:prSet phldrT="[Text]" custT="1"/>
      <dgm:spPr>
        <a:xfrm>
          <a:off x="0" y="3686646"/>
          <a:ext cx="9144000" cy="2941470"/>
        </a:xfrm>
        <a:noFill/>
        <a:ln>
          <a:noFill/>
        </a:ln>
        <a:effectLst/>
      </dgm:spPr>
      <dgm:t>
        <a:bodyPr/>
        <a:lstStyle/>
        <a:p>
          <a:pPr marL="57150">
            <a:lnSpc>
              <a:spcPct val="100000"/>
            </a:lnSpc>
            <a:spcAft>
              <a:spcPts val="0"/>
            </a:spcAft>
          </a:pPr>
          <a:r>
            <a:rPr lang="en-US" sz="1000">
              <a:solidFill>
                <a:sysClr val="windowText" lastClr="000000">
                  <a:hueOff val="0"/>
                  <a:satOff val="0"/>
                  <a:lumOff val="0"/>
                  <a:alphaOff val="0"/>
                </a:sysClr>
              </a:solidFill>
              <a:latin typeface="Calibri" panose="020F0502020204030204"/>
              <a:ea typeface="+mn-ea"/>
              <a:cs typeface="+mn-cs"/>
            </a:rPr>
            <a:t>VAWA does not limit owners or Project Sponsors, when notified of a court order, from complying with a court order with respect to:</a:t>
          </a:r>
        </a:p>
      </dgm:t>
    </dgm:pt>
    <dgm:pt modelId="{93498FFF-8B45-4133-82E5-266ED0D24400}" type="parTrans" cxnId="{618609A0-0DA1-42B8-A95F-092C13705C8B}">
      <dgm:prSet/>
      <dgm:spPr/>
      <dgm:t>
        <a:bodyPr/>
        <a:lstStyle/>
        <a:p>
          <a:endParaRPr lang="en-US"/>
        </a:p>
      </dgm:t>
    </dgm:pt>
    <dgm:pt modelId="{8913723F-C90B-4C47-8474-C6A1C104B160}" type="sibTrans" cxnId="{618609A0-0DA1-42B8-A95F-092C13705C8B}">
      <dgm:prSet/>
      <dgm:spPr/>
      <dgm:t>
        <a:bodyPr/>
        <a:lstStyle/>
        <a:p>
          <a:endParaRPr lang="en-US"/>
        </a:p>
      </dgm:t>
    </dgm:pt>
    <dgm:pt modelId="{A64BC671-D00E-449B-8798-89B146F367F7}">
      <dgm:prSet custT="1"/>
      <dgm:spPr>
        <a:xfrm>
          <a:off x="0" y="589882"/>
          <a:ext cx="9144000" cy="1380689"/>
        </a:xfrm>
        <a:noFill/>
        <a:ln>
          <a:noFill/>
        </a:ln>
        <a:effectLst/>
      </dgm:spPr>
      <dgm:t>
        <a:bodyPr/>
        <a:lstStyle/>
        <a:p>
          <a:pPr marL="57150">
            <a:lnSpc>
              <a:spcPct val="100000"/>
            </a:lnSpc>
            <a:spcAft>
              <a:spcPts val="0"/>
            </a:spcAft>
          </a:pPr>
          <a:r>
            <a:rPr lang="en-US" sz="1000">
              <a:solidFill>
                <a:sysClr val="windowText" lastClr="000000">
                  <a:hueOff val="0"/>
                  <a:satOff val="0"/>
                  <a:lumOff val="0"/>
                  <a:alphaOff val="0"/>
                </a:sysClr>
              </a:solidFill>
              <a:latin typeface="Calibri" panose="020F0502020204030204"/>
              <a:ea typeface="+mn-ea"/>
              <a:cs typeface="+mn-cs"/>
            </a:rPr>
            <a:t>A beneficiary of the DSHS HOPWA Program cannot be denied assistance or occupancy rights solely based on criminal activity directly relating to domestic violence, dating violence, sexual assault, or stalking if:</a:t>
          </a:r>
        </a:p>
      </dgm:t>
    </dgm:pt>
    <dgm:pt modelId="{EB908E1B-F18D-486E-AAE5-787909389326}" type="parTrans" cxnId="{21BE098E-5AF0-4F60-BF6E-628D87D46EB0}">
      <dgm:prSet/>
      <dgm:spPr/>
      <dgm:t>
        <a:bodyPr/>
        <a:lstStyle/>
        <a:p>
          <a:endParaRPr lang="en-US"/>
        </a:p>
      </dgm:t>
    </dgm:pt>
    <dgm:pt modelId="{756EE874-B73E-4AFF-A0A3-72599B6AF490}" type="sibTrans" cxnId="{21BE098E-5AF0-4F60-BF6E-628D87D46EB0}">
      <dgm:prSet/>
      <dgm:spPr/>
      <dgm:t>
        <a:bodyPr/>
        <a:lstStyle/>
        <a:p>
          <a:endParaRPr lang="en-US"/>
        </a:p>
      </dgm:t>
    </dgm:pt>
    <dgm:pt modelId="{21A6AA8B-B4D4-436B-86C4-F5F3D5912316}">
      <dgm:prSet custT="1"/>
      <dgm:spPr>
        <a:xfrm>
          <a:off x="0" y="589882"/>
          <a:ext cx="9144000" cy="1380689"/>
        </a:xfrm>
        <a:noFill/>
        <a:ln>
          <a:noFill/>
        </a:ln>
        <a:effectLst/>
      </dgm:spPr>
      <dgm:t>
        <a:bodyPr/>
        <a:lstStyle/>
        <a:p>
          <a:pPr marL="274320">
            <a:lnSpc>
              <a:spcPct val="100000"/>
            </a:lnSpc>
            <a:spcAft>
              <a:spcPts val="0"/>
            </a:spcAft>
          </a:pPr>
          <a:r>
            <a:rPr lang="en-US" sz="1000">
              <a:solidFill>
                <a:sysClr val="windowText" lastClr="000000">
                  <a:hueOff val="0"/>
                  <a:satOff val="0"/>
                  <a:lumOff val="0"/>
                  <a:alphaOff val="0"/>
                </a:sysClr>
              </a:solidFill>
              <a:latin typeface="Calibri" panose="020F0502020204030204"/>
              <a:ea typeface="+mn-ea"/>
              <a:cs typeface="+mn-cs"/>
            </a:rPr>
            <a:t>A household member, guest, or other person under the control of the household perpetrates the criminal activity; and</a:t>
          </a:r>
        </a:p>
      </dgm:t>
    </dgm:pt>
    <dgm:pt modelId="{E443680B-EA54-431C-9B15-46B5B790A0BE}" type="parTrans" cxnId="{07D631F2-DE1A-49F4-9D5A-C30312A98EE9}">
      <dgm:prSet/>
      <dgm:spPr/>
      <dgm:t>
        <a:bodyPr/>
        <a:lstStyle/>
        <a:p>
          <a:endParaRPr lang="en-US"/>
        </a:p>
      </dgm:t>
    </dgm:pt>
    <dgm:pt modelId="{C0D2E7A7-AFB4-40C4-A0E4-7775A940C597}" type="sibTrans" cxnId="{07D631F2-DE1A-49F4-9D5A-C30312A98EE9}">
      <dgm:prSet/>
      <dgm:spPr/>
      <dgm:t>
        <a:bodyPr/>
        <a:lstStyle/>
        <a:p>
          <a:endParaRPr lang="en-US"/>
        </a:p>
      </dgm:t>
    </dgm:pt>
    <dgm:pt modelId="{2F0BABE8-F3AA-40C1-915C-D54EEBC18D66}">
      <dgm:prSet custT="1"/>
      <dgm:spPr>
        <a:xfrm>
          <a:off x="0" y="589882"/>
          <a:ext cx="9144000" cy="1380689"/>
        </a:xfrm>
        <a:noFill/>
        <a:ln>
          <a:noFill/>
        </a:ln>
        <a:effectLst/>
      </dgm:spPr>
      <dgm:t>
        <a:bodyPr/>
        <a:lstStyle/>
        <a:p>
          <a:pPr marL="274320">
            <a:lnSpc>
              <a:spcPct val="100000"/>
            </a:lnSpc>
            <a:spcAft>
              <a:spcPts val="0"/>
            </a:spcAft>
          </a:pPr>
          <a:r>
            <a:rPr lang="en-US" sz="1000">
              <a:solidFill>
                <a:sysClr val="windowText" lastClr="000000">
                  <a:hueOff val="0"/>
                  <a:satOff val="0"/>
                  <a:lumOff val="0"/>
                  <a:alphaOff val="0"/>
                </a:sysClr>
              </a:solidFill>
              <a:latin typeface="Calibri" panose="020F0502020204030204"/>
              <a:ea typeface="+mn-ea"/>
              <a:cs typeface="+mn-cs"/>
            </a:rPr>
            <a:t>A beneficiary survives actual or threatened domestic violence, dating violence, sexual assault, or stalking.</a:t>
          </a:r>
        </a:p>
      </dgm:t>
    </dgm:pt>
    <dgm:pt modelId="{E5EEF4F1-1314-44EF-999D-87E714B22F26}" type="parTrans" cxnId="{9F638C63-2E4D-42F6-96E9-AC2E9212E821}">
      <dgm:prSet/>
      <dgm:spPr/>
      <dgm:t>
        <a:bodyPr/>
        <a:lstStyle/>
        <a:p>
          <a:endParaRPr lang="en-US"/>
        </a:p>
      </dgm:t>
    </dgm:pt>
    <dgm:pt modelId="{B45AADD1-5AD3-4DB8-AE88-8A2D8F7426B9}" type="sibTrans" cxnId="{9F638C63-2E4D-42F6-96E9-AC2E9212E821}">
      <dgm:prSet/>
      <dgm:spPr/>
      <dgm:t>
        <a:bodyPr/>
        <a:lstStyle/>
        <a:p>
          <a:endParaRPr lang="en-US"/>
        </a:p>
      </dgm:t>
    </dgm:pt>
    <dgm:pt modelId="{2F75C13D-2BCD-4F32-9219-DFC8E2212F10}">
      <dgm:prSet custT="1"/>
      <dgm:spPr>
        <a:xfrm>
          <a:off x="0" y="2513452"/>
          <a:ext cx="9144000" cy="630315"/>
        </a:xfrm>
        <a:noFill/>
        <a:ln>
          <a:noFill/>
        </a:ln>
        <a:effectLst/>
      </dgm:spPr>
      <dgm:t>
        <a:bodyPr/>
        <a:lstStyle/>
        <a:p>
          <a:pPr marL="274320">
            <a:lnSpc>
              <a:spcPct val="100000"/>
            </a:lnSpc>
            <a:spcAft>
              <a:spcPts val="0"/>
            </a:spcAft>
          </a:pPr>
          <a:r>
            <a:rPr lang="en-US" sz="1000">
              <a:solidFill>
                <a:sysClr val="windowText" lastClr="000000">
                  <a:hueOff val="0"/>
                  <a:satOff val="0"/>
                  <a:lumOff val="0"/>
                  <a:alphaOff val="0"/>
                </a:sysClr>
              </a:solidFill>
              <a:latin typeface="Calibri" panose="020F0502020204030204"/>
              <a:ea typeface="+mn-ea"/>
              <a:cs typeface="+mn-cs"/>
            </a:rPr>
            <a:t>A serious or repeated violation of an executed lease by the survivor or threatened survivor of such incident; or</a:t>
          </a:r>
        </a:p>
      </dgm:t>
    </dgm:pt>
    <dgm:pt modelId="{3DEB01EC-3A13-4A1E-8BD2-44108EA6FD23}" type="parTrans" cxnId="{EBD4751D-E59B-49DC-AFA5-1E36F29E5AE9}">
      <dgm:prSet/>
      <dgm:spPr/>
      <dgm:t>
        <a:bodyPr/>
        <a:lstStyle/>
        <a:p>
          <a:endParaRPr lang="en-US"/>
        </a:p>
      </dgm:t>
    </dgm:pt>
    <dgm:pt modelId="{A0DD7E41-5689-4A72-9321-3760EC580F72}" type="sibTrans" cxnId="{EBD4751D-E59B-49DC-AFA5-1E36F29E5AE9}">
      <dgm:prSet/>
      <dgm:spPr/>
      <dgm:t>
        <a:bodyPr/>
        <a:lstStyle/>
        <a:p>
          <a:endParaRPr lang="en-US"/>
        </a:p>
      </dgm:t>
    </dgm:pt>
    <dgm:pt modelId="{8048195B-BD9F-41AE-9E84-D7DF061CFBAA}">
      <dgm:prSet custT="1"/>
      <dgm:spPr>
        <a:xfrm>
          <a:off x="0" y="2513452"/>
          <a:ext cx="9144000" cy="630315"/>
        </a:xfrm>
        <a:noFill/>
        <a:ln>
          <a:noFill/>
        </a:ln>
        <a:effectLst/>
      </dgm:spPr>
      <dgm:t>
        <a:bodyPr/>
        <a:lstStyle/>
        <a:p>
          <a:pPr marL="274320">
            <a:lnSpc>
              <a:spcPct val="100000"/>
            </a:lnSpc>
            <a:spcAft>
              <a:spcPts val="0"/>
            </a:spcAft>
          </a:pPr>
          <a:r>
            <a:rPr lang="en-US" sz="1000">
              <a:solidFill>
                <a:sysClr val="windowText" lastClr="000000">
                  <a:hueOff val="0"/>
                  <a:satOff val="0"/>
                  <a:lumOff val="0"/>
                  <a:alphaOff val="0"/>
                </a:sysClr>
              </a:solidFill>
              <a:latin typeface="Calibri" panose="020F0502020204030204"/>
              <a:ea typeface="+mn-ea"/>
              <a:cs typeface="+mn-cs"/>
            </a:rPr>
            <a:t>Good cause for terminating the assistance, tenancy, or occupancy rights under the DSHS HOPWA Program of the survivor or threatened survivor of such incident.</a:t>
          </a:r>
        </a:p>
      </dgm:t>
    </dgm:pt>
    <dgm:pt modelId="{0D12041C-127C-4DDA-BB65-6A259DA77257}" type="parTrans" cxnId="{FE378E30-2F9D-49CC-BF6C-4882F773B102}">
      <dgm:prSet/>
      <dgm:spPr/>
      <dgm:t>
        <a:bodyPr/>
        <a:lstStyle/>
        <a:p>
          <a:endParaRPr lang="en-US"/>
        </a:p>
      </dgm:t>
    </dgm:pt>
    <dgm:pt modelId="{B08A20AD-64DE-423A-92E1-8EF4A082993A}" type="sibTrans" cxnId="{FE378E30-2F9D-49CC-BF6C-4882F773B102}">
      <dgm:prSet/>
      <dgm:spPr/>
      <dgm:t>
        <a:bodyPr/>
        <a:lstStyle/>
        <a:p>
          <a:endParaRPr lang="en-US"/>
        </a:p>
      </dgm:t>
    </dgm:pt>
    <dgm:pt modelId="{EAFCAF6B-44E7-4CC2-8F67-B163EBCD4AF1}">
      <dgm:prSet custT="1"/>
      <dgm:spPr>
        <a:xfrm>
          <a:off x="0" y="3686646"/>
          <a:ext cx="9144000" cy="2941470"/>
        </a:xfrm>
        <a:noFill/>
        <a:ln>
          <a:noFill/>
        </a:ln>
        <a:effectLst/>
      </dgm:spPr>
      <dgm:t>
        <a:bodyPr/>
        <a:lstStyle/>
        <a:p>
          <a:pPr marL="274320">
            <a:lnSpc>
              <a:spcPct val="100000"/>
            </a:lnSpc>
            <a:spcAft>
              <a:spcPts val="0"/>
            </a:spcAft>
          </a:pPr>
          <a:r>
            <a:rPr lang="en-US" sz="1000">
              <a:solidFill>
                <a:sysClr val="windowText" lastClr="000000">
                  <a:hueOff val="0"/>
                  <a:satOff val="0"/>
                  <a:lumOff val="0"/>
                  <a:alphaOff val="0"/>
                </a:sysClr>
              </a:solidFill>
              <a:latin typeface="Calibri" panose="020F0502020204030204"/>
              <a:ea typeface="+mn-ea"/>
              <a:cs typeface="+mn-cs"/>
            </a:rPr>
            <a:t>The rights of access or control of property, including civil protection orders issued to protect survivors of domestic violence, dating violence, sexual assault, or stalking; or</a:t>
          </a:r>
        </a:p>
      </dgm:t>
    </dgm:pt>
    <dgm:pt modelId="{6E4FCD49-0AEC-4EB9-9FFD-484A7173DD48}" type="parTrans" cxnId="{3686FE96-BF83-4A62-9194-4C3CD4ACAED3}">
      <dgm:prSet/>
      <dgm:spPr/>
      <dgm:t>
        <a:bodyPr/>
        <a:lstStyle/>
        <a:p>
          <a:endParaRPr lang="en-US"/>
        </a:p>
      </dgm:t>
    </dgm:pt>
    <dgm:pt modelId="{8935AA4C-03F2-4A71-A97D-97161BCEB239}" type="sibTrans" cxnId="{3686FE96-BF83-4A62-9194-4C3CD4ACAED3}">
      <dgm:prSet/>
      <dgm:spPr/>
      <dgm:t>
        <a:bodyPr/>
        <a:lstStyle/>
        <a:p>
          <a:endParaRPr lang="en-US"/>
        </a:p>
      </dgm:t>
    </dgm:pt>
    <dgm:pt modelId="{85B5C2AD-5703-4D12-9571-8A61E64D29B1}">
      <dgm:prSet custT="1"/>
      <dgm:spPr>
        <a:xfrm>
          <a:off x="0" y="3686646"/>
          <a:ext cx="9144000" cy="2941470"/>
        </a:xfrm>
        <a:noFill/>
        <a:ln>
          <a:noFill/>
        </a:ln>
        <a:effectLst/>
      </dgm:spPr>
      <dgm:t>
        <a:bodyPr/>
        <a:lstStyle/>
        <a:p>
          <a:pPr marL="274320">
            <a:lnSpc>
              <a:spcPct val="100000"/>
            </a:lnSpc>
            <a:spcAft>
              <a:spcPts val="0"/>
            </a:spcAft>
          </a:pPr>
          <a:r>
            <a:rPr lang="en-US" sz="1000">
              <a:solidFill>
                <a:sysClr val="windowText" lastClr="000000">
                  <a:hueOff val="0"/>
                  <a:satOff val="0"/>
                  <a:lumOff val="0"/>
                  <a:alphaOff val="0"/>
                </a:sysClr>
              </a:solidFill>
              <a:latin typeface="Calibri" panose="020F0502020204030204"/>
              <a:ea typeface="+mn-ea"/>
              <a:cs typeface="+mn-cs"/>
            </a:rPr>
            <a:t>The distribution or possession of property among beneficiaries.</a:t>
          </a:r>
        </a:p>
      </dgm:t>
    </dgm:pt>
    <dgm:pt modelId="{435C8AC8-1ACF-4849-9560-97C24DCA15E2}" type="parTrans" cxnId="{B5939505-7592-4348-A602-F541D327856C}">
      <dgm:prSet/>
      <dgm:spPr/>
      <dgm:t>
        <a:bodyPr/>
        <a:lstStyle/>
        <a:p>
          <a:endParaRPr lang="en-US"/>
        </a:p>
      </dgm:t>
    </dgm:pt>
    <dgm:pt modelId="{F786158A-FB13-4148-8521-8A965FC30E26}" type="sibTrans" cxnId="{B5939505-7592-4348-A602-F541D327856C}">
      <dgm:prSet/>
      <dgm:spPr/>
      <dgm:t>
        <a:bodyPr/>
        <a:lstStyle/>
        <a:p>
          <a:endParaRPr lang="en-US"/>
        </a:p>
      </dgm:t>
    </dgm:pt>
    <dgm:pt modelId="{89CC9903-A399-4681-A252-BB4CF7544DAF}">
      <dgm:prSet custT="1"/>
      <dgm:spPr>
        <a:xfrm>
          <a:off x="0" y="3686646"/>
          <a:ext cx="9144000" cy="2941470"/>
        </a:xfrm>
        <a:noFill/>
        <a:ln>
          <a:noFill/>
        </a:ln>
        <a:effectLst/>
      </dgm:spPr>
      <dgm:t>
        <a:bodyPr/>
        <a:lstStyle/>
        <a:p>
          <a:pPr marL="57150">
            <a:lnSpc>
              <a:spcPct val="100000"/>
            </a:lnSpc>
            <a:spcAft>
              <a:spcPts val="0"/>
            </a:spcAft>
          </a:pPr>
          <a:r>
            <a:rPr lang="en-US" sz="1000">
              <a:solidFill>
                <a:sysClr val="windowText" lastClr="000000">
                  <a:hueOff val="0"/>
                  <a:satOff val="0"/>
                  <a:lumOff val="0"/>
                  <a:alphaOff val="0"/>
                </a:sysClr>
              </a:solidFill>
              <a:latin typeface="Calibri" panose="020F0502020204030204"/>
              <a:ea typeface="+mn-ea"/>
              <a:cs typeface="+mn-cs"/>
            </a:rPr>
            <a:t>VAWA does not limit owners or Project Sponsors from evicting or terminating assistance to a household for any violation unrelated to domestic violence, dating violence, sexual assault, or stalking attributable to the beneficiaries in question. However, owners or Project Sponsors must not subject a beneficiary, who survived domestic violence, dating violence, sexual assault, or stalking, or affiliates with a beneficiary who survived the same, to a more demanding standard than other beneficiaries in determining whether to evict or terminate assistance.</a:t>
          </a:r>
        </a:p>
      </dgm:t>
    </dgm:pt>
    <dgm:pt modelId="{F7154897-4770-4422-9452-17A173BBFB99}" type="parTrans" cxnId="{E94DAB95-F20D-472B-9B61-DCFD244C36CD}">
      <dgm:prSet/>
      <dgm:spPr/>
      <dgm:t>
        <a:bodyPr/>
        <a:lstStyle/>
        <a:p>
          <a:endParaRPr lang="en-US"/>
        </a:p>
      </dgm:t>
    </dgm:pt>
    <dgm:pt modelId="{6136101E-3F59-46E0-8B3B-547DB616C3E6}" type="sibTrans" cxnId="{E94DAB95-F20D-472B-9B61-DCFD244C36CD}">
      <dgm:prSet/>
      <dgm:spPr/>
      <dgm:t>
        <a:bodyPr/>
        <a:lstStyle/>
        <a:p>
          <a:endParaRPr lang="en-US"/>
        </a:p>
      </dgm:t>
    </dgm:pt>
    <dgm:pt modelId="{A94BB50B-F1D4-4672-8CEB-DF414DA0A7F3}">
      <dgm:prSet custT="1"/>
      <dgm:spPr>
        <a:xfrm>
          <a:off x="0" y="3686646"/>
          <a:ext cx="9144000" cy="2941470"/>
        </a:xfrm>
        <a:noFill/>
        <a:ln>
          <a:noFill/>
        </a:ln>
        <a:effectLst/>
      </dgm:spPr>
      <dgm:t>
        <a:bodyPr/>
        <a:lstStyle/>
        <a:p>
          <a:pPr marL="57150">
            <a:lnSpc>
              <a:spcPct val="100000"/>
            </a:lnSpc>
            <a:spcAft>
              <a:spcPts val="0"/>
            </a:spcAft>
          </a:pPr>
          <a:r>
            <a:rPr lang="en-US" sz="1000">
              <a:solidFill>
                <a:sysClr val="windowText" lastClr="000000">
                  <a:hueOff val="0"/>
                  <a:satOff val="0"/>
                  <a:lumOff val="0"/>
                  <a:alphaOff val="0"/>
                </a:sysClr>
              </a:solidFill>
              <a:latin typeface="Calibri" panose="020F0502020204030204"/>
              <a:ea typeface="+mn-ea"/>
              <a:cs typeface="+mn-cs"/>
            </a:rPr>
            <a:t>VAWA does not limit owners or Project Sponsors from evicting or terminating assistance to a household when they can demonstrate the presence of an actual and imminent threat to other households or those employed at or providing services to the property of the owner or Project Sponsor if they did not evict or terminate assistance to the beneficiary or household. In this context, an “actual and imminent threat” includes words, gestures, actions, or other indicators that meet the definition of “actual and imminent threat” in 24 CFR §5.2003.</a:t>
          </a:r>
        </a:p>
      </dgm:t>
    </dgm:pt>
    <dgm:pt modelId="{24EEA89A-43A5-40BE-99DB-7834D04D86A3}" type="parTrans" cxnId="{1C30F0B8-4B8E-433B-A39B-23711C109E9E}">
      <dgm:prSet/>
      <dgm:spPr/>
      <dgm:t>
        <a:bodyPr/>
        <a:lstStyle/>
        <a:p>
          <a:endParaRPr lang="en-US"/>
        </a:p>
      </dgm:t>
    </dgm:pt>
    <dgm:pt modelId="{9D4E18B3-D7FF-4E92-9D16-D25B8DDB4F5B}" type="sibTrans" cxnId="{1C30F0B8-4B8E-433B-A39B-23711C109E9E}">
      <dgm:prSet/>
      <dgm:spPr/>
      <dgm:t>
        <a:bodyPr/>
        <a:lstStyle/>
        <a:p>
          <a:endParaRPr lang="en-US"/>
        </a:p>
      </dgm:t>
    </dgm:pt>
    <dgm:pt modelId="{3C4D978C-96F6-483F-B171-717814E7F2C2}">
      <dgm:prSet custT="1"/>
      <dgm:spPr>
        <a:xfrm>
          <a:off x="0" y="3686646"/>
          <a:ext cx="9144000" cy="2941470"/>
        </a:xfrm>
        <a:noFill/>
        <a:ln>
          <a:noFill/>
        </a:ln>
        <a:effectLst/>
      </dgm:spPr>
      <dgm:t>
        <a:bodyPr/>
        <a:lstStyle/>
        <a:p>
          <a:pPr marL="57150">
            <a:lnSpc>
              <a:spcPct val="100000"/>
            </a:lnSpc>
            <a:spcAft>
              <a:spcPts val="0"/>
            </a:spcAft>
          </a:pPr>
          <a:r>
            <a:rPr lang="en-US" sz="1000">
              <a:solidFill>
                <a:sysClr val="windowText" lastClr="000000">
                  <a:hueOff val="0"/>
                  <a:satOff val="0"/>
                  <a:lumOff val="0"/>
                  <a:alphaOff val="0"/>
                </a:sysClr>
              </a:solidFill>
              <a:latin typeface="Calibri" panose="020F0502020204030204"/>
              <a:ea typeface="+mn-ea"/>
              <a:cs typeface="+mn-cs"/>
            </a:rPr>
            <a:t>Owners or Project Sponsors should utilize eviction or termination of assistance only when they cannot reduce or eliminate threats via other actions including but not limited to transferring survivors to a different unit, barring the accused perpetrator from the property, contacting law enforcement to increase police presence or develop other plans to keep the property safe, or seeking other legal remedies to prevent the accused perpetrator from acting on a threat. Owners or Project Sponsors must tailor such restrictions to particularized concerns about individual beneficiaries. Restrictions predicated on public safety cannot rely on stereotypes.</a:t>
          </a:r>
        </a:p>
      </dgm:t>
    </dgm:pt>
    <dgm:pt modelId="{BFA3E1FF-AA2F-44F5-816B-788A779045CD}" type="parTrans" cxnId="{CD5421AD-8D13-4E1A-9462-57BE06B2DA2B}">
      <dgm:prSet/>
      <dgm:spPr/>
      <dgm:t>
        <a:bodyPr/>
        <a:lstStyle/>
        <a:p>
          <a:endParaRPr lang="en-US"/>
        </a:p>
      </dgm:t>
    </dgm:pt>
    <dgm:pt modelId="{59B41AAC-229F-456D-986F-F16AE3EB7718}" type="sibTrans" cxnId="{CD5421AD-8D13-4E1A-9462-57BE06B2DA2B}">
      <dgm:prSet/>
      <dgm:spPr/>
      <dgm:t>
        <a:bodyPr/>
        <a:lstStyle/>
        <a:p>
          <a:endParaRPr lang="en-US"/>
        </a:p>
      </dgm:t>
    </dgm:pt>
    <dgm:pt modelId="{69CFBBA9-469E-4DFD-B305-9F782323141B}">
      <dgm:prSet custT="1"/>
      <dgm:spPr>
        <a:xfrm>
          <a:off x="0" y="589882"/>
          <a:ext cx="9144000" cy="1380689"/>
        </a:xfrm>
        <a:noFill/>
        <a:ln>
          <a:noFill/>
        </a:ln>
        <a:effectLst/>
      </dgm:spPr>
      <dgm:t>
        <a:bodyPr/>
        <a:lstStyle/>
        <a:p>
          <a:pPr marL="57150">
            <a:lnSpc>
              <a:spcPct val="90000"/>
            </a:lnSpc>
            <a:spcAft>
              <a:spcPct val="20000"/>
            </a:spcAft>
          </a:pPr>
          <a:endParaRPr lang="en-US" sz="900">
            <a:solidFill>
              <a:sysClr val="windowText" lastClr="000000">
                <a:hueOff val="0"/>
                <a:satOff val="0"/>
                <a:lumOff val="0"/>
                <a:alphaOff val="0"/>
              </a:sysClr>
            </a:solidFill>
            <a:latin typeface="Calibri" panose="020F0502020204030204"/>
            <a:ea typeface="+mn-ea"/>
            <a:cs typeface="+mn-cs"/>
          </a:endParaRPr>
        </a:p>
      </dgm:t>
    </dgm:pt>
    <dgm:pt modelId="{4F7D962B-262C-432F-94A8-0D37BA1D1EB7}" type="parTrans" cxnId="{DBDF70D0-326B-48A3-9E26-5069BC4F497A}">
      <dgm:prSet/>
      <dgm:spPr/>
      <dgm:t>
        <a:bodyPr/>
        <a:lstStyle/>
        <a:p>
          <a:endParaRPr lang="en-US"/>
        </a:p>
      </dgm:t>
    </dgm:pt>
    <dgm:pt modelId="{B36BE4F8-AFE0-41FB-BBFC-B8101698E1C1}" type="sibTrans" cxnId="{DBDF70D0-326B-48A3-9E26-5069BC4F497A}">
      <dgm:prSet/>
      <dgm:spPr/>
      <dgm:t>
        <a:bodyPr/>
        <a:lstStyle/>
        <a:p>
          <a:endParaRPr lang="en-US"/>
        </a:p>
      </dgm:t>
    </dgm:pt>
    <dgm:pt modelId="{765FCF05-1295-457C-ADD5-520FF9D1B274}">
      <dgm:prSet custT="1"/>
      <dgm:spPr>
        <a:xfrm>
          <a:off x="0" y="2513452"/>
          <a:ext cx="9144000" cy="630315"/>
        </a:xfrm>
        <a:noFill/>
        <a:ln>
          <a:noFill/>
        </a:ln>
        <a:effectLst/>
      </dgm:spPr>
      <dgm:t>
        <a:bodyPr/>
        <a:lstStyle/>
        <a:p>
          <a:pPr marL="57150">
            <a:lnSpc>
              <a:spcPct val="90000"/>
            </a:lnSpc>
            <a:spcAft>
              <a:spcPct val="20000"/>
            </a:spcAft>
          </a:pPr>
          <a:endParaRPr lang="en-US" sz="900">
            <a:solidFill>
              <a:sysClr val="windowText" lastClr="000000">
                <a:hueOff val="0"/>
                <a:satOff val="0"/>
                <a:lumOff val="0"/>
                <a:alphaOff val="0"/>
              </a:sysClr>
            </a:solidFill>
            <a:latin typeface="Calibri" panose="020F0502020204030204"/>
            <a:ea typeface="+mn-ea"/>
            <a:cs typeface="+mn-cs"/>
          </a:endParaRPr>
        </a:p>
      </dgm:t>
    </dgm:pt>
    <dgm:pt modelId="{26327C47-5CA1-4301-8B77-8C12FA897324}" type="parTrans" cxnId="{10D40DDF-F2E6-4A3B-BB8E-0F4CD1364187}">
      <dgm:prSet/>
      <dgm:spPr/>
      <dgm:t>
        <a:bodyPr/>
        <a:lstStyle/>
        <a:p>
          <a:endParaRPr lang="en-US"/>
        </a:p>
      </dgm:t>
    </dgm:pt>
    <dgm:pt modelId="{ADD8667B-4D60-4B12-AB64-81C6C5172DB0}" type="sibTrans" cxnId="{10D40DDF-F2E6-4A3B-BB8E-0F4CD1364187}">
      <dgm:prSet/>
      <dgm:spPr/>
      <dgm:t>
        <a:bodyPr/>
        <a:lstStyle/>
        <a:p>
          <a:endParaRPr lang="en-US"/>
        </a:p>
      </dgm:t>
    </dgm:pt>
    <dgm:pt modelId="{90874881-8333-4AAB-AD8F-B5BAF0719D60}">
      <dgm:prSet phldrT="[Text]" custT="1"/>
      <dgm:spPr>
        <a:xfrm>
          <a:off x="0" y="589882"/>
          <a:ext cx="9144000" cy="1380689"/>
        </a:xfrm>
        <a:noFill/>
        <a:ln>
          <a:noFill/>
        </a:ln>
        <a:effectLst/>
      </dgm:spPr>
      <dgm:t>
        <a:bodyPr/>
        <a:lstStyle/>
        <a:p>
          <a:pPr marL="57150">
            <a:lnSpc>
              <a:spcPct val="100000"/>
            </a:lnSpc>
            <a:spcAft>
              <a:spcPts val="0"/>
            </a:spcAft>
          </a:pPr>
          <a:endParaRPr lang="en-US" sz="900">
            <a:solidFill>
              <a:sysClr val="windowText" lastClr="000000">
                <a:lumMod val="75000"/>
                <a:lumOff val="25000"/>
              </a:sysClr>
            </a:solidFill>
            <a:latin typeface="Calibri" panose="020F0502020204030204"/>
            <a:ea typeface="+mn-ea"/>
            <a:cs typeface="+mn-cs"/>
          </a:endParaRPr>
        </a:p>
      </dgm:t>
    </dgm:pt>
    <dgm:pt modelId="{264CCFF3-0AB7-4752-BE7B-1E6D0764B322}" type="parTrans" cxnId="{8535AEC2-4A6F-410B-942C-CD9D77CFF4A3}">
      <dgm:prSet/>
      <dgm:spPr/>
      <dgm:t>
        <a:bodyPr/>
        <a:lstStyle/>
        <a:p>
          <a:endParaRPr lang="en-US"/>
        </a:p>
      </dgm:t>
    </dgm:pt>
    <dgm:pt modelId="{F17D834F-05DC-4ECA-844E-B616FEB0FDE4}" type="sibTrans" cxnId="{8535AEC2-4A6F-410B-942C-CD9D77CFF4A3}">
      <dgm:prSet/>
      <dgm:spPr/>
      <dgm:t>
        <a:bodyPr/>
        <a:lstStyle/>
        <a:p>
          <a:endParaRPr lang="en-US"/>
        </a:p>
      </dgm:t>
    </dgm:pt>
    <dgm:pt modelId="{CCCE0ECB-D004-4BB8-9108-3F0A3FDE4978}">
      <dgm:prSet custT="1"/>
      <dgm:spPr>
        <a:xfrm>
          <a:off x="0" y="3686646"/>
          <a:ext cx="9144000" cy="2941470"/>
        </a:xfrm>
        <a:noFill/>
        <a:ln>
          <a:noFill/>
        </a:ln>
        <a:effectLst/>
      </dgm:spPr>
      <dgm:t>
        <a:bodyPr/>
        <a:lstStyle/>
        <a:p>
          <a:pPr marL="274320">
            <a:lnSpc>
              <a:spcPct val="100000"/>
            </a:lnSpc>
            <a:spcAft>
              <a:spcPts val="0"/>
            </a:spcAft>
          </a:pPr>
          <a:endParaRPr lang="en-US" sz="900">
            <a:solidFill>
              <a:sysClr val="windowText" lastClr="000000">
                <a:lumMod val="75000"/>
                <a:lumOff val="25000"/>
              </a:sysClr>
            </a:solidFill>
            <a:latin typeface="Calibri" panose="020F0502020204030204"/>
            <a:ea typeface="+mn-ea"/>
            <a:cs typeface="+mn-cs"/>
          </a:endParaRPr>
        </a:p>
      </dgm:t>
    </dgm:pt>
    <dgm:pt modelId="{41BEAC42-4F82-400C-8221-1F887286D77D}" type="parTrans" cxnId="{C760ADCE-71F7-4B41-B8DD-729BBA786F77}">
      <dgm:prSet/>
      <dgm:spPr/>
      <dgm:t>
        <a:bodyPr/>
        <a:lstStyle/>
        <a:p>
          <a:endParaRPr lang="en-US"/>
        </a:p>
      </dgm:t>
    </dgm:pt>
    <dgm:pt modelId="{1DA93E56-3F9B-4BD5-8421-01DD5C106AD5}" type="sibTrans" cxnId="{C760ADCE-71F7-4B41-B8DD-729BBA786F77}">
      <dgm:prSet/>
      <dgm:spPr/>
      <dgm:t>
        <a:bodyPr/>
        <a:lstStyle/>
        <a:p>
          <a:endParaRPr lang="en-US"/>
        </a:p>
      </dgm:t>
    </dgm:pt>
    <dgm:pt modelId="{D00DC0C0-0BB5-43A3-849D-813CE75E6F4A}">
      <dgm:prSet custT="1"/>
      <dgm:spPr>
        <a:xfrm>
          <a:off x="0" y="3686646"/>
          <a:ext cx="9144000" cy="2941470"/>
        </a:xfrm>
        <a:noFill/>
        <a:ln>
          <a:noFill/>
        </a:ln>
        <a:effectLst/>
      </dgm:spPr>
      <dgm:t>
        <a:bodyPr/>
        <a:lstStyle/>
        <a:p>
          <a:pPr marL="57150">
            <a:lnSpc>
              <a:spcPct val="100000"/>
            </a:lnSpc>
            <a:spcAft>
              <a:spcPts val="0"/>
            </a:spcAft>
          </a:pPr>
          <a:endParaRPr lang="en-US" sz="900">
            <a:solidFill>
              <a:sysClr val="windowText" lastClr="000000">
                <a:lumMod val="75000"/>
                <a:lumOff val="25000"/>
              </a:sysClr>
            </a:solidFill>
            <a:latin typeface="Calibri" panose="020F0502020204030204"/>
            <a:ea typeface="+mn-ea"/>
            <a:cs typeface="+mn-cs"/>
          </a:endParaRPr>
        </a:p>
      </dgm:t>
    </dgm:pt>
    <dgm:pt modelId="{4C270ED3-C28B-463B-8C90-AF13A8DAA3BA}" type="parTrans" cxnId="{3BEE1357-4ED9-47C8-A6C3-ABCD72C6F6E9}">
      <dgm:prSet/>
      <dgm:spPr/>
      <dgm:t>
        <a:bodyPr/>
        <a:lstStyle/>
        <a:p>
          <a:endParaRPr lang="en-US"/>
        </a:p>
      </dgm:t>
    </dgm:pt>
    <dgm:pt modelId="{A7B8FCD7-3D2F-4FEA-9A40-FC9B85AFBC45}" type="sibTrans" cxnId="{3BEE1357-4ED9-47C8-A6C3-ABCD72C6F6E9}">
      <dgm:prSet/>
      <dgm:spPr/>
      <dgm:t>
        <a:bodyPr/>
        <a:lstStyle/>
        <a:p>
          <a:endParaRPr lang="en-US"/>
        </a:p>
      </dgm:t>
    </dgm:pt>
    <dgm:pt modelId="{1884113E-97E6-4532-9BB0-A472B02E68A9}">
      <dgm:prSet custT="1"/>
      <dgm:spPr>
        <a:xfrm>
          <a:off x="0" y="3686646"/>
          <a:ext cx="9144000" cy="2941470"/>
        </a:xfrm>
        <a:noFill/>
        <a:ln>
          <a:noFill/>
        </a:ln>
        <a:effectLst/>
      </dgm:spPr>
      <dgm:t>
        <a:bodyPr/>
        <a:lstStyle/>
        <a:p>
          <a:pPr marL="57150">
            <a:lnSpc>
              <a:spcPct val="100000"/>
            </a:lnSpc>
            <a:spcAft>
              <a:spcPts val="0"/>
            </a:spcAft>
          </a:pPr>
          <a:endParaRPr lang="en-US" sz="900">
            <a:solidFill>
              <a:sysClr val="windowText" lastClr="000000">
                <a:lumMod val="75000"/>
                <a:lumOff val="25000"/>
              </a:sysClr>
            </a:solidFill>
            <a:latin typeface="Calibri" panose="020F0502020204030204"/>
            <a:ea typeface="+mn-ea"/>
            <a:cs typeface="+mn-cs"/>
          </a:endParaRPr>
        </a:p>
      </dgm:t>
    </dgm:pt>
    <dgm:pt modelId="{D1FF0B0E-F41F-4229-888D-2D2103A379B0}" type="parTrans" cxnId="{6AAA97A1-38D0-4533-995F-65291447A437}">
      <dgm:prSet/>
      <dgm:spPr/>
      <dgm:t>
        <a:bodyPr/>
        <a:lstStyle/>
        <a:p>
          <a:endParaRPr lang="en-US"/>
        </a:p>
      </dgm:t>
    </dgm:pt>
    <dgm:pt modelId="{E297A9ED-FA95-4521-9F4E-EFD28D44CE14}" type="sibTrans" cxnId="{6AAA97A1-38D0-4533-995F-65291447A437}">
      <dgm:prSet/>
      <dgm:spPr/>
      <dgm:t>
        <a:bodyPr/>
        <a:lstStyle/>
        <a:p>
          <a:endParaRPr lang="en-US"/>
        </a:p>
      </dgm:t>
    </dgm:pt>
    <dgm:pt modelId="{465A888D-24F4-46C6-991C-AF41C6862571}" type="pres">
      <dgm:prSet presAssocID="{52DC3EAB-0BC1-4510-A192-A157D59FC950}" presName="linear" presStyleCnt="0">
        <dgm:presLayoutVars>
          <dgm:animLvl val="lvl"/>
          <dgm:resizeHandles val="exact"/>
        </dgm:presLayoutVars>
      </dgm:prSet>
      <dgm:spPr/>
    </dgm:pt>
    <dgm:pt modelId="{670C0917-0876-4122-8496-C556C6E77999}" type="pres">
      <dgm:prSet presAssocID="{48449D67-85EA-46EC-88B2-9E39EBFB84C3}" presName="parentText" presStyleLbl="node1" presStyleIdx="0" presStyleCnt="3">
        <dgm:presLayoutVars>
          <dgm:chMax val="0"/>
          <dgm:bulletEnabled val="1"/>
        </dgm:presLayoutVars>
      </dgm:prSet>
      <dgm:spPr>
        <a:prstGeom prst="rect">
          <a:avLst/>
        </a:prstGeom>
      </dgm:spPr>
    </dgm:pt>
    <dgm:pt modelId="{D6CC8817-1774-4075-ACF2-0A02E0EFB155}" type="pres">
      <dgm:prSet presAssocID="{48449D67-85EA-46EC-88B2-9E39EBFB84C3}" presName="childText" presStyleLbl="revTx" presStyleIdx="0" presStyleCnt="3">
        <dgm:presLayoutVars>
          <dgm:bulletEnabled val="1"/>
        </dgm:presLayoutVars>
      </dgm:prSet>
      <dgm:spPr>
        <a:prstGeom prst="rect">
          <a:avLst/>
        </a:prstGeom>
      </dgm:spPr>
    </dgm:pt>
    <dgm:pt modelId="{73226ED3-EC52-4BB0-A00C-F52C8896E340}" type="pres">
      <dgm:prSet presAssocID="{436E6C82-FC9A-4BC5-AE43-2426E6BAFD4A}" presName="parentText" presStyleLbl="node1" presStyleIdx="1" presStyleCnt="3">
        <dgm:presLayoutVars>
          <dgm:chMax val="0"/>
          <dgm:bulletEnabled val="1"/>
        </dgm:presLayoutVars>
      </dgm:prSet>
      <dgm:spPr>
        <a:prstGeom prst="rect">
          <a:avLst/>
        </a:prstGeom>
      </dgm:spPr>
    </dgm:pt>
    <dgm:pt modelId="{37F284E5-6888-46F0-93E1-6F1B33E0E8F5}" type="pres">
      <dgm:prSet presAssocID="{436E6C82-FC9A-4BC5-AE43-2426E6BAFD4A}" presName="childText" presStyleLbl="revTx" presStyleIdx="1" presStyleCnt="3">
        <dgm:presLayoutVars>
          <dgm:bulletEnabled val="1"/>
        </dgm:presLayoutVars>
      </dgm:prSet>
      <dgm:spPr>
        <a:prstGeom prst="rect">
          <a:avLst/>
        </a:prstGeom>
      </dgm:spPr>
    </dgm:pt>
    <dgm:pt modelId="{2643F85D-E8E8-4F7C-A383-2E04C59944B1}" type="pres">
      <dgm:prSet presAssocID="{ED30AF48-283C-434D-BD5B-AED3A99C1F74}" presName="parentText" presStyleLbl="node1" presStyleIdx="2" presStyleCnt="3">
        <dgm:presLayoutVars>
          <dgm:chMax val="0"/>
          <dgm:bulletEnabled val="1"/>
        </dgm:presLayoutVars>
      </dgm:prSet>
      <dgm:spPr>
        <a:prstGeom prst="rect">
          <a:avLst/>
        </a:prstGeom>
      </dgm:spPr>
    </dgm:pt>
    <dgm:pt modelId="{F49A2545-9B16-4C8B-AC03-E584AA9C0A1F}" type="pres">
      <dgm:prSet presAssocID="{ED30AF48-283C-434D-BD5B-AED3A99C1F74}" presName="childText" presStyleLbl="revTx" presStyleIdx="2" presStyleCnt="3">
        <dgm:presLayoutVars>
          <dgm:bulletEnabled val="1"/>
        </dgm:presLayoutVars>
      </dgm:prSet>
      <dgm:spPr>
        <a:prstGeom prst="rect">
          <a:avLst/>
        </a:prstGeom>
      </dgm:spPr>
    </dgm:pt>
  </dgm:ptLst>
  <dgm:cxnLst>
    <dgm:cxn modelId="{B5939505-7592-4348-A602-F541D327856C}" srcId="{7F5191E3-D137-4DB6-8913-856CC8DE2759}" destId="{85B5C2AD-5703-4D12-9571-8A61E64D29B1}" srcOrd="1" destOrd="0" parTransId="{435C8AC8-1ACF-4849-9560-97C24DCA15E2}" sibTransId="{F786158A-FB13-4148-8521-8A965FC30E26}"/>
    <dgm:cxn modelId="{FADB5517-6C45-4658-8498-AD3BB66AE021}" type="presOf" srcId="{8048195B-BD9F-41AE-9E84-D7DF061CFBAA}" destId="{37F284E5-6888-46F0-93E1-6F1B33E0E8F5}" srcOrd="0" destOrd="2" presId="urn:microsoft.com/office/officeart/2005/8/layout/vList2"/>
    <dgm:cxn modelId="{C4CC621D-EA1D-4165-907D-BA587A16F6C0}" type="presOf" srcId="{48449D67-85EA-46EC-88B2-9E39EBFB84C3}" destId="{670C0917-0876-4122-8496-C556C6E77999}" srcOrd="0" destOrd="0" presId="urn:microsoft.com/office/officeart/2005/8/layout/vList2"/>
    <dgm:cxn modelId="{EBD4751D-E59B-49DC-AFA5-1E36F29E5AE9}" srcId="{E91F3AEB-9F86-4FCD-ADD3-AC62763F93FF}" destId="{2F75C13D-2BCD-4F32-9219-DFC8E2212F10}" srcOrd="0" destOrd="0" parTransId="{3DEB01EC-3A13-4A1E-8BD2-44108EA6FD23}" sibTransId="{A0DD7E41-5689-4A72-9321-3760EC580F72}"/>
    <dgm:cxn modelId="{59C6E01E-0A5E-4E25-BDE3-417C1CA85A63}" type="presOf" srcId="{2F75C13D-2BCD-4F32-9219-DFC8E2212F10}" destId="{37F284E5-6888-46F0-93E1-6F1B33E0E8F5}" srcOrd="0" destOrd="1" presId="urn:microsoft.com/office/officeart/2005/8/layout/vList2"/>
    <dgm:cxn modelId="{FE378E30-2F9D-49CC-BF6C-4882F773B102}" srcId="{E91F3AEB-9F86-4FCD-ADD3-AC62763F93FF}" destId="{8048195B-BD9F-41AE-9E84-D7DF061CFBAA}" srcOrd="1" destOrd="0" parTransId="{0D12041C-127C-4DDA-BB65-6A259DA77257}" sibTransId="{B08A20AD-64DE-423A-92E1-8EF4A082993A}"/>
    <dgm:cxn modelId="{F41D5639-6D8F-49FB-9523-FE6218537ECC}" srcId="{48449D67-85EA-46EC-88B2-9E39EBFB84C3}" destId="{4362E16A-E4C0-4314-BF51-85FCCFAB4B56}" srcOrd="0" destOrd="0" parTransId="{8757BB39-4646-4163-AA85-03EBFCA82786}" sibTransId="{5F6811E1-F4E1-4D31-9F6B-672E55A7E172}"/>
    <dgm:cxn modelId="{02138E3C-9658-49CD-942A-9ADA398410F6}" type="presOf" srcId="{3C4D978C-96F6-483F-B171-717814E7F2C2}" destId="{F49A2545-9B16-4C8B-AC03-E584AA9C0A1F}" srcOrd="0" destOrd="8" presId="urn:microsoft.com/office/officeart/2005/8/layout/vList2"/>
    <dgm:cxn modelId="{8BBDB53D-BAE4-4A5F-A3B8-65C7DD8BB59B}" type="presOf" srcId="{EAFCAF6B-44E7-4CC2-8F67-B163EBCD4AF1}" destId="{F49A2545-9B16-4C8B-AC03-E584AA9C0A1F}" srcOrd="0" destOrd="1" presId="urn:microsoft.com/office/officeart/2005/8/layout/vList2"/>
    <dgm:cxn modelId="{E73E0662-6D37-4EBA-B352-7B417B9B8A63}" type="presOf" srcId="{A94BB50B-F1D4-4672-8CEB-DF414DA0A7F3}" destId="{F49A2545-9B16-4C8B-AC03-E584AA9C0A1F}" srcOrd="0" destOrd="6" presId="urn:microsoft.com/office/officeart/2005/8/layout/vList2"/>
    <dgm:cxn modelId="{9F638C63-2E4D-42F6-96E9-AC2E9212E821}" srcId="{A64BC671-D00E-449B-8798-89B146F367F7}" destId="{2F0BABE8-F3AA-40C1-915C-D54EEBC18D66}" srcOrd="1" destOrd="0" parTransId="{E5EEF4F1-1314-44EF-999D-87E714B22F26}" sibTransId="{B45AADD1-5AD3-4DB8-AE88-8A2D8F7426B9}"/>
    <dgm:cxn modelId="{F2929F47-4385-4FFE-8AF7-DB1AE20A7432}" type="presOf" srcId="{52DC3EAB-0BC1-4510-A192-A157D59FC950}" destId="{465A888D-24F4-46C6-991C-AF41C6862571}" srcOrd="0" destOrd="0" presId="urn:microsoft.com/office/officeart/2005/8/layout/vList2"/>
    <dgm:cxn modelId="{FB566849-F539-45EC-ADF8-24359EE568D5}" type="presOf" srcId="{4362E16A-E4C0-4314-BF51-85FCCFAB4B56}" destId="{D6CC8817-1774-4075-ACF2-0A02E0EFB155}" srcOrd="0" destOrd="0" presId="urn:microsoft.com/office/officeart/2005/8/layout/vList2"/>
    <dgm:cxn modelId="{7E736F6C-9F10-4BF1-A0AE-7C29E065399D}" srcId="{52DC3EAB-0BC1-4510-A192-A157D59FC950}" destId="{436E6C82-FC9A-4BC5-AE43-2426E6BAFD4A}" srcOrd="1" destOrd="0" parTransId="{2DF458B7-6BD3-4F37-B935-FF954478DC7D}" sibTransId="{DEAB0FBD-8F66-478E-8EE5-3C9E35097902}"/>
    <dgm:cxn modelId="{086B0352-79BA-4D63-BDBC-771E6DD87431}" type="presOf" srcId="{69CFBBA9-469E-4DFD-B305-9F782323141B}" destId="{D6CC8817-1774-4075-ACF2-0A02E0EFB155}" srcOrd="0" destOrd="5" presId="urn:microsoft.com/office/officeart/2005/8/layout/vList2"/>
    <dgm:cxn modelId="{E3935272-B147-4559-92A1-3A3CD4E90774}" type="presOf" srcId="{2F0BABE8-F3AA-40C1-915C-D54EEBC18D66}" destId="{D6CC8817-1774-4075-ACF2-0A02E0EFB155}" srcOrd="0" destOrd="4" presId="urn:microsoft.com/office/officeart/2005/8/layout/vList2"/>
    <dgm:cxn modelId="{77727353-E415-4651-8257-45430A0582FF}" type="presOf" srcId="{E91F3AEB-9F86-4FCD-ADD3-AC62763F93FF}" destId="{37F284E5-6888-46F0-93E1-6F1B33E0E8F5}" srcOrd="0" destOrd="0" presId="urn:microsoft.com/office/officeart/2005/8/layout/vList2"/>
    <dgm:cxn modelId="{0858D256-4D9E-490A-8EBC-579788B52255}" type="presOf" srcId="{1884113E-97E6-4532-9BB0-A472B02E68A9}" destId="{F49A2545-9B16-4C8B-AC03-E584AA9C0A1F}" srcOrd="0" destOrd="7" presId="urn:microsoft.com/office/officeart/2005/8/layout/vList2"/>
    <dgm:cxn modelId="{3BEE1357-4ED9-47C8-A6C3-ABCD72C6F6E9}" srcId="{ED30AF48-283C-434D-BD5B-AED3A99C1F74}" destId="{D00DC0C0-0BB5-43A3-849D-813CE75E6F4A}" srcOrd="3" destOrd="0" parTransId="{4C270ED3-C28B-463B-8C90-AF13A8DAA3BA}" sibTransId="{A7B8FCD7-3D2F-4FEA-9A40-FC9B85AFBC45}"/>
    <dgm:cxn modelId="{F53F607B-3148-4703-B21E-4077682508E6}" type="presOf" srcId="{D00DC0C0-0BB5-43A3-849D-813CE75E6F4A}" destId="{F49A2545-9B16-4C8B-AC03-E584AA9C0A1F}" srcOrd="0" destOrd="5" presId="urn:microsoft.com/office/officeart/2005/8/layout/vList2"/>
    <dgm:cxn modelId="{E18A6F7D-795B-4A1D-A7E6-E442177257CE}" type="presOf" srcId="{21A6AA8B-B4D4-436B-86C4-F5F3D5912316}" destId="{D6CC8817-1774-4075-ACF2-0A02E0EFB155}" srcOrd="0" destOrd="3" presId="urn:microsoft.com/office/officeart/2005/8/layout/vList2"/>
    <dgm:cxn modelId="{21BE098E-5AF0-4F60-BF6E-628D87D46EB0}" srcId="{48449D67-85EA-46EC-88B2-9E39EBFB84C3}" destId="{A64BC671-D00E-449B-8798-89B146F367F7}" srcOrd="2" destOrd="0" parTransId="{EB908E1B-F18D-486E-AAE5-787909389326}" sibTransId="{756EE874-B73E-4AFF-A0A3-72599B6AF490}"/>
    <dgm:cxn modelId="{96B69291-FC09-4C39-8F77-3C132DAFCB0A}" type="presOf" srcId="{7F5191E3-D137-4DB6-8913-856CC8DE2759}" destId="{F49A2545-9B16-4C8B-AC03-E584AA9C0A1F}" srcOrd="0" destOrd="0" presId="urn:microsoft.com/office/officeart/2005/8/layout/vList2"/>
    <dgm:cxn modelId="{E94DAB95-F20D-472B-9B61-DCFD244C36CD}" srcId="{ED30AF48-283C-434D-BD5B-AED3A99C1F74}" destId="{89CC9903-A399-4681-A252-BB4CF7544DAF}" srcOrd="2" destOrd="0" parTransId="{F7154897-4770-4422-9452-17A173BBFB99}" sibTransId="{6136101E-3F59-46E0-8B3B-547DB616C3E6}"/>
    <dgm:cxn modelId="{3686FE96-BF83-4A62-9194-4C3CD4ACAED3}" srcId="{7F5191E3-D137-4DB6-8913-856CC8DE2759}" destId="{EAFCAF6B-44E7-4CC2-8F67-B163EBCD4AF1}" srcOrd="0" destOrd="0" parTransId="{6E4FCD49-0AEC-4EB9-9FFD-484A7173DD48}" sibTransId="{8935AA4C-03F2-4A71-A97D-97161BCEB239}"/>
    <dgm:cxn modelId="{12BE329B-8919-4013-A453-B6FB9AF2FA72}" srcId="{52DC3EAB-0BC1-4510-A192-A157D59FC950}" destId="{48449D67-85EA-46EC-88B2-9E39EBFB84C3}" srcOrd="0" destOrd="0" parTransId="{EC61CFA4-CC24-41FB-BBCE-EFF1220D5917}" sibTransId="{C0F89EF3-65C8-45D0-B980-AF84F8175E2E}"/>
    <dgm:cxn modelId="{6EFCF29C-2402-47BA-9041-85AB6DFC1CB6}" type="presOf" srcId="{89CC9903-A399-4681-A252-BB4CF7544DAF}" destId="{F49A2545-9B16-4C8B-AC03-E584AA9C0A1F}" srcOrd="0" destOrd="4" presId="urn:microsoft.com/office/officeart/2005/8/layout/vList2"/>
    <dgm:cxn modelId="{618609A0-0DA1-42B8-A95F-092C13705C8B}" srcId="{ED30AF48-283C-434D-BD5B-AED3A99C1F74}" destId="{7F5191E3-D137-4DB6-8913-856CC8DE2759}" srcOrd="0" destOrd="0" parTransId="{93498FFF-8B45-4133-82E5-266ED0D24400}" sibTransId="{8913723F-C90B-4C47-8474-C6A1C104B160}"/>
    <dgm:cxn modelId="{6AAA97A1-38D0-4533-995F-65291447A437}" srcId="{ED30AF48-283C-434D-BD5B-AED3A99C1F74}" destId="{1884113E-97E6-4532-9BB0-A472B02E68A9}" srcOrd="5" destOrd="0" parTransId="{D1FF0B0E-F41F-4229-888D-2D2103A379B0}" sibTransId="{E297A9ED-FA95-4521-9F4E-EFD28D44CE14}"/>
    <dgm:cxn modelId="{F25C80A7-1AF5-4A2B-81C0-B6A9C2140C9F}" type="presOf" srcId="{765FCF05-1295-457C-ADD5-520FF9D1B274}" destId="{37F284E5-6888-46F0-93E1-6F1B33E0E8F5}" srcOrd="0" destOrd="3" presId="urn:microsoft.com/office/officeart/2005/8/layout/vList2"/>
    <dgm:cxn modelId="{CD5421AD-8D13-4E1A-9462-57BE06B2DA2B}" srcId="{ED30AF48-283C-434D-BD5B-AED3A99C1F74}" destId="{3C4D978C-96F6-483F-B171-717814E7F2C2}" srcOrd="6" destOrd="0" parTransId="{BFA3E1FF-AA2F-44F5-816B-788A779045CD}" sibTransId="{59B41AAC-229F-456D-986F-F16AE3EB7718}"/>
    <dgm:cxn modelId="{1C30F0B8-4B8E-433B-A39B-23711C109E9E}" srcId="{ED30AF48-283C-434D-BD5B-AED3A99C1F74}" destId="{A94BB50B-F1D4-4672-8CEB-DF414DA0A7F3}" srcOrd="4" destOrd="0" parTransId="{24EEA89A-43A5-40BE-99DB-7834D04D86A3}" sibTransId="{9D4E18B3-D7FF-4E92-9D16-D25B8DDB4F5B}"/>
    <dgm:cxn modelId="{8535AEC2-4A6F-410B-942C-CD9D77CFF4A3}" srcId="{48449D67-85EA-46EC-88B2-9E39EBFB84C3}" destId="{90874881-8333-4AAB-AD8F-B5BAF0719D60}" srcOrd="1" destOrd="0" parTransId="{264CCFF3-0AB7-4752-BE7B-1E6D0764B322}" sibTransId="{F17D834F-05DC-4ECA-844E-B616FEB0FDE4}"/>
    <dgm:cxn modelId="{C760ADCE-71F7-4B41-B8DD-729BBA786F77}" srcId="{ED30AF48-283C-434D-BD5B-AED3A99C1F74}" destId="{CCCE0ECB-D004-4BB8-9108-3F0A3FDE4978}" srcOrd="1" destOrd="0" parTransId="{41BEAC42-4F82-400C-8221-1F887286D77D}" sibTransId="{1DA93E56-3F9B-4BD5-8421-01DD5C106AD5}"/>
    <dgm:cxn modelId="{DBDF70D0-326B-48A3-9E26-5069BC4F497A}" srcId="{48449D67-85EA-46EC-88B2-9E39EBFB84C3}" destId="{69CFBBA9-469E-4DFD-B305-9F782323141B}" srcOrd="3" destOrd="0" parTransId="{4F7D962B-262C-432F-94A8-0D37BA1D1EB7}" sibTransId="{B36BE4F8-AFE0-41FB-BBFC-B8101698E1C1}"/>
    <dgm:cxn modelId="{676C6ADB-870B-4EF9-938D-3F4D4273E5E7}" type="presOf" srcId="{436E6C82-FC9A-4BC5-AE43-2426E6BAFD4A}" destId="{73226ED3-EC52-4BB0-A00C-F52C8896E340}" srcOrd="0" destOrd="0" presId="urn:microsoft.com/office/officeart/2005/8/layout/vList2"/>
    <dgm:cxn modelId="{2BAA89DC-18CC-4632-8A60-049DCF49421D}" type="presOf" srcId="{85B5C2AD-5703-4D12-9571-8A61E64D29B1}" destId="{F49A2545-9B16-4C8B-AC03-E584AA9C0A1F}" srcOrd="0" destOrd="2" presId="urn:microsoft.com/office/officeart/2005/8/layout/vList2"/>
    <dgm:cxn modelId="{10D40DDF-F2E6-4A3B-BB8E-0F4CD1364187}" srcId="{436E6C82-FC9A-4BC5-AE43-2426E6BAFD4A}" destId="{765FCF05-1295-457C-ADD5-520FF9D1B274}" srcOrd="1" destOrd="0" parTransId="{26327C47-5CA1-4301-8B77-8C12FA897324}" sibTransId="{ADD8667B-4D60-4B12-AB64-81C6C5172DB0}"/>
    <dgm:cxn modelId="{06F94BE5-88C4-4075-A99F-A6106AC5712B}" type="presOf" srcId="{ED30AF48-283C-434D-BD5B-AED3A99C1F74}" destId="{2643F85D-E8E8-4F7C-A383-2E04C59944B1}" srcOrd="0" destOrd="0" presId="urn:microsoft.com/office/officeart/2005/8/layout/vList2"/>
    <dgm:cxn modelId="{DA60CFE9-4D00-4BD6-B308-F5D6EBC3E646}" type="presOf" srcId="{CCCE0ECB-D004-4BB8-9108-3F0A3FDE4978}" destId="{F49A2545-9B16-4C8B-AC03-E584AA9C0A1F}" srcOrd="0" destOrd="3" presId="urn:microsoft.com/office/officeart/2005/8/layout/vList2"/>
    <dgm:cxn modelId="{31E2EAEF-53E1-4C23-9A93-F1C6D7C0CE87}" srcId="{52DC3EAB-0BC1-4510-A192-A157D59FC950}" destId="{ED30AF48-283C-434D-BD5B-AED3A99C1F74}" srcOrd="2" destOrd="0" parTransId="{FAD01372-2A99-4D92-AA8E-2A2BEF4C680E}" sibTransId="{A62BB401-7CD2-4631-8526-38A0B126A485}"/>
    <dgm:cxn modelId="{07D631F2-DE1A-49F4-9D5A-C30312A98EE9}" srcId="{A64BC671-D00E-449B-8798-89B146F367F7}" destId="{21A6AA8B-B4D4-436B-86C4-F5F3D5912316}" srcOrd="0" destOrd="0" parTransId="{E443680B-EA54-431C-9B15-46B5B790A0BE}" sibTransId="{C0D2E7A7-AFB4-40C4-A0E4-7775A940C597}"/>
    <dgm:cxn modelId="{19924CFD-25C6-44CC-B968-D014FF571779}" srcId="{436E6C82-FC9A-4BC5-AE43-2426E6BAFD4A}" destId="{E91F3AEB-9F86-4FCD-ADD3-AC62763F93FF}" srcOrd="0" destOrd="0" parTransId="{B57D66B6-FF47-4773-8224-0FBB70E20E73}" sibTransId="{18DEF9FA-D0C3-41DA-BF67-97EDD463AA83}"/>
    <dgm:cxn modelId="{063B76FE-E372-42F0-ABF6-2A1B4BCA10C4}" type="presOf" srcId="{90874881-8333-4AAB-AD8F-B5BAF0719D60}" destId="{D6CC8817-1774-4075-ACF2-0A02E0EFB155}" srcOrd="0" destOrd="1" presId="urn:microsoft.com/office/officeart/2005/8/layout/vList2"/>
    <dgm:cxn modelId="{CBDE84FE-104B-4EEE-9994-6BCCB25C2A79}" type="presOf" srcId="{A64BC671-D00E-449B-8798-89B146F367F7}" destId="{D6CC8817-1774-4075-ACF2-0A02E0EFB155}" srcOrd="0" destOrd="2" presId="urn:microsoft.com/office/officeart/2005/8/layout/vList2"/>
    <dgm:cxn modelId="{7BC25425-0148-45BB-B0ED-15946C5F9183}" type="presParOf" srcId="{465A888D-24F4-46C6-991C-AF41C6862571}" destId="{670C0917-0876-4122-8496-C556C6E77999}" srcOrd="0" destOrd="0" presId="urn:microsoft.com/office/officeart/2005/8/layout/vList2"/>
    <dgm:cxn modelId="{0D9A2B21-AD5B-4CEB-8E90-CCACF8E5C42D}" type="presParOf" srcId="{465A888D-24F4-46C6-991C-AF41C6862571}" destId="{D6CC8817-1774-4075-ACF2-0A02E0EFB155}" srcOrd="1" destOrd="0" presId="urn:microsoft.com/office/officeart/2005/8/layout/vList2"/>
    <dgm:cxn modelId="{945C6CB0-05CC-467E-AD4F-0B5C8CF73C0F}" type="presParOf" srcId="{465A888D-24F4-46C6-991C-AF41C6862571}" destId="{73226ED3-EC52-4BB0-A00C-F52C8896E340}" srcOrd="2" destOrd="0" presId="urn:microsoft.com/office/officeart/2005/8/layout/vList2"/>
    <dgm:cxn modelId="{7462CA02-9252-41A7-875B-07E3546376A0}" type="presParOf" srcId="{465A888D-24F4-46C6-991C-AF41C6862571}" destId="{37F284E5-6888-46F0-93E1-6F1B33E0E8F5}" srcOrd="3" destOrd="0" presId="urn:microsoft.com/office/officeart/2005/8/layout/vList2"/>
    <dgm:cxn modelId="{CE1A50EC-AEDA-4335-9A70-A53E5BF95900}" type="presParOf" srcId="{465A888D-24F4-46C6-991C-AF41C6862571}" destId="{2643F85D-E8E8-4F7C-A383-2E04C59944B1}" srcOrd="4" destOrd="0" presId="urn:microsoft.com/office/officeart/2005/8/layout/vList2"/>
    <dgm:cxn modelId="{62B97A00-31BB-472E-91F4-C38D85E44E27}" type="presParOf" srcId="{465A888D-24F4-46C6-991C-AF41C6862571}" destId="{F49A2545-9B16-4C8B-AC03-E584AA9C0A1F}" srcOrd="5" destOrd="0" presId="urn:microsoft.com/office/officeart/2005/8/layout/vList2"/>
  </dgm:cxnLst>
  <dgm:bg/>
  <dgm:whole/>
  <dgm:extLst>
    <a:ext uri="http://schemas.microsoft.com/office/drawing/2008/diagram">
      <dsp:dataModelExt xmlns:dsp="http://schemas.microsoft.com/office/drawing/2008/diagram" relId="rId26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12FCB835-A148-461B-88AA-FDC9060306D7}" type="doc">
      <dgm:prSet loTypeId="urn:microsoft.com/office/officeart/2008/layout/HorizontalMultiLevelHierarchy" loCatId="hierarchy" qsTypeId="urn:microsoft.com/office/officeart/2005/8/quickstyle/simple1" qsCatId="simple" csTypeId="urn:microsoft.com/office/officeart/2005/8/colors/colorful3" csCatId="colorful" phldr="1"/>
      <dgm:spPr/>
      <dgm:t>
        <a:bodyPr/>
        <a:lstStyle/>
        <a:p>
          <a:endParaRPr lang="en-US"/>
        </a:p>
      </dgm:t>
    </dgm:pt>
    <dgm:pt modelId="{59463C9D-6BEF-4422-BCB2-C1F7139F3556}">
      <dgm:prSet phldrT="[Text]" custT="1"/>
      <dgm:spPr>
        <a:solidFill>
          <a:schemeClr val="accent2">
            <a:lumMod val="60000"/>
            <a:lumOff val="40000"/>
          </a:schemeClr>
        </a:solidFill>
      </dgm:spPr>
      <dgm:t>
        <a:bodyPr/>
        <a:lstStyle/>
        <a:p>
          <a:r>
            <a:rPr lang="en-US" sz="1000">
              <a:solidFill>
                <a:sysClr val="windowText" lastClr="000000"/>
              </a:solidFill>
            </a:rPr>
            <a:t>Lease Bifurcation</a:t>
          </a:r>
        </a:p>
      </dgm:t>
    </dgm:pt>
    <dgm:pt modelId="{28AD2B1C-C4A8-4095-9665-997A79ED04FC}" type="parTrans" cxnId="{CE44EA89-6F0A-4975-94AE-0220E7813208}">
      <dgm:prSet/>
      <dgm:spPr/>
      <dgm:t>
        <a:bodyPr/>
        <a:lstStyle/>
        <a:p>
          <a:endParaRPr lang="en-US" sz="800">
            <a:solidFill>
              <a:sysClr val="windowText" lastClr="000000"/>
            </a:solidFill>
          </a:endParaRPr>
        </a:p>
      </dgm:t>
    </dgm:pt>
    <dgm:pt modelId="{6002142D-F7F1-43F0-8CD9-73879198C6D4}" type="sibTrans" cxnId="{CE44EA89-6F0A-4975-94AE-0220E7813208}">
      <dgm:prSet/>
      <dgm:spPr/>
      <dgm:t>
        <a:bodyPr/>
        <a:lstStyle/>
        <a:p>
          <a:endParaRPr lang="en-US" sz="800">
            <a:solidFill>
              <a:sysClr val="windowText" lastClr="000000"/>
            </a:solidFill>
          </a:endParaRPr>
        </a:p>
      </dgm:t>
    </dgm:pt>
    <dgm:pt modelId="{AEE9E864-5F22-4A6E-A4E1-757AE1F4C3BD}">
      <dgm:prSet phldrT="[Text]" custT="1"/>
      <dgm:spPr>
        <a:solidFill>
          <a:schemeClr val="accent4">
            <a:lumMod val="60000"/>
            <a:lumOff val="40000"/>
          </a:schemeClr>
        </a:solidFill>
      </dgm:spPr>
      <dgm:t>
        <a:bodyPr/>
        <a:lstStyle/>
        <a:p>
          <a:r>
            <a:rPr lang="en-US" sz="800">
              <a:solidFill>
                <a:sysClr val="windowText" lastClr="000000"/>
              </a:solidFill>
            </a:rPr>
            <a:t>Owner evicts accused perpetrator</a:t>
          </a:r>
        </a:p>
      </dgm:t>
    </dgm:pt>
    <dgm:pt modelId="{07C76642-39A8-48AD-9433-8C450ECF76C8}" type="parTrans" cxnId="{AA69FDD2-1556-482A-B314-A0E0EFC2FA24}">
      <dgm:prSet custT="1"/>
      <dgm:spPr/>
      <dgm:t>
        <a:bodyPr/>
        <a:lstStyle/>
        <a:p>
          <a:endParaRPr lang="en-US" sz="800">
            <a:solidFill>
              <a:sysClr val="windowText" lastClr="000000"/>
            </a:solidFill>
          </a:endParaRPr>
        </a:p>
      </dgm:t>
    </dgm:pt>
    <dgm:pt modelId="{14136975-13D4-41B1-8795-7844E2733071}" type="sibTrans" cxnId="{AA69FDD2-1556-482A-B314-A0E0EFC2FA24}">
      <dgm:prSet/>
      <dgm:spPr/>
      <dgm:t>
        <a:bodyPr/>
        <a:lstStyle/>
        <a:p>
          <a:endParaRPr lang="en-US" sz="800">
            <a:solidFill>
              <a:sysClr val="windowText" lastClr="000000"/>
            </a:solidFill>
          </a:endParaRPr>
        </a:p>
      </dgm:t>
    </dgm:pt>
    <dgm:pt modelId="{7862787A-A77E-4B42-A23A-91B6A7FFE331}">
      <dgm:prSet phldrT="[Text]" custT="1"/>
      <dgm:spPr>
        <a:solidFill>
          <a:schemeClr val="accent6">
            <a:lumMod val="60000"/>
            <a:lumOff val="40000"/>
          </a:schemeClr>
        </a:solidFill>
      </dgm:spPr>
      <dgm:t>
        <a:bodyPr/>
        <a:lstStyle/>
        <a:p>
          <a:r>
            <a:rPr lang="en-US" sz="800">
              <a:solidFill>
                <a:sysClr val="windowText" lastClr="000000"/>
              </a:solidFill>
            </a:rPr>
            <a:t>Project Sponsor does not terminate evicted accused perpetrator</a:t>
          </a:r>
        </a:p>
      </dgm:t>
    </dgm:pt>
    <dgm:pt modelId="{7E0FE22B-0A6A-4EFA-B26E-2750FC4D54DE}" type="parTrans" cxnId="{85B24C53-2222-4485-B8AF-D49B371FA908}">
      <dgm:prSet custT="1"/>
      <dgm:spPr/>
      <dgm:t>
        <a:bodyPr/>
        <a:lstStyle/>
        <a:p>
          <a:endParaRPr lang="en-US" sz="800">
            <a:solidFill>
              <a:sysClr val="windowText" lastClr="000000"/>
            </a:solidFill>
          </a:endParaRPr>
        </a:p>
      </dgm:t>
    </dgm:pt>
    <dgm:pt modelId="{D95AC601-9D72-49E4-A671-D8D58EE9EFDD}" type="sibTrans" cxnId="{85B24C53-2222-4485-B8AF-D49B371FA908}">
      <dgm:prSet/>
      <dgm:spPr/>
      <dgm:t>
        <a:bodyPr/>
        <a:lstStyle/>
        <a:p>
          <a:endParaRPr lang="en-US" sz="800">
            <a:solidFill>
              <a:sysClr val="windowText" lastClr="000000"/>
            </a:solidFill>
          </a:endParaRPr>
        </a:p>
      </dgm:t>
    </dgm:pt>
    <dgm:pt modelId="{814EA40A-13C0-41DD-BF95-2D62251EFA6C}">
      <dgm:prSet phldrT="[Text]" custT="1"/>
      <dgm:spPr>
        <a:solidFill>
          <a:schemeClr val="accent6">
            <a:lumMod val="60000"/>
            <a:lumOff val="40000"/>
          </a:schemeClr>
        </a:solidFill>
      </dgm:spPr>
      <dgm:t>
        <a:bodyPr/>
        <a:lstStyle/>
        <a:p>
          <a:r>
            <a:rPr lang="en-US" sz="800">
              <a:solidFill>
                <a:sysClr val="windowText" lastClr="000000"/>
              </a:solidFill>
            </a:rPr>
            <a:t>Recert: Accused perpetrator income, residency, composition</a:t>
          </a:r>
        </a:p>
      </dgm:t>
    </dgm:pt>
    <dgm:pt modelId="{2DAF4D9A-37B9-4DD5-B03F-9E95A48BA766}" type="parTrans" cxnId="{D992D0B9-B771-49F0-BA3B-3DAA9FE3BB32}">
      <dgm:prSet custT="1"/>
      <dgm:spPr/>
      <dgm:t>
        <a:bodyPr/>
        <a:lstStyle/>
        <a:p>
          <a:endParaRPr lang="en-US" sz="800">
            <a:solidFill>
              <a:sysClr val="windowText" lastClr="000000"/>
            </a:solidFill>
          </a:endParaRPr>
        </a:p>
      </dgm:t>
    </dgm:pt>
    <dgm:pt modelId="{5B827164-FF61-4390-A598-8FE92B0EE741}" type="sibTrans" cxnId="{D992D0B9-B771-49F0-BA3B-3DAA9FE3BB32}">
      <dgm:prSet/>
      <dgm:spPr/>
      <dgm:t>
        <a:bodyPr/>
        <a:lstStyle/>
        <a:p>
          <a:endParaRPr lang="en-US" sz="800">
            <a:solidFill>
              <a:sysClr val="windowText" lastClr="000000"/>
            </a:solidFill>
          </a:endParaRPr>
        </a:p>
      </dgm:t>
    </dgm:pt>
    <dgm:pt modelId="{A445E6B8-3C72-4D94-98AC-2E4A27E20D90}">
      <dgm:prSet phldrT="[Text]" custT="1"/>
      <dgm:spPr>
        <a:solidFill>
          <a:schemeClr val="accent6">
            <a:lumMod val="60000"/>
            <a:lumOff val="40000"/>
          </a:schemeClr>
        </a:solidFill>
      </dgm:spPr>
      <dgm:t>
        <a:bodyPr/>
        <a:lstStyle/>
        <a:p>
          <a:r>
            <a:rPr lang="en-US" sz="800">
              <a:solidFill>
                <a:sysClr val="windowText" lastClr="000000"/>
              </a:solidFill>
            </a:rPr>
            <a:t>Eligible</a:t>
          </a:r>
        </a:p>
      </dgm:t>
    </dgm:pt>
    <dgm:pt modelId="{07BDE030-307D-48B8-9858-2D8E5F9AEBAF}" type="parTrans" cxnId="{4A13F8BF-0245-4716-8948-D618D8E46A62}">
      <dgm:prSet custT="1"/>
      <dgm:spPr/>
      <dgm:t>
        <a:bodyPr/>
        <a:lstStyle/>
        <a:p>
          <a:endParaRPr lang="en-US" sz="800">
            <a:solidFill>
              <a:sysClr val="windowText" lastClr="000000"/>
            </a:solidFill>
          </a:endParaRPr>
        </a:p>
      </dgm:t>
    </dgm:pt>
    <dgm:pt modelId="{2B9F4D88-014A-490C-89E5-C9F74975C2A2}" type="sibTrans" cxnId="{4A13F8BF-0245-4716-8948-D618D8E46A62}">
      <dgm:prSet/>
      <dgm:spPr/>
      <dgm:t>
        <a:bodyPr/>
        <a:lstStyle/>
        <a:p>
          <a:endParaRPr lang="en-US" sz="800">
            <a:solidFill>
              <a:sysClr val="windowText" lastClr="000000"/>
            </a:solidFill>
          </a:endParaRPr>
        </a:p>
      </dgm:t>
    </dgm:pt>
    <dgm:pt modelId="{9311BD07-AC22-445C-B920-ED4C11DB3961}">
      <dgm:prSet phldrT="[Text]" custT="1"/>
      <dgm:spPr>
        <a:solidFill>
          <a:schemeClr val="accent6">
            <a:lumMod val="60000"/>
            <a:lumOff val="40000"/>
          </a:schemeClr>
        </a:solidFill>
      </dgm:spPr>
      <dgm:t>
        <a:bodyPr/>
        <a:lstStyle/>
        <a:p>
          <a:r>
            <a:rPr lang="en-US" sz="800">
              <a:solidFill>
                <a:sysClr val="windowText" lastClr="000000"/>
              </a:solidFill>
            </a:rPr>
            <a:t>Locate unit that meets TBRA or TSH requirements</a:t>
          </a:r>
        </a:p>
      </dgm:t>
    </dgm:pt>
    <dgm:pt modelId="{017DD49E-B2FD-4A9D-9066-007FCCC94F29}" type="parTrans" cxnId="{B6089071-281C-4737-8073-07BB845F988D}">
      <dgm:prSet custT="1"/>
      <dgm:spPr/>
      <dgm:t>
        <a:bodyPr/>
        <a:lstStyle/>
        <a:p>
          <a:endParaRPr lang="en-US" sz="800">
            <a:solidFill>
              <a:sysClr val="windowText" lastClr="000000"/>
            </a:solidFill>
          </a:endParaRPr>
        </a:p>
      </dgm:t>
    </dgm:pt>
    <dgm:pt modelId="{F66F461F-2F9E-4CAB-80AE-9CB7B62F6CEB}" type="sibTrans" cxnId="{B6089071-281C-4737-8073-07BB845F988D}">
      <dgm:prSet/>
      <dgm:spPr/>
      <dgm:t>
        <a:bodyPr/>
        <a:lstStyle/>
        <a:p>
          <a:endParaRPr lang="en-US" sz="800">
            <a:solidFill>
              <a:sysClr val="windowText" lastClr="000000"/>
            </a:solidFill>
          </a:endParaRPr>
        </a:p>
      </dgm:t>
    </dgm:pt>
    <dgm:pt modelId="{59531D23-83F2-4A21-9163-C39BCA42D1E7}">
      <dgm:prSet custT="1"/>
      <dgm:spPr>
        <a:solidFill>
          <a:schemeClr val="accent6">
            <a:lumMod val="60000"/>
            <a:lumOff val="40000"/>
          </a:schemeClr>
        </a:solidFill>
      </dgm:spPr>
      <dgm:t>
        <a:bodyPr/>
        <a:lstStyle/>
        <a:p>
          <a:r>
            <a:rPr lang="en-US" sz="800">
              <a:solidFill>
                <a:sysClr val="windowText" lastClr="000000"/>
              </a:solidFill>
            </a:rPr>
            <a:t>Household requests emergency transfer</a:t>
          </a:r>
        </a:p>
      </dgm:t>
    </dgm:pt>
    <dgm:pt modelId="{976BBC93-3990-4406-A805-ECBC1B58832D}" type="parTrans" cxnId="{71860CB0-8899-4296-91A4-EE7DC5E71DF8}">
      <dgm:prSet custT="1"/>
      <dgm:spPr/>
      <dgm:t>
        <a:bodyPr/>
        <a:lstStyle/>
        <a:p>
          <a:endParaRPr lang="en-US" sz="800">
            <a:solidFill>
              <a:sysClr val="windowText" lastClr="000000"/>
            </a:solidFill>
          </a:endParaRPr>
        </a:p>
      </dgm:t>
    </dgm:pt>
    <dgm:pt modelId="{ABB890EB-79EA-49DA-9620-2FF9D7ADD5F8}" type="sibTrans" cxnId="{71860CB0-8899-4296-91A4-EE7DC5E71DF8}">
      <dgm:prSet/>
      <dgm:spPr/>
      <dgm:t>
        <a:bodyPr/>
        <a:lstStyle/>
        <a:p>
          <a:endParaRPr lang="en-US" sz="800">
            <a:solidFill>
              <a:sysClr val="windowText" lastClr="000000"/>
            </a:solidFill>
          </a:endParaRPr>
        </a:p>
      </dgm:t>
    </dgm:pt>
    <dgm:pt modelId="{885CA24D-F431-47C3-AF04-C7577D9BAA48}">
      <dgm:prSet phldrT="[Text]" custT="1"/>
      <dgm:spPr>
        <a:solidFill>
          <a:schemeClr val="accent5">
            <a:lumMod val="40000"/>
            <a:lumOff val="60000"/>
          </a:schemeClr>
        </a:solidFill>
      </dgm:spPr>
      <dgm:t>
        <a:bodyPr/>
        <a:lstStyle/>
        <a:p>
          <a:r>
            <a:rPr lang="en-US" sz="800">
              <a:solidFill>
                <a:sysClr val="windowText" lastClr="000000"/>
              </a:solidFill>
            </a:rPr>
            <a:t>Project Sponsor divides household</a:t>
          </a:r>
        </a:p>
      </dgm:t>
    </dgm:pt>
    <dgm:pt modelId="{83205A31-52C4-4D47-BC4C-BE5E24EB8DA0}" type="parTrans" cxnId="{9F6E42A5-B5F7-49BA-BAE0-7F43D68F99D9}">
      <dgm:prSet custT="1"/>
      <dgm:spPr/>
      <dgm:t>
        <a:bodyPr/>
        <a:lstStyle/>
        <a:p>
          <a:endParaRPr lang="en-US" sz="800">
            <a:solidFill>
              <a:sysClr val="windowText" lastClr="000000"/>
            </a:solidFill>
          </a:endParaRPr>
        </a:p>
      </dgm:t>
    </dgm:pt>
    <dgm:pt modelId="{469B0935-5728-4F84-B7F4-1ABDAB917D78}" type="sibTrans" cxnId="{9F6E42A5-B5F7-49BA-BAE0-7F43D68F99D9}">
      <dgm:prSet/>
      <dgm:spPr/>
      <dgm:t>
        <a:bodyPr/>
        <a:lstStyle/>
        <a:p>
          <a:endParaRPr lang="en-US" sz="800">
            <a:solidFill>
              <a:sysClr val="windowText" lastClr="000000"/>
            </a:solidFill>
          </a:endParaRPr>
        </a:p>
      </dgm:t>
    </dgm:pt>
    <dgm:pt modelId="{19E0F379-9FAF-4253-ADC7-A6A3F1014D6D}">
      <dgm:prSet phldrT="[Text]" custT="1"/>
      <dgm:spPr>
        <a:solidFill>
          <a:schemeClr val="accent6">
            <a:lumMod val="60000"/>
            <a:lumOff val="40000"/>
          </a:schemeClr>
        </a:solidFill>
      </dgm:spPr>
      <dgm:t>
        <a:bodyPr/>
        <a:lstStyle/>
        <a:p>
          <a:r>
            <a:rPr lang="en-US" sz="800">
              <a:solidFill>
                <a:sysClr val="windowText" lastClr="000000"/>
              </a:solidFill>
            </a:rPr>
            <a:t>Accused perpetrator Household</a:t>
          </a:r>
        </a:p>
      </dgm:t>
    </dgm:pt>
    <dgm:pt modelId="{3040C55A-21DD-4B8A-86C4-1BFC7961A6A0}" type="parTrans" cxnId="{FC67A33B-CF1E-42DA-9B5B-8E6D1DCA472C}">
      <dgm:prSet custT="1"/>
      <dgm:spPr/>
      <dgm:t>
        <a:bodyPr/>
        <a:lstStyle/>
        <a:p>
          <a:endParaRPr lang="en-US" sz="800">
            <a:solidFill>
              <a:sysClr val="windowText" lastClr="000000"/>
            </a:solidFill>
          </a:endParaRPr>
        </a:p>
      </dgm:t>
    </dgm:pt>
    <dgm:pt modelId="{6D80AF23-7AAC-4B38-B8EE-408B7B944E6B}" type="sibTrans" cxnId="{FC67A33B-CF1E-42DA-9B5B-8E6D1DCA472C}">
      <dgm:prSet/>
      <dgm:spPr/>
      <dgm:t>
        <a:bodyPr/>
        <a:lstStyle/>
        <a:p>
          <a:endParaRPr lang="en-US" sz="800">
            <a:solidFill>
              <a:sysClr val="windowText" lastClr="000000"/>
            </a:solidFill>
          </a:endParaRPr>
        </a:p>
      </dgm:t>
    </dgm:pt>
    <dgm:pt modelId="{C9E27238-AEF5-4EB1-B2FF-8D4E0668AF6D}">
      <dgm:prSet phldrT="[Text]" custT="1"/>
      <dgm:spPr>
        <a:solidFill>
          <a:schemeClr val="accent6">
            <a:lumMod val="60000"/>
            <a:lumOff val="40000"/>
          </a:schemeClr>
        </a:solidFill>
      </dgm:spPr>
      <dgm:t>
        <a:bodyPr/>
        <a:lstStyle/>
        <a:p>
          <a:r>
            <a:rPr lang="en-US" sz="800">
              <a:solidFill>
                <a:sysClr val="windowText" lastClr="000000"/>
              </a:solidFill>
            </a:rPr>
            <a:t>Project Sponsor terminates evicted accused perpetrator</a:t>
          </a:r>
        </a:p>
      </dgm:t>
    </dgm:pt>
    <dgm:pt modelId="{75575511-0586-4CDC-BEB9-EB23B002F242}" type="parTrans" cxnId="{8BA316A7-867F-4CD3-A880-A059A061FE21}">
      <dgm:prSet custT="1"/>
      <dgm:spPr/>
      <dgm:t>
        <a:bodyPr/>
        <a:lstStyle/>
        <a:p>
          <a:endParaRPr lang="en-US" sz="800">
            <a:solidFill>
              <a:sysClr val="windowText" lastClr="000000"/>
            </a:solidFill>
          </a:endParaRPr>
        </a:p>
      </dgm:t>
    </dgm:pt>
    <dgm:pt modelId="{841950CC-0B87-45EA-9695-83E9D97D83C4}" type="sibTrans" cxnId="{8BA316A7-867F-4CD3-A880-A059A061FE21}">
      <dgm:prSet/>
      <dgm:spPr/>
      <dgm:t>
        <a:bodyPr/>
        <a:lstStyle/>
        <a:p>
          <a:endParaRPr lang="en-US" sz="800">
            <a:solidFill>
              <a:sysClr val="windowText" lastClr="000000"/>
            </a:solidFill>
          </a:endParaRPr>
        </a:p>
      </dgm:t>
    </dgm:pt>
    <dgm:pt modelId="{BBD7F936-4567-47BF-A1F5-053F7A74C3A0}">
      <dgm:prSet custT="1"/>
      <dgm:spPr>
        <a:solidFill>
          <a:schemeClr val="accent6">
            <a:lumMod val="60000"/>
            <a:lumOff val="40000"/>
          </a:schemeClr>
        </a:solidFill>
      </dgm:spPr>
      <dgm:t>
        <a:bodyPr/>
        <a:lstStyle/>
        <a:p>
          <a:r>
            <a:rPr lang="en-US" sz="800">
              <a:solidFill>
                <a:sysClr val="windowText" lastClr="000000"/>
              </a:solidFill>
            </a:rPr>
            <a:t>Recert: Survivor income, composition</a:t>
          </a:r>
        </a:p>
      </dgm:t>
    </dgm:pt>
    <dgm:pt modelId="{D3970B7E-B262-470E-A670-B7108A2AA607}" type="parTrans" cxnId="{24D343F7-6263-490D-8784-FE671A487017}">
      <dgm:prSet custT="1"/>
      <dgm:spPr/>
      <dgm:t>
        <a:bodyPr/>
        <a:lstStyle/>
        <a:p>
          <a:endParaRPr lang="en-US" sz="800">
            <a:solidFill>
              <a:sysClr val="windowText" lastClr="000000"/>
            </a:solidFill>
          </a:endParaRPr>
        </a:p>
      </dgm:t>
    </dgm:pt>
    <dgm:pt modelId="{C19735D7-C738-4665-A3C7-FD0A9484E034}" type="sibTrans" cxnId="{24D343F7-6263-490D-8784-FE671A487017}">
      <dgm:prSet/>
      <dgm:spPr/>
      <dgm:t>
        <a:bodyPr/>
        <a:lstStyle/>
        <a:p>
          <a:endParaRPr lang="en-US" sz="800">
            <a:solidFill>
              <a:sysClr val="windowText" lastClr="000000"/>
            </a:solidFill>
          </a:endParaRPr>
        </a:p>
      </dgm:t>
    </dgm:pt>
    <dgm:pt modelId="{7E6D0A34-B675-4D30-92FF-5C260A1A507E}">
      <dgm:prSet custT="1"/>
      <dgm:spPr>
        <a:solidFill>
          <a:schemeClr val="accent6">
            <a:lumMod val="60000"/>
            <a:lumOff val="40000"/>
          </a:schemeClr>
        </a:solidFill>
      </dgm:spPr>
      <dgm:t>
        <a:bodyPr/>
        <a:lstStyle/>
        <a:p>
          <a:r>
            <a:rPr lang="en-US" sz="800">
              <a:solidFill>
                <a:sysClr val="windowText" lastClr="000000"/>
              </a:solidFill>
            </a:rPr>
            <a:t>TBRA or TSH recalculation</a:t>
          </a:r>
        </a:p>
      </dgm:t>
    </dgm:pt>
    <dgm:pt modelId="{CB982235-7B8D-4656-9AA6-9C8AA5486430}" type="parTrans" cxnId="{5AB62EC4-6A75-4FD4-B112-ECA4F56601BC}">
      <dgm:prSet custT="1"/>
      <dgm:spPr/>
      <dgm:t>
        <a:bodyPr/>
        <a:lstStyle/>
        <a:p>
          <a:endParaRPr lang="en-US" sz="800">
            <a:solidFill>
              <a:sysClr val="windowText" lastClr="000000"/>
            </a:solidFill>
          </a:endParaRPr>
        </a:p>
      </dgm:t>
    </dgm:pt>
    <dgm:pt modelId="{F6A6CC52-7EE2-4A75-B7E4-56173B0CD85C}" type="sibTrans" cxnId="{5AB62EC4-6A75-4FD4-B112-ECA4F56601BC}">
      <dgm:prSet/>
      <dgm:spPr/>
      <dgm:t>
        <a:bodyPr/>
        <a:lstStyle/>
        <a:p>
          <a:endParaRPr lang="en-US" sz="800">
            <a:solidFill>
              <a:sysClr val="windowText" lastClr="000000"/>
            </a:solidFill>
          </a:endParaRPr>
        </a:p>
      </dgm:t>
    </dgm:pt>
    <dgm:pt modelId="{F4F73E1C-BE6A-4C2A-A949-E9426F79D2D0}">
      <dgm:prSet custT="1"/>
      <dgm:spPr>
        <a:solidFill>
          <a:schemeClr val="accent6">
            <a:lumMod val="60000"/>
            <a:lumOff val="40000"/>
          </a:schemeClr>
        </a:solidFill>
      </dgm:spPr>
      <dgm:t>
        <a:bodyPr/>
        <a:lstStyle/>
        <a:p>
          <a:r>
            <a:rPr lang="en-US" sz="800">
              <a:solidFill>
                <a:sysClr val="windowText" lastClr="000000"/>
              </a:solidFill>
            </a:rPr>
            <a:t>Ineligible</a:t>
          </a:r>
        </a:p>
      </dgm:t>
    </dgm:pt>
    <dgm:pt modelId="{24AB32D6-1157-40E7-B834-0E6DBE980708}" type="parTrans" cxnId="{ED283F70-B760-445C-BDBF-E3FD3F77A442}">
      <dgm:prSet custT="1"/>
      <dgm:spPr/>
      <dgm:t>
        <a:bodyPr/>
        <a:lstStyle/>
        <a:p>
          <a:endParaRPr lang="en-US" sz="800">
            <a:solidFill>
              <a:sysClr val="windowText" lastClr="000000"/>
            </a:solidFill>
          </a:endParaRPr>
        </a:p>
      </dgm:t>
    </dgm:pt>
    <dgm:pt modelId="{CBEE669D-DF28-4862-AEC2-C07189771CB7}" type="sibTrans" cxnId="{ED283F70-B760-445C-BDBF-E3FD3F77A442}">
      <dgm:prSet/>
      <dgm:spPr/>
      <dgm:t>
        <a:bodyPr/>
        <a:lstStyle/>
        <a:p>
          <a:endParaRPr lang="en-US" sz="800">
            <a:solidFill>
              <a:sysClr val="windowText" lastClr="000000"/>
            </a:solidFill>
          </a:endParaRPr>
        </a:p>
      </dgm:t>
    </dgm:pt>
    <dgm:pt modelId="{69195BF8-4D4A-413A-9757-F352F1A28FFC}">
      <dgm:prSet custT="1"/>
      <dgm:spPr>
        <a:solidFill>
          <a:schemeClr val="accent6">
            <a:lumMod val="60000"/>
            <a:lumOff val="40000"/>
          </a:schemeClr>
        </a:solidFill>
      </dgm:spPr>
      <dgm:t>
        <a:bodyPr/>
        <a:lstStyle/>
        <a:p>
          <a:r>
            <a:rPr lang="en-US" sz="800">
              <a:solidFill>
                <a:sysClr val="windowText" lastClr="000000"/>
              </a:solidFill>
            </a:rPr>
            <a:t>If because no one lives with HIV, qualified for grace period</a:t>
          </a:r>
        </a:p>
      </dgm:t>
    </dgm:pt>
    <dgm:pt modelId="{3A66835B-EBBF-4A26-85BF-E1809AB784B1}" type="parTrans" cxnId="{4B32096F-2EA1-43B1-9C7B-FA9E6842F6E4}">
      <dgm:prSet custT="1"/>
      <dgm:spPr/>
      <dgm:t>
        <a:bodyPr/>
        <a:lstStyle/>
        <a:p>
          <a:endParaRPr lang="en-US" sz="800">
            <a:solidFill>
              <a:sysClr val="windowText" lastClr="000000"/>
            </a:solidFill>
          </a:endParaRPr>
        </a:p>
      </dgm:t>
    </dgm:pt>
    <dgm:pt modelId="{785FF278-A7F1-4BB7-A65E-A520D0A7BB5E}" type="sibTrans" cxnId="{4B32096F-2EA1-43B1-9C7B-FA9E6842F6E4}">
      <dgm:prSet/>
      <dgm:spPr/>
      <dgm:t>
        <a:bodyPr/>
        <a:lstStyle/>
        <a:p>
          <a:endParaRPr lang="en-US" sz="800">
            <a:solidFill>
              <a:sysClr val="windowText" lastClr="000000"/>
            </a:solidFill>
          </a:endParaRPr>
        </a:p>
      </dgm:t>
    </dgm:pt>
    <dgm:pt modelId="{84F53347-27F9-4D85-814D-1FE7026C7C55}">
      <dgm:prSet custT="1"/>
      <dgm:spPr>
        <a:solidFill>
          <a:schemeClr val="accent4">
            <a:lumMod val="60000"/>
            <a:lumOff val="40000"/>
          </a:schemeClr>
        </a:solidFill>
      </dgm:spPr>
      <dgm:t>
        <a:bodyPr/>
        <a:lstStyle/>
        <a:p>
          <a:r>
            <a:rPr lang="en-US" sz="800">
              <a:solidFill>
                <a:sysClr val="windowText" lastClr="000000"/>
              </a:solidFill>
            </a:rPr>
            <a:t>Owner does not evict accused perpetrator</a:t>
          </a:r>
        </a:p>
      </dgm:t>
    </dgm:pt>
    <dgm:pt modelId="{7C815B6C-D094-49DC-A2EB-611A9EB6EF91}" type="parTrans" cxnId="{C17F8B4A-1F3B-47FC-93DC-5F8FC9CA5564}">
      <dgm:prSet custT="1"/>
      <dgm:spPr/>
      <dgm:t>
        <a:bodyPr/>
        <a:lstStyle/>
        <a:p>
          <a:endParaRPr lang="en-US" sz="800">
            <a:solidFill>
              <a:sysClr val="windowText" lastClr="000000"/>
            </a:solidFill>
          </a:endParaRPr>
        </a:p>
      </dgm:t>
    </dgm:pt>
    <dgm:pt modelId="{9013482C-9744-4B03-8C57-D328D770463F}" type="sibTrans" cxnId="{C17F8B4A-1F3B-47FC-93DC-5F8FC9CA5564}">
      <dgm:prSet/>
      <dgm:spPr/>
      <dgm:t>
        <a:bodyPr/>
        <a:lstStyle/>
        <a:p>
          <a:endParaRPr lang="en-US" sz="800">
            <a:solidFill>
              <a:sysClr val="windowText" lastClr="000000"/>
            </a:solidFill>
          </a:endParaRPr>
        </a:p>
      </dgm:t>
    </dgm:pt>
    <dgm:pt modelId="{534ACAD3-27A4-46BA-96E0-AD07FE60C92D}">
      <dgm:prSet custT="1"/>
      <dgm:spPr>
        <a:solidFill>
          <a:schemeClr val="accent6">
            <a:lumMod val="60000"/>
            <a:lumOff val="40000"/>
          </a:schemeClr>
        </a:solidFill>
      </dgm:spPr>
      <dgm:t>
        <a:bodyPr/>
        <a:lstStyle/>
        <a:p>
          <a:r>
            <a:rPr lang="en-US" sz="800">
              <a:solidFill>
                <a:sysClr val="windowText" lastClr="000000"/>
              </a:solidFill>
            </a:rPr>
            <a:t>Survivor Household</a:t>
          </a:r>
        </a:p>
      </dgm:t>
    </dgm:pt>
    <dgm:pt modelId="{642E43F4-65B9-415B-983E-CA5C7D75D801}" type="parTrans" cxnId="{EB6094D8-9C1F-4674-A0DC-6AD60E7715E3}">
      <dgm:prSet custT="1"/>
      <dgm:spPr/>
      <dgm:t>
        <a:bodyPr/>
        <a:lstStyle/>
        <a:p>
          <a:endParaRPr lang="en-US" sz="800">
            <a:solidFill>
              <a:sysClr val="windowText" lastClr="000000"/>
            </a:solidFill>
          </a:endParaRPr>
        </a:p>
      </dgm:t>
    </dgm:pt>
    <dgm:pt modelId="{44B781FF-F483-4D2B-ADF7-FDA503EACE72}" type="sibTrans" cxnId="{EB6094D8-9C1F-4674-A0DC-6AD60E7715E3}">
      <dgm:prSet/>
      <dgm:spPr/>
      <dgm:t>
        <a:bodyPr/>
        <a:lstStyle/>
        <a:p>
          <a:endParaRPr lang="en-US" sz="800">
            <a:solidFill>
              <a:sysClr val="windowText" lastClr="000000"/>
            </a:solidFill>
          </a:endParaRPr>
        </a:p>
      </dgm:t>
    </dgm:pt>
    <dgm:pt modelId="{162F46F2-F469-4EB6-9C48-3D0EF97B420E}">
      <dgm:prSet custT="1"/>
      <dgm:spPr>
        <a:solidFill>
          <a:schemeClr val="accent6">
            <a:lumMod val="60000"/>
            <a:lumOff val="40000"/>
          </a:schemeClr>
        </a:solidFill>
      </dgm:spPr>
      <dgm:t>
        <a:bodyPr/>
        <a:lstStyle/>
        <a:p>
          <a:r>
            <a:rPr lang="en-US" sz="800">
              <a:solidFill>
                <a:sysClr val="windowText" lastClr="000000"/>
              </a:solidFill>
            </a:rPr>
            <a:t>Qualified</a:t>
          </a:r>
        </a:p>
      </dgm:t>
    </dgm:pt>
    <dgm:pt modelId="{6C01FD0B-8D9B-4AD7-9E45-BF6392DCA049}" type="parTrans" cxnId="{BDAEF41F-2986-4E17-A48D-536CD61B0645}">
      <dgm:prSet custT="1"/>
      <dgm:spPr/>
      <dgm:t>
        <a:bodyPr/>
        <a:lstStyle/>
        <a:p>
          <a:endParaRPr lang="en-US" sz="800">
            <a:solidFill>
              <a:sysClr val="windowText" lastClr="000000"/>
            </a:solidFill>
          </a:endParaRPr>
        </a:p>
      </dgm:t>
    </dgm:pt>
    <dgm:pt modelId="{F6248823-2120-4E3B-AD3C-11755A728305}" type="sibTrans" cxnId="{BDAEF41F-2986-4E17-A48D-536CD61B0645}">
      <dgm:prSet/>
      <dgm:spPr/>
      <dgm:t>
        <a:bodyPr/>
        <a:lstStyle/>
        <a:p>
          <a:endParaRPr lang="en-US" sz="800">
            <a:solidFill>
              <a:sysClr val="windowText" lastClr="000000"/>
            </a:solidFill>
          </a:endParaRPr>
        </a:p>
      </dgm:t>
    </dgm:pt>
    <dgm:pt modelId="{EE2DE24E-D607-4218-82ED-DC126255C680}">
      <dgm:prSet custT="1"/>
      <dgm:spPr>
        <a:solidFill>
          <a:schemeClr val="accent6">
            <a:lumMod val="60000"/>
            <a:lumOff val="40000"/>
          </a:schemeClr>
        </a:solidFill>
      </dgm:spPr>
      <dgm:t>
        <a:bodyPr/>
        <a:lstStyle/>
        <a:p>
          <a:r>
            <a:rPr lang="en-US" sz="800">
              <a:solidFill>
                <a:sysClr val="windowText" lastClr="000000"/>
              </a:solidFill>
            </a:rPr>
            <a:t>See emergency transfer</a:t>
          </a:r>
        </a:p>
      </dgm:t>
    </dgm:pt>
    <dgm:pt modelId="{142A8C57-C720-4368-92BD-1FD39CB197E7}" type="parTrans" cxnId="{09AD729E-C87F-48B3-95FE-CE50CFF01246}">
      <dgm:prSet custT="1"/>
      <dgm:spPr/>
      <dgm:t>
        <a:bodyPr/>
        <a:lstStyle/>
        <a:p>
          <a:endParaRPr lang="en-US" sz="800">
            <a:solidFill>
              <a:sysClr val="windowText" lastClr="000000"/>
            </a:solidFill>
          </a:endParaRPr>
        </a:p>
      </dgm:t>
    </dgm:pt>
    <dgm:pt modelId="{D4777D10-FF7A-4C9B-BDC2-F877A1A0180D}" type="sibTrans" cxnId="{09AD729E-C87F-48B3-95FE-CE50CFF01246}">
      <dgm:prSet/>
      <dgm:spPr/>
      <dgm:t>
        <a:bodyPr/>
        <a:lstStyle/>
        <a:p>
          <a:endParaRPr lang="en-US" sz="800">
            <a:solidFill>
              <a:sysClr val="windowText" lastClr="000000"/>
            </a:solidFill>
          </a:endParaRPr>
        </a:p>
      </dgm:t>
    </dgm:pt>
    <dgm:pt modelId="{44DBC31A-21FD-4DEE-B392-F7808176C946}">
      <dgm:prSet custT="1"/>
      <dgm:spPr>
        <a:solidFill>
          <a:schemeClr val="accent6">
            <a:lumMod val="60000"/>
            <a:lumOff val="40000"/>
          </a:schemeClr>
        </a:solidFill>
      </dgm:spPr>
      <dgm:t>
        <a:bodyPr/>
        <a:lstStyle/>
        <a:p>
          <a:r>
            <a:rPr lang="en-US" sz="800">
              <a:solidFill>
                <a:sysClr val="windowText" lastClr="000000"/>
              </a:solidFill>
            </a:rPr>
            <a:t>Unqualified</a:t>
          </a:r>
        </a:p>
      </dgm:t>
    </dgm:pt>
    <dgm:pt modelId="{41979DCC-6141-4034-93F5-06B8EB01193E}" type="parTrans" cxnId="{D2A79138-D1D8-48E0-B508-D59F05490A59}">
      <dgm:prSet custT="1"/>
      <dgm:spPr/>
      <dgm:t>
        <a:bodyPr/>
        <a:lstStyle/>
        <a:p>
          <a:endParaRPr lang="en-US" sz="800">
            <a:solidFill>
              <a:sysClr val="windowText" lastClr="000000"/>
            </a:solidFill>
          </a:endParaRPr>
        </a:p>
      </dgm:t>
    </dgm:pt>
    <dgm:pt modelId="{9C18C28D-8BD0-42D0-9E7D-3C45887930E2}" type="sibTrans" cxnId="{D2A79138-D1D8-48E0-B508-D59F05490A59}">
      <dgm:prSet/>
      <dgm:spPr/>
      <dgm:t>
        <a:bodyPr/>
        <a:lstStyle/>
        <a:p>
          <a:endParaRPr lang="en-US" sz="800">
            <a:solidFill>
              <a:sysClr val="windowText" lastClr="000000"/>
            </a:solidFill>
          </a:endParaRPr>
        </a:p>
      </dgm:t>
    </dgm:pt>
    <dgm:pt modelId="{CD1F4A6A-8990-40CB-86F6-CA1808953D4E}">
      <dgm:prSet custT="1"/>
      <dgm:spPr>
        <a:solidFill>
          <a:schemeClr val="accent6">
            <a:lumMod val="60000"/>
            <a:lumOff val="40000"/>
          </a:schemeClr>
        </a:solidFill>
      </dgm:spPr>
      <dgm:t>
        <a:bodyPr/>
        <a:lstStyle/>
        <a:p>
          <a:r>
            <a:rPr lang="en-US" sz="800">
              <a:solidFill>
                <a:sysClr val="windowText" lastClr="000000"/>
              </a:solidFill>
            </a:rPr>
            <a:t>Household requests emergency transfer</a:t>
          </a:r>
        </a:p>
      </dgm:t>
    </dgm:pt>
    <dgm:pt modelId="{341B89A7-3524-44FD-8847-19D0306AC5E1}" type="parTrans" cxnId="{495776EF-3F55-479E-9F67-7F525BFF5419}">
      <dgm:prSet custT="1"/>
      <dgm:spPr/>
      <dgm:t>
        <a:bodyPr/>
        <a:lstStyle/>
        <a:p>
          <a:endParaRPr lang="en-US" sz="800">
            <a:solidFill>
              <a:sysClr val="windowText" lastClr="000000"/>
            </a:solidFill>
          </a:endParaRPr>
        </a:p>
      </dgm:t>
    </dgm:pt>
    <dgm:pt modelId="{35EEAF92-F982-427C-9946-B044B658E69A}" type="sibTrans" cxnId="{495776EF-3F55-479E-9F67-7F525BFF5419}">
      <dgm:prSet/>
      <dgm:spPr/>
      <dgm:t>
        <a:bodyPr/>
        <a:lstStyle/>
        <a:p>
          <a:endParaRPr lang="en-US" sz="800">
            <a:solidFill>
              <a:sysClr val="windowText" lastClr="000000"/>
            </a:solidFill>
          </a:endParaRPr>
        </a:p>
      </dgm:t>
    </dgm:pt>
    <dgm:pt modelId="{1F086684-27E9-4CFA-8B6C-BBC25AE19650}">
      <dgm:prSet custT="1"/>
      <dgm:spPr>
        <a:solidFill>
          <a:schemeClr val="accent6">
            <a:lumMod val="60000"/>
            <a:lumOff val="40000"/>
          </a:schemeClr>
        </a:solidFill>
      </dgm:spPr>
      <dgm:t>
        <a:bodyPr/>
        <a:lstStyle/>
        <a:p>
          <a:r>
            <a:rPr lang="en-US" sz="800">
              <a:solidFill>
                <a:sysClr val="windowText" lastClr="000000"/>
              </a:solidFill>
            </a:rPr>
            <a:t>Household does not request emergency transfer</a:t>
          </a:r>
        </a:p>
      </dgm:t>
    </dgm:pt>
    <dgm:pt modelId="{5294DC28-C98F-478F-8C57-0D93C8BE72B2}" type="parTrans" cxnId="{4BA3DD0E-E021-477E-AFE3-88F089CB9F53}">
      <dgm:prSet custT="1"/>
      <dgm:spPr/>
      <dgm:t>
        <a:bodyPr/>
        <a:lstStyle/>
        <a:p>
          <a:endParaRPr lang="en-US" sz="800">
            <a:solidFill>
              <a:sysClr val="windowText" lastClr="000000"/>
            </a:solidFill>
          </a:endParaRPr>
        </a:p>
      </dgm:t>
    </dgm:pt>
    <dgm:pt modelId="{B7E90CA8-8926-46A3-B79C-183C46DCA4E3}" type="sibTrans" cxnId="{4BA3DD0E-E021-477E-AFE3-88F089CB9F53}">
      <dgm:prSet/>
      <dgm:spPr/>
      <dgm:t>
        <a:bodyPr/>
        <a:lstStyle/>
        <a:p>
          <a:endParaRPr lang="en-US" sz="800">
            <a:solidFill>
              <a:sysClr val="windowText" lastClr="000000"/>
            </a:solidFill>
          </a:endParaRPr>
        </a:p>
      </dgm:t>
    </dgm:pt>
    <dgm:pt modelId="{1C2CB421-29C9-44D3-9557-B1853F6D37A5}">
      <dgm:prSet custT="1"/>
      <dgm:spPr>
        <a:solidFill>
          <a:schemeClr val="accent6">
            <a:lumMod val="60000"/>
            <a:lumOff val="40000"/>
          </a:schemeClr>
        </a:solidFill>
      </dgm:spPr>
      <dgm:t>
        <a:bodyPr/>
        <a:lstStyle/>
        <a:p>
          <a:r>
            <a:rPr lang="en-US" sz="800">
              <a:solidFill>
                <a:sysClr val="windowText" lastClr="000000"/>
              </a:solidFill>
            </a:rPr>
            <a:t>Recert: Survivor income, composition</a:t>
          </a:r>
        </a:p>
      </dgm:t>
    </dgm:pt>
    <dgm:pt modelId="{7A00E960-452A-4CB0-9AB5-6F41E3E03BB7}" type="parTrans" cxnId="{9161CF5D-48B2-42B6-B830-7F8800BCDEBD}">
      <dgm:prSet custT="1"/>
      <dgm:spPr/>
      <dgm:t>
        <a:bodyPr/>
        <a:lstStyle/>
        <a:p>
          <a:endParaRPr lang="en-US" sz="800">
            <a:solidFill>
              <a:sysClr val="windowText" lastClr="000000"/>
            </a:solidFill>
          </a:endParaRPr>
        </a:p>
      </dgm:t>
    </dgm:pt>
    <dgm:pt modelId="{163983EE-D112-46C3-81E3-9354438B8092}" type="sibTrans" cxnId="{9161CF5D-48B2-42B6-B830-7F8800BCDEBD}">
      <dgm:prSet/>
      <dgm:spPr/>
      <dgm:t>
        <a:bodyPr/>
        <a:lstStyle/>
        <a:p>
          <a:endParaRPr lang="en-US" sz="800">
            <a:solidFill>
              <a:sysClr val="windowText" lastClr="000000"/>
            </a:solidFill>
          </a:endParaRPr>
        </a:p>
      </dgm:t>
    </dgm:pt>
    <dgm:pt modelId="{297F27A9-AF24-47A7-8FB2-3AE7708D36D9}">
      <dgm:prSet custT="1"/>
      <dgm:spPr>
        <a:solidFill>
          <a:schemeClr val="accent6">
            <a:lumMod val="60000"/>
            <a:lumOff val="40000"/>
          </a:schemeClr>
        </a:solidFill>
      </dgm:spPr>
      <dgm:t>
        <a:bodyPr/>
        <a:lstStyle/>
        <a:p>
          <a:r>
            <a:rPr lang="en-US" sz="800">
              <a:solidFill>
                <a:sysClr val="windowText" lastClr="000000"/>
              </a:solidFill>
            </a:rPr>
            <a:t>Eligible</a:t>
          </a:r>
        </a:p>
      </dgm:t>
    </dgm:pt>
    <dgm:pt modelId="{28662B82-91FE-4464-B470-88C38CDA71B8}" type="parTrans" cxnId="{57F4858D-490F-4710-A7BE-93C79B803025}">
      <dgm:prSet custT="1"/>
      <dgm:spPr/>
      <dgm:t>
        <a:bodyPr/>
        <a:lstStyle/>
        <a:p>
          <a:endParaRPr lang="en-US" sz="800">
            <a:solidFill>
              <a:sysClr val="windowText" lastClr="000000"/>
            </a:solidFill>
          </a:endParaRPr>
        </a:p>
      </dgm:t>
    </dgm:pt>
    <dgm:pt modelId="{5BF3EA12-F53A-41C6-BE42-9C4B174CE6F8}" type="sibTrans" cxnId="{57F4858D-490F-4710-A7BE-93C79B803025}">
      <dgm:prSet/>
      <dgm:spPr/>
      <dgm:t>
        <a:bodyPr/>
        <a:lstStyle/>
        <a:p>
          <a:endParaRPr lang="en-US" sz="800">
            <a:solidFill>
              <a:sysClr val="windowText" lastClr="000000"/>
            </a:solidFill>
          </a:endParaRPr>
        </a:p>
      </dgm:t>
    </dgm:pt>
    <dgm:pt modelId="{FE150378-8AE0-41D5-A9D0-183EAEC28591}">
      <dgm:prSet custT="1"/>
      <dgm:spPr>
        <a:solidFill>
          <a:schemeClr val="accent6">
            <a:lumMod val="60000"/>
            <a:lumOff val="40000"/>
          </a:schemeClr>
        </a:solidFill>
      </dgm:spPr>
      <dgm:t>
        <a:bodyPr/>
        <a:lstStyle/>
        <a:p>
          <a:r>
            <a:rPr lang="en-US" sz="800">
              <a:solidFill>
                <a:sysClr val="windowText" lastClr="000000"/>
              </a:solidFill>
            </a:rPr>
            <a:t>TBRA or TSH recalculation</a:t>
          </a:r>
        </a:p>
      </dgm:t>
    </dgm:pt>
    <dgm:pt modelId="{431730D2-1464-493E-9F0E-31AAA390FC6C}" type="parTrans" cxnId="{F87E93AA-9D7E-4120-8A18-CF50B4920B17}">
      <dgm:prSet custT="1"/>
      <dgm:spPr/>
      <dgm:t>
        <a:bodyPr/>
        <a:lstStyle/>
        <a:p>
          <a:endParaRPr lang="en-US" sz="800">
            <a:solidFill>
              <a:sysClr val="windowText" lastClr="000000"/>
            </a:solidFill>
          </a:endParaRPr>
        </a:p>
      </dgm:t>
    </dgm:pt>
    <dgm:pt modelId="{7B804749-A1F4-46F7-A679-A07052721F33}" type="sibTrans" cxnId="{F87E93AA-9D7E-4120-8A18-CF50B4920B17}">
      <dgm:prSet/>
      <dgm:spPr/>
      <dgm:t>
        <a:bodyPr/>
        <a:lstStyle/>
        <a:p>
          <a:endParaRPr lang="en-US" sz="800">
            <a:solidFill>
              <a:sysClr val="windowText" lastClr="000000"/>
            </a:solidFill>
          </a:endParaRPr>
        </a:p>
      </dgm:t>
    </dgm:pt>
    <dgm:pt modelId="{BE8A961E-2DFB-418A-8A2D-F148FB466779}">
      <dgm:prSet custT="1"/>
      <dgm:spPr>
        <a:solidFill>
          <a:schemeClr val="accent6">
            <a:lumMod val="60000"/>
            <a:lumOff val="40000"/>
          </a:schemeClr>
        </a:solidFill>
      </dgm:spPr>
      <dgm:t>
        <a:bodyPr/>
        <a:lstStyle/>
        <a:p>
          <a:r>
            <a:rPr lang="en-US" sz="800">
              <a:solidFill>
                <a:sysClr val="windowText" lastClr="000000"/>
              </a:solidFill>
            </a:rPr>
            <a:t>Ineligible</a:t>
          </a:r>
        </a:p>
      </dgm:t>
    </dgm:pt>
    <dgm:pt modelId="{05F000D5-7C16-4BF8-8A06-6D954A8A378D}" type="parTrans" cxnId="{86738B08-50A9-430F-9B3E-E9E9334E47EE}">
      <dgm:prSet custT="1"/>
      <dgm:spPr/>
      <dgm:t>
        <a:bodyPr/>
        <a:lstStyle/>
        <a:p>
          <a:endParaRPr lang="en-US" sz="800">
            <a:solidFill>
              <a:sysClr val="windowText" lastClr="000000"/>
            </a:solidFill>
          </a:endParaRPr>
        </a:p>
      </dgm:t>
    </dgm:pt>
    <dgm:pt modelId="{E411DAD2-466F-44DB-A900-111AF9A6460A}" type="sibTrans" cxnId="{86738B08-50A9-430F-9B3E-E9E9334E47EE}">
      <dgm:prSet/>
      <dgm:spPr/>
      <dgm:t>
        <a:bodyPr/>
        <a:lstStyle/>
        <a:p>
          <a:endParaRPr lang="en-US" sz="800">
            <a:solidFill>
              <a:sysClr val="windowText" lastClr="000000"/>
            </a:solidFill>
          </a:endParaRPr>
        </a:p>
      </dgm:t>
    </dgm:pt>
    <dgm:pt modelId="{2BE7BA4A-C95C-4BE7-9DD1-CD84EDF1A70C}">
      <dgm:prSet custT="1"/>
      <dgm:spPr>
        <a:solidFill>
          <a:schemeClr val="accent6">
            <a:lumMod val="60000"/>
            <a:lumOff val="40000"/>
          </a:schemeClr>
        </a:solidFill>
      </dgm:spPr>
      <dgm:t>
        <a:bodyPr/>
        <a:lstStyle/>
        <a:p>
          <a:r>
            <a:rPr lang="en-US" sz="800">
              <a:solidFill>
                <a:sysClr val="windowText" lastClr="000000"/>
              </a:solidFill>
            </a:rPr>
            <a:t>If because no one lives with HIV, qualified for grace period</a:t>
          </a:r>
        </a:p>
      </dgm:t>
    </dgm:pt>
    <dgm:pt modelId="{3CF32039-CE22-42C5-9120-D786A459153D}" type="parTrans" cxnId="{FA92C4C2-219C-48D6-9DB8-0D76E815E587}">
      <dgm:prSet custT="1"/>
      <dgm:spPr/>
      <dgm:t>
        <a:bodyPr/>
        <a:lstStyle/>
        <a:p>
          <a:endParaRPr lang="en-US" sz="800">
            <a:solidFill>
              <a:sysClr val="windowText" lastClr="000000"/>
            </a:solidFill>
          </a:endParaRPr>
        </a:p>
      </dgm:t>
    </dgm:pt>
    <dgm:pt modelId="{EB09B4A9-28C5-461A-893A-BBDEC7D058EE}" type="sibTrans" cxnId="{FA92C4C2-219C-48D6-9DB8-0D76E815E587}">
      <dgm:prSet/>
      <dgm:spPr/>
      <dgm:t>
        <a:bodyPr/>
        <a:lstStyle/>
        <a:p>
          <a:endParaRPr lang="en-US" sz="800">
            <a:solidFill>
              <a:sysClr val="windowText" lastClr="000000"/>
            </a:solidFill>
          </a:endParaRPr>
        </a:p>
      </dgm:t>
    </dgm:pt>
    <dgm:pt modelId="{E08E71BE-0200-4FA8-B749-928F70BD4001}">
      <dgm:prSet custT="1"/>
      <dgm:spPr>
        <a:solidFill>
          <a:schemeClr val="accent5">
            <a:lumMod val="40000"/>
            <a:lumOff val="60000"/>
          </a:schemeClr>
        </a:solidFill>
      </dgm:spPr>
      <dgm:t>
        <a:bodyPr/>
        <a:lstStyle/>
        <a:p>
          <a:r>
            <a:rPr lang="en-US" sz="800">
              <a:solidFill>
                <a:sysClr val="windowText" lastClr="000000"/>
              </a:solidFill>
            </a:rPr>
            <a:t>Project Sponsor divides household</a:t>
          </a:r>
        </a:p>
      </dgm:t>
    </dgm:pt>
    <dgm:pt modelId="{70599A2C-EE7C-4A2C-B6B8-15A6E8E952F4}" type="parTrans" cxnId="{DC1B8007-017E-4C87-BBF0-6B837ED82CBC}">
      <dgm:prSet custT="1"/>
      <dgm:spPr/>
      <dgm:t>
        <a:bodyPr/>
        <a:lstStyle/>
        <a:p>
          <a:endParaRPr lang="en-US" sz="800">
            <a:solidFill>
              <a:sysClr val="windowText" lastClr="000000"/>
            </a:solidFill>
          </a:endParaRPr>
        </a:p>
      </dgm:t>
    </dgm:pt>
    <dgm:pt modelId="{1B30DC6F-BA08-42AE-940F-4EC5A1E3B839}" type="sibTrans" cxnId="{DC1B8007-017E-4C87-BBF0-6B837ED82CBC}">
      <dgm:prSet/>
      <dgm:spPr/>
      <dgm:t>
        <a:bodyPr/>
        <a:lstStyle/>
        <a:p>
          <a:endParaRPr lang="en-US" sz="800">
            <a:solidFill>
              <a:sysClr val="windowText" lastClr="000000"/>
            </a:solidFill>
          </a:endParaRPr>
        </a:p>
      </dgm:t>
    </dgm:pt>
    <dgm:pt modelId="{E328C9ED-7E03-4C2E-86AF-6C608CB66764}">
      <dgm:prSet custT="1"/>
      <dgm:spPr>
        <a:solidFill>
          <a:schemeClr val="accent6">
            <a:lumMod val="60000"/>
            <a:lumOff val="40000"/>
          </a:schemeClr>
        </a:solidFill>
      </dgm:spPr>
      <dgm:t>
        <a:bodyPr/>
        <a:lstStyle/>
        <a:p>
          <a:r>
            <a:rPr lang="en-US" sz="800">
              <a:solidFill>
                <a:sysClr val="windowText" lastClr="000000"/>
              </a:solidFill>
            </a:rPr>
            <a:t>Accused perpetrator Household</a:t>
          </a:r>
        </a:p>
      </dgm:t>
    </dgm:pt>
    <dgm:pt modelId="{0E987D8E-C729-459E-8708-7AB85279BC88}" type="parTrans" cxnId="{2A815D81-955C-4980-B404-7B0920D7B7C2}">
      <dgm:prSet custT="1"/>
      <dgm:spPr/>
      <dgm:t>
        <a:bodyPr/>
        <a:lstStyle/>
        <a:p>
          <a:endParaRPr lang="en-US" sz="800">
            <a:solidFill>
              <a:sysClr val="windowText" lastClr="000000"/>
            </a:solidFill>
          </a:endParaRPr>
        </a:p>
      </dgm:t>
    </dgm:pt>
    <dgm:pt modelId="{7021EB3E-79DA-44A5-91C6-B3DF76038153}" type="sibTrans" cxnId="{2A815D81-955C-4980-B404-7B0920D7B7C2}">
      <dgm:prSet/>
      <dgm:spPr/>
      <dgm:t>
        <a:bodyPr/>
        <a:lstStyle/>
        <a:p>
          <a:endParaRPr lang="en-US" sz="800">
            <a:solidFill>
              <a:sysClr val="windowText" lastClr="000000"/>
            </a:solidFill>
          </a:endParaRPr>
        </a:p>
      </dgm:t>
    </dgm:pt>
    <dgm:pt modelId="{D1425854-10DF-4EC9-9D24-555A424E33B4}">
      <dgm:prSet phldrT="[Text]" custT="1"/>
      <dgm:spPr>
        <a:solidFill>
          <a:schemeClr val="accent6">
            <a:lumMod val="60000"/>
            <a:lumOff val="40000"/>
          </a:schemeClr>
        </a:solidFill>
      </dgm:spPr>
      <dgm:t>
        <a:bodyPr/>
        <a:lstStyle/>
        <a:p>
          <a:r>
            <a:rPr lang="en-US" sz="800">
              <a:solidFill>
                <a:sysClr val="windowText" lastClr="000000"/>
              </a:solidFill>
            </a:rPr>
            <a:t>Project Sponsor terminates accused perpetrator</a:t>
          </a:r>
        </a:p>
      </dgm:t>
    </dgm:pt>
    <dgm:pt modelId="{8FC191C6-79EE-4996-B3F3-7971A76DB53C}" type="parTrans" cxnId="{719BA15F-ECA2-4FA2-B59E-948F5D2625A8}">
      <dgm:prSet custT="1"/>
      <dgm:spPr/>
      <dgm:t>
        <a:bodyPr/>
        <a:lstStyle/>
        <a:p>
          <a:endParaRPr lang="en-US" sz="800">
            <a:solidFill>
              <a:sysClr val="windowText" lastClr="000000"/>
            </a:solidFill>
          </a:endParaRPr>
        </a:p>
      </dgm:t>
    </dgm:pt>
    <dgm:pt modelId="{875F339D-8380-4CDC-950D-668F8FBE9442}" type="sibTrans" cxnId="{719BA15F-ECA2-4FA2-B59E-948F5D2625A8}">
      <dgm:prSet/>
      <dgm:spPr/>
      <dgm:t>
        <a:bodyPr/>
        <a:lstStyle/>
        <a:p>
          <a:endParaRPr lang="en-US" sz="800">
            <a:solidFill>
              <a:sysClr val="windowText" lastClr="000000"/>
            </a:solidFill>
          </a:endParaRPr>
        </a:p>
      </dgm:t>
    </dgm:pt>
    <dgm:pt modelId="{05DE15FA-EFCE-40C7-B05D-EB4ACCC751FC}">
      <dgm:prSet phldrT="[Text]" custT="1"/>
      <dgm:spPr>
        <a:solidFill>
          <a:schemeClr val="accent6">
            <a:lumMod val="60000"/>
            <a:lumOff val="40000"/>
          </a:schemeClr>
        </a:solidFill>
      </dgm:spPr>
      <dgm:t>
        <a:bodyPr/>
        <a:lstStyle/>
        <a:p>
          <a:r>
            <a:rPr lang="en-US" sz="800">
              <a:solidFill>
                <a:sysClr val="windowText" lastClr="000000"/>
              </a:solidFill>
            </a:rPr>
            <a:t>Project Sponsor does not terminate accused perpetrator</a:t>
          </a:r>
        </a:p>
      </dgm:t>
    </dgm:pt>
    <dgm:pt modelId="{F293B739-3D16-4FCA-8506-F991F636E859}" type="parTrans" cxnId="{42BB06C3-A86B-4C58-B4E3-3071E7E5D88B}">
      <dgm:prSet custT="1"/>
      <dgm:spPr/>
      <dgm:t>
        <a:bodyPr/>
        <a:lstStyle/>
        <a:p>
          <a:endParaRPr lang="en-US" sz="800">
            <a:solidFill>
              <a:sysClr val="windowText" lastClr="000000"/>
            </a:solidFill>
          </a:endParaRPr>
        </a:p>
      </dgm:t>
    </dgm:pt>
    <dgm:pt modelId="{62976E29-88D1-438F-9425-576D4158ABC2}" type="sibTrans" cxnId="{42BB06C3-A86B-4C58-B4E3-3071E7E5D88B}">
      <dgm:prSet/>
      <dgm:spPr/>
      <dgm:t>
        <a:bodyPr/>
        <a:lstStyle/>
        <a:p>
          <a:endParaRPr lang="en-US" sz="800">
            <a:solidFill>
              <a:sysClr val="windowText" lastClr="000000"/>
            </a:solidFill>
          </a:endParaRPr>
        </a:p>
      </dgm:t>
    </dgm:pt>
    <dgm:pt modelId="{B454B912-C55B-4792-AFB3-1724AE311740}">
      <dgm:prSet phldrT="[Text]" custT="1"/>
      <dgm:spPr>
        <a:solidFill>
          <a:schemeClr val="accent6">
            <a:lumMod val="60000"/>
            <a:lumOff val="40000"/>
          </a:schemeClr>
        </a:solidFill>
      </dgm:spPr>
      <dgm:t>
        <a:bodyPr/>
        <a:lstStyle/>
        <a:p>
          <a:r>
            <a:rPr lang="en-US" sz="800">
              <a:solidFill>
                <a:sysClr val="windowText" lastClr="000000"/>
              </a:solidFill>
            </a:rPr>
            <a:t>Recert: Accused perpetrator income, composition</a:t>
          </a:r>
        </a:p>
      </dgm:t>
    </dgm:pt>
    <dgm:pt modelId="{5E286412-2F61-4A14-9221-CD755B5462B3}" type="parTrans" cxnId="{681D94D4-1557-44BA-AFFB-18DDEBFEDDDF}">
      <dgm:prSet custT="1"/>
      <dgm:spPr/>
      <dgm:t>
        <a:bodyPr/>
        <a:lstStyle/>
        <a:p>
          <a:endParaRPr lang="en-US" sz="800">
            <a:solidFill>
              <a:sysClr val="windowText" lastClr="000000"/>
            </a:solidFill>
          </a:endParaRPr>
        </a:p>
      </dgm:t>
    </dgm:pt>
    <dgm:pt modelId="{CB7B6000-C270-4EDD-A4F2-86E6D7D0344C}" type="sibTrans" cxnId="{681D94D4-1557-44BA-AFFB-18DDEBFEDDDF}">
      <dgm:prSet/>
      <dgm:spPr/>
      <dgm:t>
        <a:bodyPr/>
        <a:lstStyle/>
        <a:p>
          <a:endParaRPr lang="en-US" sz="800">
            <a:solidFill>
              <a:sysClr val="windowText" lastClr="000000"/>
            </a:solidFill>
          </a:endParaRPr>
        </a:p>
      </dgm:t>
    </dgm:pt>
    <dgm:pt modelId="{3A8FC3A3-601B-4DC5-BC01-8D68E5DCC428}">
      <dgm:prSet custT="1"/>
      <dgm:spPr>
        <a:solidFill>
          <a:schemeClr val="accent6">
            <a:lumMod val="60000"/>
            <a:lumOff val="40000"/>
          </a:schemeClr>
        </a:solidFill>
      </dgm:spPr>
      <dgm:t>
        <a:bodyPr/>
        <a:lstStyle/>
        <a:p>
          <a:r>
            <a:rPr lang="en-US" sz="800">
              <a:solidFill>
                <a:sysClr val="windowText" lastClr="000000"/>
              </a:solidFill>
            </a:rPr>
            <a:t>Eligible</a:t>
          </a:r>
        </a:p>
      </dgm:t>
    </dgm:pt>
    <dgm:pt modelId="{D4DFC5F1-C442-4735-89A3-4D08F7EDF0DE}" type="parTrans" cxnId="{CED89EAF-05CC-48DE-8F5C-860719612BB4}">
      <dgm:prSet custT="1"/>
      <dgm:spPr/>
      <dgm:t>
        <a:bodyPr/>
        <a:lstStyle/>
        <a:p>
          <a:endParaRPr lang="en-US" sz="800">
            <a:solidFill>
              <a:sysClr val="windowText" lastClr="000000"/>
            </a:solidFill>
          </a:endParaRPr>
        </a:p>
      </dgm:t>
    </dgm:pt>
    <dgm:pt modelId="{E0988D69-A233-46A7-8144-10CAA9F24018}" type="sibTrans" cxnId="{CED89EAF-05CC-48DE-8F5C-860719612BB4}">
      <dgm:prSet/>
      <dgm:spPr/>
      <dgm:t>
        <a:bodyPr/>
        <a:lstStyle/>
        <a:p>
          <a:endParaRPr lang="en-US" sz="800">
            <a:solidFill>
              <a:sysClr val="windowText" lastClr="000000"/>
            </a:solidFill>
          </a:endParaRPr>
        </a:p>
      </dgm:t>
    </dgm:pt>
    <dgm:pt modelId="{EE1A4162-F24A-4818-87C0-0D072532234A}">
      <dgm:prSet custT="1"/>
      <dgm:spPr>
        <a:solidFill>
          <a:schemeClr val="accent6">
            <a:lumMod val="60000"/>
            <a:lumOff val="40000"/>
          </a:schemeClr>
        </a:solidFill>
      </dgm:spPr>
      <dgm:t>
        <a:bodyPr/>
        <a:lstStyle/>
        <a:p>
          <a:r>
            <a:rPr lang="en-US" sz="800">
              <a:solidFill>
                <a:sysClr val="windowText" lastClr="000000"/>
              </a:solidFill>
            </a:rPr>
            <a:t>TBRA or TSH recalculation</a:t>
          </a:r>
        </a:p>
      </dgm:t>
    </dgm:pt>
    <dgm:pt modelId="{F6E38B7D-D604-4244-9623-3F6FE8272B30}" type="parTrans" cxnId="{589D6691-A58C-425E-BFCE-B1053F0FFB27}">
      <dgm:prSet custT="1"/>
      <dgm:spPr/>
      <dgm:t>
        <a:bodyPr/>
        <a:lstStyle/>
        <a:p>
          <a:endParaRPr lang="en-US" sz="800">
            <a:solidFill>
              <a:sysClr val="windowText" lastClr="000000"/>
            </a:solidFill>
          </a:endParaRPr>
        </a:p>
      </dgm:t>
    </dgm:pt>
    <dgm:pt modelId="{E1CFFDE7-9404-424E-B32F-D662DFC73F92}" type="sibTrans" cxnId="{589D6691-A58C-425E-BFCE-B1053F0FFB27}">
      <dgm:prSet/>
      <dgm:spPr/>
      <dgm:t>
        <a:bodyPr/>
        <a:lstStyle/>
        <a:p>
          <a:endParaRPr lang="en-US" sz="800">
            <a:solidFill>
              <a:sysClr val="windowText" lastClr="000000"/>
            </a:solidFill>
          </a:endParaRPr>
        </a:p>
      </dgm:t>
    </dgm:pt>
    <dgm:pt modelId="{4CB2AE48-20C4-42C6-8FC0-F5329AA4CD25}">
      <dgm:prSet custT="1"/>
      <dgm:spPr>
        <a:solidFill>
          <a:schemeClr val="accent6">
            <a:lumMod val="60000"/>
            <a:lumOff val="40000"/>
          </a:schemeClr>
        </a:solidFill>
      </dgm:spPr>
      <dgm:t>
        <a:bodyPr/>
        <a:lstStyle/>
        <a:p>
          <a:r>
            <a:rPr lang="en-US" sz="800">
              <a:solidFill>
                <a:sysClr val="windowText" lastClr="000000"/>
              </a:solidFill>
            </a:rPr>
            <a:t>Ineligible</a:t>
          </a:r>
        </a:p>
      </dgm:t>
    </dgm:pt>
    <dgm:pt modelId="{3247DFE6-DD7F-4076-81FC-150BBA981666}" type="parTrans" cxnId="{6E0B47DA-D7DB-432B-8AA0-84F72ECAE049}">
      <dgm:prSet custT="1"/>
      <dgm:spPr/>
      <dgm:t>
        <a:bodyPr/>
        <a:lstStyle/>
        <a:p>
          <a:endParaRPr lang="en-US" sz="800">
            <a:solidFill>
              <a:sysClr val="windowText" lastClr="000000"/>
            </a:solidFill>
          </a:endParaRPr>
        </a:p>
      </dgm:t>
    </dgm:pt>
    <dgm:pt modelId="{EA103C32-0DAB-43E7-8135-811CF8CDE15D}" type="sibTrans" cxnId="{6E0B47DA-D7DB-432B-8AA0-84F72ECAE049}">
      <dgm:prSet/>
      <dgm:spPr/>
      <dgm:t>
        <a:bodyPr/>
        <a:lstStyle/>
        <a:p>
          <a:endParaRPr lang="en-US" sz="800">
            <a:solidFill>
              <a:sysClr val="windowText" lastClr="000000"/>
            </a:solidFill>
          </a:endParaRPr>
        </a:p>
      </dgm:t>
    </dgm:pt>
    <dgm:pt modelId="{89EA8B19-F077-44F8-8940-CBFAF1365198}">
      <dgm:prSet custT="1"/>
      <dgm:spPr>
        <a:solidFill>
          <a:schemeClr val="accent6">
            <a:lumMod val="60000"/>
            <a:lumOff val="40000"/>
          </a:schemeClr>
        </a:solidFill>
      </dgm:spPr>
      <dgm:t>
        <a:bodyPr/>
        <a:lstStyle/>
        <a:p>
          <a:r>
            <a:rPr lang="en-US" sz="800">
              <a:solidFill>
                <a:sysClr val="windowText" lastClr="000000"/>
              </a:solidFill>
            </a:rPr>
            <a:t>If because no one lives with HIV, unqualified for grace period</a:t>
          </a:r>
        </a:p>
      </dgm:t>
    </dgm:pt>
    <dgm:pt modelId="{BAF946B6-4C57-4D87-B6B8-E45E8A4A37F6}" type="parTrans" cxnId="{A80444DE-8086-403A-9416-7265A02C4475}">
      <dgm:prSet custT="1"/>
      <dgm:spPr/>
      <dgm:t>
        <a:bodyPr/>
        <a:lstStyle/>
        <a:p>
          <a:endParaRPr lang="en-US" sz="800">
            <a:solidFill>
              <a:sysClr val="windowText" lastClr="000000"/>
            </a:solidFill>
          </a:endParaRPr>
        </a:p>
      </dgm:t>
    </dgm:pt>
    <dgm:pt modelId="{8688985E-708F-4160-BE1C-3D37FC356FDE}" type="sibTrans" cxnId="{A80444DE-8086-403A-9416-7265A02C4475}">
      <dgm:prSet/>
      <dgm:spPr/>
      <dgm:t>
        <a:bodyPr/>
        <a:lstStyle/>
        <a:p>
          <a:endParaRPr lang="en-US" sz="800">
            <a:solidFill>
              <a:sysClr val="windowText" lastClr="000000"/>
            </a:solidFill>
          </a:endParaRPr>
        </a:p>
      </dgm:t>
    </dgm:pt>
    <dgm:pt modelId="{D40B372D-2E74-4F61-8CDC-08BF73DF977C}">
      <dgm:prSet custT="1"/>
      <dgm:spPr>
        <a:solidFill>
          <a:schemeClr val="accent6">
            <a:lumMod val="60000"/>
            <a:lumOff val="40000"/>
          </a:schemeClr>
        </a:solidFill>
      </dgm:spPr>
      <dgm:t>
        <a:bodyPr/>
        <a:lstStyle/>
        <a:p>
          <a:r>
            <a:rPr lang="en-US" sz="800">
              <a:solidFill>
                <a:sysClr val="windowText" lastClr="000000"/>
              </a:solidFill>
            </a:rPr>
            <a:t>Survivor Household</a:t>
          </a:r>
        </a:p>
      </dgm:t>
    </dgm:pt>
    <dgm:pt modelId="{DE81D0B0-C25A-438A-9005-659D91D1FD0B}" type="parTrans" cxnId="{F1777186-9C0B-468A-86AF-CA07E2F744B2}">
      <dgm:prSet custT="1"/>
      <dgm:spPr/>
      <dgm:t>
        <a:bodyPr/>
        <a:lstStyle/>
        <a:p>
          <a:endParaRPr lang="en-US" sz="800">
            <a:solidFill>
              <a:sysClr val="windowText" lastClr="000000"/>
            </a:solidFill>
          </a:endParaRPr>
        </a:p>
      </dgm:t>
    </dgm:pt>
    <dgm:pt modelId="{37A7288B-BFCA-4578-9488-D14684A36803}" type="sibTrans" cxnId="{F1777186-9C0B-468A-86AF-CA07E2F744B2}">
      <dgm:prSet/>
      <dgm:spPr/>
      <dgm:t>
        <a:bodyPr/>
        <a:lstStyle/>
        <a:p>
          <a:endParaRPr lang="en-US" sz="800">
            <a:solidFill>
              <a:sysClr val="windowText" lastClr="000000"/>
            </a:solidFill>
          </a:endParaRPr>
        </a:p>
      </dgm:t>
    </dgm:pt>
    <dgm:pt modelId="{369FF36E-E32E-4813-9413-84BD713D3029}">
      <dgm:prSet custT="1"/>
      <dgm:spPr>
        <a:solidFill>
          <a:schemeClr val="accent6">
            <a:lumMod val="60000"/>
            <a:lumOff val="40000"/>
          </a:schemeClr>
        </a:solidFill>
      </dgm:spPr>
      <dgm:t>
        <a:bodyPr/>
        <a:lstStyle/>
        <a:p>
          <a:r>
            <a:rPr lang="en-US" sz="800">
              <a:solidFill>
                <a:sysClr val="windowText" lastClr="000000"/>
              </a:solidFill>
            </a:rPr>
            <a:t>Qualified</a:t>
          </a:r>
        </a:p>
      </dgm:t>
    </dgm:pt>
    <dgm:pt modelId="{0BDA0D83-F5C6-44DD-B01C-52C7480E2C1A}" type="parTrans" cxnId="{F3EB4053-C31B-4833-BCD6-7F194BE74E79}">
      <dgm:prSet custT="1"/>
      <dgm:spPr/>
      <dgm:t>
        <a:bodyPr/>
        <a:lstStyle/>
        <a:p>
          <a:endParaRPr lang="en-US" sz="800">
            <a:solidFill>
              <a:sysClr val="windowText" lastClr="000000"/>
            </a:solidFill>
          </a:endParaRPr>
        </a:p>
      </dgm:t>
    </dgm:pt>
    <dgm:pt modelId="{1EDEEA7C-B7F5-419E-9902-D1E1D78F59FC}" type="sibTrans" cxnId="{F3EB4053-C31B-4833-BCD6-7F194BE74E79}">
      <dgm:prSet/>
      <dgm:spPr/>
      <dgm:t>
        <a:bodyPr/>
        <a:lstStyle/>
        <a:p>
          <a:endParaRPr lang="en-US" sz="800">
            <a:solidFill>
              <a:sysClr val="windowText" lastClr="000000"/>
            </a:solidFill>
          </a:endParaRPr>
        </a:p>
      </dgm:t>
    </dgm:pt>
    <dgm:pt modelId="{251C7A9F-518E-415C-9A64-99221ED5D585}">
      <dgm:prSet custT="1"/>
      <dgm:spPr>
        <a:solidFill>
          <a:schemeClr val="accent6">
            <a:lumMod val="60000"/>
            <a:lumOff val="40000"/>
          </a:schemeClr>
        </a:solidFill>
      </dgm:spPr>
      <dgm:t>
        <a:bodyPr/>
        <a:lstStyle/>
        <a:p>
          <a:r>
            <a:rPr lang="en-US" sz="800">
              <a:solidFill>
                <a:sysClr val="windowText" lastClr="000000"/>
              </a:solidFill>
            </a:rPr>
            <a:t>See emergency transfer</a:t>
          </a:r>
        </a:p>
      </dgm:t>
    </dgm:pt>
    <dgm:pt modelId="{FA317454-8966-4A39-ABE1-067B33BF42FA}" type="parTrans" cxnId="{3A6E36B0-3FD2-475F-A9FC-CA66E7B1FBC6}">
      <dgm:prSet custT="1"/>
      <dgm:spPr/>
      <dgm:t>
        <a:bodyPr/>
        <a:lstStyle/>
        <a:p>
          <a:endParaRPr lang="en-US" sz="800">
            <a:solidFill>
              <a:sysClr val="windowText" lastClr="000000"/>
            </a:solidFill>
          </a:endParaRPr>
        </a:p>
      </dgm:t>
    </dgm:pt>
    <dgm:pt modelId="{84103801-E4C0-4048-BE01-8D56E32C98C8}" type="sibTrans" cxnId="{3A6E36B0-3FD2-475F-A9FC-CA66E7B1FBC6}">
      <dgm:prSet/>
      <dgm:spPr/>
      <dgm:t>
        <a:bodyPr/>
        <a:lstStyle/>
        <a:p>
          <a:endParaRPr lang="en-US" sz="800">
            <a:solidFill>
              <a:sysClr val="windowText" lastClr="000000"/>
            </a:solidFill>
          </a:endParaRPr>
        </a:p>
      </dgm:t>
    </dgm:pt>
    <dgm:pt modelId="{80AB7C5E-119A-4D7F-8531-3D2E2EEF2634}">
      <dgm:prSet custT="1"/>
      <dgm:spPr>
        <a:solidFill>
          <a:schemeClr val="accent6">
            <a:lumMod val="60000"/>
            <a:lumOff val="40000"/>
          </a:schemeClr>
        </a:solidFill>
      </dgm:spPr>
      <dgm:t>
        <a:bodyPr/>
        <a:lstStyle/>
        <a:p>
          <a:r>
            <a:rPr lang="en-US" sz="800">
              <a:solidFill>
                <a:sysClr val="windowText" lastClr="000000"/>
              </a:solidFill>
            </a:rPr>
            <a:t>Unqualified</a:t>
          </a:r>
        </a:p>
      </dgm:t>
    </dgm:pt>
    <dgm:pt modelId="{BFF3EE6A-B41D-42A3-8A21-4887FD388FBE}" type="parTrans" cxnId="{385E815F-9D12-4FD2-98BE-2F79EEC127E3}">
      <dgm:prSet custT="1"/>
      <dgm:spPr/>
      <dgm:t>
        <a:bodyPr/>
        <a:lstStyle/>
        <a:p>
          <a:endParaRPr lang="en-US" sz="800">
            <a:solidFill>
              <a:sysClr val="windowText" lastClr="000000"/>
            </a:solidFill>
          </a:endParaRPr>
        </a:p>
      </dgm:t>
    </dgm:pt>
    <dgm:pt modelId="{0516D6C0-DA2F-4334-A1E3-BA3B49068525}" type="sibTrans" cxnId="{385E815F-9D12-4FD2-98BE-2F79EEC127E3}">
      <dgm:prSet/>
      <dgm:spPr/>
      <dgm:t>
        <a:bodyPr/>
        <a:lstStyle/>
        <a:p>
          <a:endParaRPr lang="en-US" sz="800">
            <a:solidFill>
              <a:sysClr val="windowText" lastClr="000000"/>
            </a:solidFill>
          </a:endParaRPr>
        </a:p>
      </dgm:t>
    </dgm:pt>
    <dgm:pt modelId="{635F8FFC-3206-41CA-9942-F53708A1A04A}">
      <dgm:prSet custT="1"/>
      <dgm:spPr>
        <a:solidFill>
          <a:schemeClr val="accent6">
            <a:lumMod val="60000"/>
            <a:lumOff val="40000"/>
          </a:schemeClr>
        </a:solidFill>
      </dgm:spPr>
      <dgm:t>
        <a:bodyPr/>
        <a:lstStyle/>
        <a:p>
          <a:r>
            <a:rPr lang="en-US" sz="800">
              <a:solidFill>
                <a:sysClr val="windowText" lastClr="000000"/>
              </a:solidFill>
            </a:rPr>
            <a:t>Recert: Survivor income, composition</a:t>
          </a:r>
        </a:p>
      </dgm:t>
    </dgm:pt>
    <dgm:pt modelId="{4FB8797C-9715-4EDF-ADD4-5D41A643A4F3}" type="parTrans" cxnId="{57332867-D5AA-458B-9423-81E4474D8C56}">
      <dgm:prSet custT="1"/>
      <dgm:spPr/>
      <dgm:t>
        <a:bodyPr/>
        <a:lstStyle/>
        <a:p>
          <a:endParaRPr lang="en-US" sz="800">
            <a:solidFill>
              <a:sysClr val="windowText" lastClr="000000"/>
            </a:solidFill>
          </a:endParaRPr>
        </a:p>
      </dgm:t>
    </dgm:pt>
    <dgm:pt modelId="{5DC62963-D1A9-46C6-B00B-E475E2DE96E6}" type="sibTrans" cxnId="{57332867-D5AA-458B-9423-81E4474D8C56}">
      <dgm:prSet/>
      <dgm:spPr/>
      <dgm:t>
        <a:bodyPr/>
        <a:lstStyle/>
        <a:p>
          <a:endParaRPr lang="en-US" sz="800">
            <a:solidFill>
              <a:sysClr val="windowText" lastClr="000000"/>
            </a:solidFill>
          </a:endParaRPr>
        </a:p>
      </dgm:t>
    </dgm:pt>
    <dgm:pt modelId="{5E634DF5-7FA0-450A-9A32-65C6784F31B3}">
      <dgm:prSet custT="1"/>
      <dgm:spPr>
        <a:solidFill>
          <a:schemeClr val="accent6">
            <a:lumMod val="60000"/>
            <a:lumOff val="40000"/>
          </a:schemeClr>
        </a:solidFill>
      </dgm:spPr>
      <dgm:t>
        <a:bodyPr/>
        <a:lstStyle/>
        <a:p>
          <a:r>
            <a:rPr lang="en-US" sz="800">
              <a:solidFill>
                <a:sysClr val="windowText" lastClr="000000"/>
              </a:solidFill>
            </a:rPr>
            <a:t>Eligible</a:t>
          </a:r>
        </a:p>
      </dgm:t>
    </dgm:pt>
    <dgm:pt modelId="{316D770B-B446-44A3-B369-626D90EDA3C3}" type="parTrans" cxnId="{792FE4F0-C261-4910-BFCD-5B2451047A7D}">
      <dgm:prSet custT="1"/>
      <dgm:spPr/>
      <dgm:t>
        <a:bodyPr/>
        <a:lstStyle/>
        <a:p>
          <a:endParaRPr lang="en-US" sz="800">
            <a:solidFill>
              <a:sysClr val="windowText" lastClr="000000"/>
            </a:solidFill>
          </a:endParaRPr>
        </a:p>
      </dgm:t>
    </dgm:pt>
    <dgm:pt modelId="{B397AC2E-4E68-4D3F-AE11-C59853471ADA}" type="sibTrans" cxnId="{792FE4F0-C261-4910-BFCD-5B2451047A7D}">
      <dgm:prSet/>
      <dgm:spPr/>
      <dgm:t>
        <a:bodyPr/>
        <a:lstStyle/>
        <a:p>
          <a:endParaRPr lang="en-US" sz="800">
            <a:solidFill>
              <a:sysClr val="windowText" lastClr="000000"/>
            </a:solidFill>
          </a:endParaRPr>
        </a:p>
      </dgm:t>
    </dgm:pt>
    <dgm:pt modelId="{B6D94716-102C-4C3B-9B88-D9F19A060348}">
      <dgm:prSet custT="1"/>
      <dgm:spPr>
        <a:solidFill>
          <a:schemeClr val="accent6">
            <a:lumMod val="60000"/>
            <a:lumOff val="40000"/>
          </a:schemeClr>
        </a:solidFill>
      </dgm:spPr>
      <dgm:t>
        <a:bodyPr/>
        <a:lstStyle/>
        <a:p>
          <a:r>
            <a:rPr lang="en-US" sz="800">
              <a:solidFill>
                <a:sysClr val="windowText" lastClr="000000"/>
              </a:solidFill>
            </a:rPr>
            <a:t>TBRA or TSH recalculation</a:t>
          </a:r>
        </a:p>
      </dgm:t>
    </dgm:pt>
    <dgm:pt modelId="{8ED51032-EC17-444C-BFA4-50C0BFD620EC}" type="parTrans" cxnId="{5A7D94A6-6BCE-4B40-926F-311DBD36E3F4}">
      <dgm:prSet custT="1"/>
      <dgm:spPr/>
      <dgm:t>
        <a:bodyPr/>
        <a:lstStyle/>
        <a:p>
          <a:endParaRPr lang="en-US" sz="800">
            <a:solidFill>
              <a:sysClr val="windowText" lastClr="000000"/>
            </a:solidFill>
          </a:endParaRPr>
        </a:p>
      </dgm:t>
    </dgm:pt>
    <dgm:pt modelId="{772E9ADC-7BA3-44DB-BC53-041AD681D9B6}" type="sibTrans" cxnId="{5A7D94A6-6BCE-4B40-926F-311DBD36E3F4}">
      <dgm:prSet/>
      <dgm:spPr/>
      <dgm:t>
        <a:bodyPr/>
        <a:lstStyle/>
        <a:p>
          <a:endParaRPr lang="en-US" sz="800">
            <a:solidFill>
              <a:sysClr val="windowText" lastClr="000000"/>
            </a:solidFill>
          </a:endParaRPr>
        </a:p>
      </dgm:t>
    </dgm:pt>
    <dgm:pt modelId="{6372AFFD-304C-4AF9-82D8-A78B05B0C67D}">
      <dgm:prSet custT="1"/>
      <dgm:spPr>
        <a:solidFill>
          <a:schemeClr val="accent6">
            <a:lumMod val="60000"/>
            <a:lumOff val="40000"/>
          </a:schemeClr>
        </a:solidFill>
      </dgm:spPr>
      <dgm:t>
        <a:bodyPr/>
        <a:lstStyle/>
        <a:p>
          <a:r>
            <a:rPr lang="en-US" sz="800">
              <a:solidFill>
                <a:sysClr val="windowText" lastClr="000000"/>
              </a:solidFill>
            </a:rPr>
            <a:t>Ineligible</a:t>
          </a:r>
        </a:p>
      </dgm:t>
    </dgm:pt>
    <dgm:pt modelId="{03224D0E-9765-4ACC-8762-456DDC5EBC57}" type="parTrans" cxnId="{69C4D04C-2DBD-4313-9BF4-FF4D1579225D}">
      <dgm:prSet custT="1"/>
      <dgm:spPr/>
      <dgm:t>
        <a:bodyPr/>
        <a:lstStyle/>
        <a:p>
          <a:endParaRPr lang="en-US" sz="800">
            <a:solidFill>
              <a:sysClr val="windowText" lastClr="000000"/>
            </a:solidFill>
          </a:endParaRPr>
        </a:p>
      </dgm:t>
    </dgm:pt>
    <dgm:pt modelId="{A19418EB-C423-4602-A223-E6064C0F90B3}" type="sibTrans" cxnId="{69C4D04C-2DBD-4313-9BF4-FF4D1579225D}">
      <dgm:prSet/>
      <dgm:spPr/>
      <dgm:t>
        <a:bodyPr/>
        <a:lstStyle/>
        <a:p>
          <a:endParaRPr lang="en-US" sz="800">
            <a:solidFill>
              <a:sysClr val="windowText" lastClr="000000"/>
            </a:solidFill>
          </a:endParaRPr>
        </a:p>
      </dgm:t>
    </dgm:pt>
    <dgm:pt modelId="{49870E61-3A83-48F5-8EAC-01846909DAF1}">
      <dgm:prSet custT="1"/>
      <dgm:spPr>
        <a:solidFill>
          <a:schemeClr val="accent6">
            <a:lumMod val="60000"/>
            <a:lumOff val="40000"/>
          </a:schemeClr>
        </a:solidFill>
      </dgm:spPr>
      <dgm:t>
        <a:bodyPr/>
        <a:lstStyle/>
        <a:p>
          <a:r>
            <a:rPr lang="en-US" sz="800">
              <a:solidFill>
                <a:sysClr val="windowText" lastClr="000000"/>
              </a:solidFill>
            </a:rPr>
            <a:t>If because no one lives with HIV, qualified for grace period</a:t>
          </a:r>
        </a:p>
      </dgm:t>
    </dgm:pt>
    <dgm:pt modelId="{C66A3338-FFE2-404B-8814-72A91F4C1C91}" type="parTrans" cxnId="{D60CCD51-CCF1-4643-88B6-603C0D6DE3F5}">
      <dgm:prSet custT="1"/>
      <dgm:spPr/>
      <dgm:t>
        <a:bodyPr/>
        <a:lstStyle/>
        <a:p>
          <a:endParaRPr lang="en-US" sz="800">
            <a:solidFill>
              <a:sysClr val="windowText" lastClr="000000"/>
            </a:solidFill>
          </a:endParaRPr>
        </a:p>
      </dgm:t>
    </dgm:pt>
    <dgm:pt modelId="{EDA5E340-1F28-46ED-9965-A2227227FAC5}" type="sibTrans" cxnId="{D60CCD51-CCF1-4643-88B6-603C0D6DE3F5}">
      <dgm:prSet/>
      <dgm:spPr/>
      <dgm:t>
        <a:bodyPr/>
        <a:lstStyle/>
        <a:p>
          <a:endParaRPr lang="en-US" sz="800">
            <a:solidFill>
              <a:sysClr val="windowText" lastClr="000000"/>
            </a:solidFill>
          </a:endParaRPr>
        </a:p>
      </dgm:t>
    </dgm:pt>
    <dgm:pt modelId="{D944B77A-E700-48AB-BA6A-F8585EFE9860}">
      <dgm:prSet custT="1"/>
      <dgm:spPr>
        <a:solidFill>
          <a:schemeClr val="accent6">
            <a:lumMod val="60000"/>
            <a:lumOff val="40000"/>
          </a:schemeClr>
        </a:solidFill>
      </dgm:spPr>
      <dgm:t>
        <a:bodyPr/>
        <a:lstStyle/>
        <a:p>
          <a:r>
            <a:rPr lang="en-US" sz="800">
              <a:solidFill>
                <a:sysClr val="windowText" lastClr="000000"/>
              </a:solidFill>
            </a:rPr>
            <a:t>Household does not request emergency transfer</a:t>
          </a:r>
        </a:p>
      </dgm:t>
    </dgm:pt>
    <dgm:pt modelId="{1EB12E60-7587-4445-9A16-F5F15BF50B1D}" type="parTrans" cxnId="{1E2A7359-E249-4337-BA1A-9F7349A011FD}">
      <dgm:prSet custT="1"/>
      <dgm:spPr/>
      <dgm:t>
        <a:bodyPr/>
        <a:lstStyle/>
        <a:p>
          <a:endParaRPr lang="en-US" sz="800">
            <a:solidFill>
              <a:sysClr val="windowText" lastClr="000000"/>
            </a:solidFill>
          </a:endParaRPr>
        </a:p>
      </dgm:t>
    </dgm:pt>
    <dgm:pt modelId="{3113239D-2314-4A9A-AA68-72F3BE5B9BF2}" type="sibTrans" cxnId="{1E2A7359-E249-4337-BA1A-9F7349A011FD}">
      <dgm:prSet/>
      <dgm:spPr/>
      <dgm:t>
        <a:bodyPr/>
        <a:lstStyle/>
        <a:p>
          <a:endParaRPr lang="en-US" sz="800">
            <a:solidFill>
              <a:sysClr val="windowText" lastClr="000000"/>
            </a:solidFill>
          </a:endParaRPr>
        </a:p>
      </dgm:t>
    </dgm:pt>
    <dgm:pt modelId="{B2BD0430-797B-4C71-B60E-F34693239D47}">
      <dgm:prSet custT="1"/>
      <dgm:spPr>
        <a:solidFill>
          <a:schemeClr val="accent6">
            <a:lumMod val="60000"/>
            <a:lumOff val="40000"/>
          </a:schemeClr>
        </a:solidFill>
      </dgm:spPr>
      <dgm:t>
        <a:bodyPr/>
        <a:lstStyle/>
        <a:p>
          <a:r>
            <a:rPr lang="en-US" sz="800">
              <a:solidFill>
                <a:sysClr val="windowText" lastClr="000000"/>
              </a:solidFill>
            </a:rPr>
            <a:t>Recert: Survivor income, composition</a:t>
          </a:r>
        </a:p>
      </dgm:t>
    </dgm:pt>
    <dgm:pt modelId="{4C956225-C6F0-4629-B31F-8704418E9EF5}" type="parTrans" cxnId="{2C138AD8-C4E2-4DD4-BF5F-F447C88505FD}">
      <dgm:prSet custT="1"/>
      <dgm:spPr/>
      <dgm:t>
        <a:bodyPr/>
        <a:lstStyle/>
        <a:p>
          <a:endParaRPr lang="en-US" sz="800">
            <a:solidFill>
              <a:sysClr val="windowText" lastClr="000000"/>
            </a:solidFill>
          </a:endParaRPr>
        </a:p>
      </dgm:t>
    </dgm:pt>
    <dgm:pt modelId="{640AB4C1-E0DC-486F-B2EA-FAF0AFBB5FB4}" type="sibTrans" cxnId="{2C138AD8-C4E2-4DD4-BF5F-F447C88505FD}">
      <dgm:prSet/>
      <dgm:spPr/>
      <dgm:t>
        <a:bodyPr/>
        <a:lstStyle/>
        <a:p>
          <a:endParaRPr lang="en-US" sz="800">
            <a:solidFill>
              <a:sysClr val="windowText" lastClr="000000"/>
            </a:solidFill>
          </a:endParaRPr>
        </a:p>
      </dgm:t>
    </dgm:pt>
    <dgm:pt modelId="{0F8BDC03-898D-4853-9885-57C5AE78B0D7}">
      <dgm:prSet custT="1"/>
      <dgm:spPr>
        <a:solidFill>
          <a:schemeClr val="accent6">
            <a:lumMod val="60000"/>
            <a:lumOff val="40000"/>
          </a:schemeClr>
        </a:solidFill>
      </dgm:spPr>
      <dgm:t>
        <a:bodyPr/>
        <a:lstStyle/>
        <a:p>
          <a:r>
            <a:rPr lang="en-US" sz="800">
              <a:solidFill>
                <a:sysClr val="windowText" lastClr="000000"/>
              </a:solidFill>
            </a:rPr>
            <a:t>Eligible</a:t>
          </a:r>
        </a:p>
      </dgm:t>
    </dgm:pt>
    <dgm:pt modelId="{9B0CE611-550E-442F-A1B7-A21417DBE3ED}" type="parTrans" cxnId="{4BD80E68-1390-48B3-AF2A-CC0816FE8BED}">
      <dgm:prSet custT="1"/>
      <dgm:spPr/>
      <dgm:t>
        <a:bodyPr/>
        <a:lstStyle/>
        <a:p>
          <a:endParaRPr lang="en-US" sz="800">
            <a:solidFill>
              <a:sysClr val="windowText" lastClr="000000"/>
            </a:solidFill>
          </a:endParaRPr>
        </a:p>
      </dgm:t>
    </dgm:pt>
    <dgm:pt modelId="{A9886B16-3CB4-4A8D-93E2-A42E50403FB0}" type="sibTrans" cxnId="{4BD80E68-1390-48B3-AF2A-CC0816FE8BED}">
      <dgm:prSet/>
      <dgm:spPr/>
      <dgm:t>
        <a:bodyPr/>
        <a:lstStyle/>
        <a:p>
          <a:endParaRPr lang="en-US" sz="800">
            <a:solidFill>
              <a:sysClr val="windowText" lastClr="000000"/>
            </a:solidFill>
          </a:endParaRPr>
        </a:p>
      </dgm:t>
    </dgm:pt>
    <dgm:pt modelId="{AA8F48B2-BA49-483D-9F71-88386136173F}">
      <dgm:prSet custT="1"/>
      <dgm:spPr>
        <a:solidFill>
          <a:schemeClr val="accent6">
            <a:lumMod val="60000"/>
            <a:lumOff val="40000"/>
          </a:schemeClr>
        </a:solidFill>
      </dgm:spPr>
      <dgm:t>
        <a:bodyPr/>
        <a:lstStyle/>
        <a:p>
          <a:r>
            <a:rPr lang="en-US" sz="800">
              <a:solidFill>
                <a:sysClr val="windowText" lastClr="000000"/>
              </a:solidFill>
            </a:rPr>
            <a:t>TBRA or TSH recalculation</a:t>
          </a:r>
        </a:p>
      </dgm:t>
    </dgm:pt>
    <dgm:pt modelId="{5FEF30DC-52BB-4100-BDC1-1E65C0A1E455}" type="parTrans" cxnId="{5E742442-0F58-47A0-A1B1-5ED877E412A7}">
      <dgm:prSet custT="1"/>
      <dgm:spPr/>
      <dgm:t>
        <a:bodyPr/>
        <a:lstStyle/>
        <a:p>
          <a:endParaRPr lang="en-US" sz="800">
            <a:solidFill>
              <a:sysClr val="windowText" lastClr="000000"/>
            </a:solidFill>
          </a:endParaRPr>
        </a:p>
      </dgm:t>
    </dgm:pt>
    <dgm:pt modelId="{D39ADB0F-4D46-4B3A-A6EB-5D2A646DBEF5}" type="sibTrans" cxnId="{5E742442-0F58-47A0-A1B1-5ED877E412A7}">
      <dgm:prSet/>
      <dgm:spPr/>
      <dgm:t>
        <a:bodyPr/>
        <a:lstStyle/>
        <a:p>
          <a:endParaRPr lang="en-US" sz="800">
            <a:solidFill>
              <a:sysClr val="windowText" lastClr="000000"/>
            </a:solidFill>
          </a:endParaRPr>
        </a:p>
      </dgm:t>
    </dgm:pt>
    <dgm:pt modelId="{4B99ACDB-45E4-45C8-9BF0-519551F1AE41}">
      <dgm:prSet custT="1"/>
      <dgm:spPr>
        <a:solidFill>
          <a:schemeClr val="accent6">
            <a:lumMod val="60000"/>
            <a:lumOff val="40000"/>
          </a:schemeClr>
        </a:solidFill>
      </dgm:spPr>
      <dgm:t>
        <a:bodyPr/>
        <a:lstStyle/>
        <a:p>
          <a:r>
            <a:rPr lang="en-US" sz="800">
              <a:solidFill>
                <a:sysClr val="windowText" lastClr="000000"/>
              </a:solidFill>
            </a:rPr>
            <a:t>Ineligible</a:t>
          </a:r>
        </a:p>
      </dgm:t>
    </dgm:pt>
    <dgm:pt modelId="{B94774D8-50F5-4A1D-822B-102410C5B3D4}" type="parTrans" cxnId="{5F97EB70-9029-4146-AC15-08B39AF73F90}">
      <dgm:prSet custT="1"/>
      <dgm:spPr/>
      <dgm:t>
        <a:bodyPr/>
        <a:lstStyle/>
        <a:p>
          <a:endParaRPr lang="en-US" sz="800">
            <a:solidFill>
              <a:sysClr val="windowText" lastClr="000000"/>
            </a:solidFill>
          </a:endParaRPr>
        </a:p>
      </dgm:t>
    </dgm:pt>
    <dgm:pt modelId="{63D386C3-E625-4279-9FE3-03DC77DF7554}" type="sibTrans" cxnId="{5F97EB70-9029-4146-AC15-08B39AF73F90}">
      <dgm:prSet/>
      <dgm:spPr/>
      <dgm:t>
        <a:bodyPr/>
        <a:lstStyle/>
        <a:p>
          <a:endParaRPr lang="en-US" sz="800">
            <a:solidFill>
              <a:sysClr val="windowText" lastClr="000000"/>
            </a:solidFill>
          </a:endParaRPr>
        </a:p>
      </dgm:t>
    </dgm:pt>
    <dgm:pt modelId="{C70B04F4-F14D-4D39-9CAB-E34473A115A0}">
      <dgm:prSet custT="1"/>
      <dgm:spPr>
        <a:solidFill>
          <a:schemeClr val="accent6">
            <a:lumMod val="60000"/>
            <a:lumOff val="40000"/>
          </a:schemeClr>
        </a:solidFill>
      </dgm:spPr>
      <dgm:t>
        <a:bodyPr/>
        <a:lstStyle/>
        <a:p>
          <a:r>
            <a:rPr lang="en-US" sz="800">
              <a:solidFill>
                <a:sysClr val="windowText" lastClr="000000"/>
              </a:solidFill>
            </a:rPr>
            <a:t>If because no one lives with HIV, qualified for grace period</a:t>
          </a:r>
        </a:p>
      </dgm:t>
    </dgm:pt>
    <dgm:pt modelId="{FBA810AF-C208-40B6-A2C4-82842D86BD61}" type="parTrans" cxnId="{9AC7D8EF-D43C-41EB-9F59-342D0FC1E72D}">
      <dgm:prSet custT="1"/>
      <dgm:spPr/>
      <dgm:t>
        <a:bodyPr/>
        <a:lstStyle/>
        <a:p>
          <a:endParaRPr lang="en-US" sz="800">
            <a:solidFill>
              <a:sysClr val="windowText" lastClr="000000"/>
            </a:solidFill>
          </a:endParaRPr>
        </a:p>
      </dgm:t>
    </dgm:pt>
    <dgm:pt modelId="{B86B0EB6-4089-49E8-9C43-08302C29D36E}" type="sibTrans" cxnId="{9AC7D8EF-D43C-41EB-9F59-342D0FC1E72D}">
      <dgm:prSet/>
      <dgm:spPr/>
      <dgm:t>
        <a:bodyPr/>
        <a:lstStyle/>
        <a:p>
          <a:endParaRPr lang="en-US" sz="800">
            <a:solidFill>
              <a:sysClr val="windowText" lastClr="000000"/>
            </a:solidFill>
          </a:endParaRPr>
        </a:p>
      </dgm:t>
    </dgm:pt>
    <dgm:pt modelId="{0A6A3C04-F7BE-4AC0-8892-AB2CA721666D}">
      <dgm:prSet custT="1"/>
      <dgm:spPr>
        <a:solidFill>
          <a:schemeClr val="accent6">
            <a:lumMod val="60000"/>
            <a:lumOff val="40000"/>
          </a:schemeClr>
        </a:solidFill>
      </dgm:spPr>
      <dgm:t>
        <a:bodyPr/>
        <a:lstStyle/>
        <a:p>
          <a:r>
            <a:rPr lang="en-US" sz="800">
              <a:solidFill>
                <a:sysClr val="windowText" lastClr="000000"/>
              </a:solidFill>
            </a:rPr>
            <a:t>See lease bifurcation</a:t>
          </a:r>
        </a:p>
      </dgm:t>
    </dgm:pt>
    <dgm:pt modelId="{9E3234AC-D87B-4669-85F7-5BB5A79AF172}">
      <dgm:prSet custT="1"/>
      <dgm:spPr>
        <a:solidFill>
          <a:schemeClr val="accent5">
            <a:lumMod val="40000"/>
            <a:lumOff val="60000"/>
          </a:schemeClr>
        </a:solidFill>
      </dgm:spPr>
      <dgm:t>
        <a:bodyPr/>
        <a:lstStyle/>
        <a:p>
          <a:r>
            <a:rPr lang="en-US" sz="800">
              <a:solidFill>
                <a:sysClr val="windowText" lastClr="000000"/>
              </a:solidFill>
            </a:rPr>
            <a:t>Unqualified</a:t>
          </a:r>
        </a:p>
      </dgm:t>
    </dgm:pt>
    <dgm:pt modelId="{EA0CDAA3-EF68-4F16-A6ED-3C959BF3E09D}" type="sibTrans" cxnId="{410EF1A7-3D75-4820-8CD7-705DCB627B9B}">
      <dgm:prSet/>
      <dgm:spPr/>
      <dgm:t>
        <a:bodyPr/>
        <a:lstStyle/>
        <a:p>
          <a:endParaRPr lang="en-US" sz="800">
            <a:solidFill>
              <a:sysClr val="windowText" lastClr="000000"/>
            </a:solidFill>
          </a:endParaRPr>
        </a:p>
      </dgm:t>
    </dgm:pt>
    <dgm:pt modelId="{59503C2F-984D-4A72-BE25-8F679F50F4E6}" type="parTrans" cxnId="{410EF1A7-3D75-4820-8CD7-705DCB627B9B}">
      <dgm:prSet custT="1"/>
      <dgm:spPr/>
      <dgm:t>
        <a:bodyPr/>
        <a:lstStyle/>
        <a:p>
          <a:endParaRPr lang="en-US" sz="800">
            <a:solidFill>
              <a:sysClr val="windowText" lastClr="000000"/>
            </a:solidFill>
          </a:endParaRPr>
        </a:p>
      </dgm:t>
    </dgm:pt>
    <dgm:pt modelId="{C7CAC2AC-E589-4F8F-89B8-F80EE4F440B8}">
      <dgm:prSet custT="1"/>
      <dgm:spPr>
        <a:solidFill>
          <a:schemeClr val="accent6">
            <a:lumMod val="60000"/>
            <a:lumOff val="40000"/>
          </a:schemeClr>
        </a:solidFill>
      </dgm:spPr>
      <dgm:t>
        <a:bodyPr/>
        <a:lstStyle/>
        <a:p>
          <a:r>
            <a:rPr lang="en-US" sz="800">
              <a:solidFill>
                <a:sysClr val="windowText" lastClr="000000"/>
              </a:solidFill>
            </a:rPr>
            <a:t>If because no one lives with HIV, qualified for grace period</a:t>
          </a:r>
        </a:p>
      </dgm:t>
    </dgm:pt>
    <dgm:pt modelId="{C166959C-7CC3-43F3-932D-F60302FDC9C2}">
      <dgm:prSet custT="1"/>
      <dgm:spPr>
        <a:solidFill>
          <a:schemeClr val="accent6">
            <a:lumMod val="60000"/>
            <a:lumOff val="40000"/>
          </a:schemeClr>
        </a:solidFill>
      </dgm:spPr>
      <dgm:t>
        <a:bodyPr/>
        <a:lstStyle/>
        <a:p>
          <a:r>
            <a:rPr lang="en-US" sz="800">
              <a:solidFill>
                <a:sysClr val="windowText" lastClr="000000"/>
              </a:solidFill>
            </a:rPr>
            <a:t>Ineligible</a:t>
          </a:r>
        </a:p>
      </dgm:t>
    </dgm:pt>
    <dgm:pt modelId="{20D40165-705B-458B-B8B4-277A14029FA7}" type="sibTrans" cxnId="{1AAB5CF3-9FBC-4678-B2F8-15C21750B37E}">
      <dgm:prSet/>
      <dgm:spPr/>
      <dgm:t>
        <a:bodyPr/>
        <a:lstStyle/>
        <a:p>
          <a:endParaRPr lang="en-US" sz="800">
            <a:solidFill>
              <a:sysClr val="windowText" lastClr="000000"/>
            </a:solidFill>
          </a:endParaRPr>
        </a:p>
      </dgm:t>
    </dgm:pt>
    <dgm:pt modelId="{7F55E47F-3B59-43BA-A4EE-C987876BA80E}" type="parTrans" cxnId="{1AAB5CF3-9FBC-4678-B2F8-15C21750B37E}">
      <dgm:prSet custT="1"/>
      <dgm:spPr/>
      <dgm:t>
        <a:bodyPr/>
        <a:lstStyle/>
        <a:p>
          <a:endParaRPr lang="en-US" sz="800">
            <a:solidFill>
              <a:sysClr val="windowText" lastClr="000000"/>
            </a:solidFill>
          </a:endParaRPr>
        </a:p>
      </dgm:t>
    </dgm:pt>
    <dgm:pt modelId="{369E570B-853D-48A1-8083-AD70E7ECCA2A}">
      <dgm:prSet custT="1"/>
      <dgm:spPr>
        <a:solidFill>
          <a:schemeClr val="accent6">
            <a:lumMod val="60000"/>
            <a:lumOff val="40000"/>
          </a:schemeClr>
        </a:solidFill>
      </dgm:spPr>
      <dgm:t>
        <a:bodyPr/>
        <a:lstStyle/>
        <a:p>
          <a:r>
            <a:rPr lang="en-US" sz="800">
              <a:solidFill>
                <a:sysClr val="windowText" lastClr="000000"/>
              </a:solidFill>
            </a:rPr>
            <a:t>Eligible</a:t>
          </a:r>
        </a:p>
      </dgm:t>
    </dgm:pt>
    <dgm:pt modelId="{0F850AF8-1C33-471D-A61F-A701FBC81280}">
      <dgm:prSet custT="1"/>
      <dgm:spPr>
        <a:solidFill>
          <a:schemeClr val="accent6">
            <a:lumMod val="60000"/>
            <a:lumOff val="40000"/>
          </a:schemeClr>
        </a:solidFill>
      </dgm:spPr>
      <dgm:t>
        <a:bodyPr/>
        <a:lstStyle/>
        <a:p>
          <a:r>
            <a:rPr lang="en-US" sz="800">
              <a:solidFill>
                <a:sysClr val="windowText" lastClr="000000"/>
              </a:solidFill>
            </a:rPr>
            <a:t>Recert: Survivor income, residency, composition</a:t>
          </a:r>
        </a:p>
      </dgm:t>
    </dgm:pt>
    <dgm:pt modelId="{93DE1F59-8FDA-4065-B43E-E6A3563E379E}" type="sibTrans" cxnId="{59595413-8444-4064-AF14-309AEF5EF8BD}">
      <dgm:prSet/>
      <dgm:spPr/>
      <dgm:t>
        <a:bodyPr/>
        <a:lstStyle/>
        <a:p>
          <a:endParaRPr lang="en-US" sz="800">
            <a:solidFill>
              <a:sysClr val="windowText" lastClr="000000"/>
            </a:solidFill>
          </a:endParaRPr>
        </a:p>
      </dgm:t>
    </dgm:pt>
    <dgm:pt modelId="{9432E236-2C8F-477E-A018-785C4B6BA5F7}" type="parTrans" cxnId="{59595413-8444-4064-AF14-309AEF5EF8BD}">
      <dgm:prSet custT="1"/>
      <dgm:spPr/>
      <dgm:t>
        <a:bodyPr/>
        <a:lstStyle/>
        <a:p>
          <a:endParaRPr lang="en-US" sz="800">
            <a:solidFill>
              <a:sysClr val="windowText" lastClr="000000"/>
            </a:solidFill>
          </a:endParaRPr>
        </a:p>
      </dgm:t>
    </dgm:pt>
    <dgm:pt modelId="{89EBFD07-9DE9-4FAA-B526-BFAF9906D5E7}" type="sibTrans" cxnId="{205EE465-97A5-435E-BB3B-11F9A02C9E0E}">
      <dgm:prSet/>
      <dgm:spPr/>
      <dgm:t>
        <a:bodyPr/>
        <a:lstStyle/>
        <a:p>
          <a:endParaRPr lang="en-US" sz="800">
            <a:solidFill>
              <a:sysClr val="windowText" lastClr="000000"/>
            </a:solidFill>
          </a:endParaRPr>
        </a:p>
      </dgm:t>
    </dgm:pt>
    <dgm:pt modelId="{6EA682D1-D1FC-4867-8B24-B35EEF5CE6F4}" type="parTrans" cxnId="{205EE465-97A5-435E-BB3B-11F9A02C9E0E}">
      <dgm:prSet custT="1"/>
      <dgm:spPr/>
      <dgm:t>
        <a:bodyPr/>
        <a:lstStyle/>
        <a:p>
          <a:endParaRPr lang="en-US" sz="800">
            <a:solidFill>
              <a:sysClr val="windowText" lastClr="000000"/>
            </a:solidFill>
          </a:endParaRPr>
        </a:p>
      </dgm:t>
    </dgm:pt>
    <dgm:pt modelId="{EC08602A-AD11-4A2E-9B3D-95F5BCF6F1EB}" type="sibTrans" cxnId="{47ADD318-B286-45D0-95C3-A0FFCC439A67}">
      <dgm:prSet/>
      <dgm:spPr/>
      <dgm:t>
        <a:bodyPr/>
        <a:lstStyle/>
        <a:p>
          <a:endParaRPr lang="en-US" sz="800">
            <a:solidFill>
              <a:sysClr val="windowText" lastClr="000000"/>
            </a:solidFill>
          </a:endParaRPr>
        </a:p>
      </dgm:t>
    </dgm:pt>
    <dgm:pt modelId="{153463DF-F67C-4DF7-985E-188339D3464C}" type="parTrans" cxnId="{47ADD318-B286-45D0-95C3-A0FFCC439A67}">
      <dgm:prSet custT="1"/>
      <dgm:spPr/>
      <dgm:t>
        <a:bodyPr/>
        <a:lstStyle/>
        <a:p>
          <a:endParaRPr lang="en-US" sz="800">
            <a:solidFill>
              <a:sysClr val="windowText" lastClr="000000"/>
            </a:solidFill>
          </a:endParaRPr>
        </a:p>
      </dgm:t>
    </dgm:pt>
    <dgm:pt modelId="{7B80C8AF-2855-4BF7-98E3-5BE9896D5446}">
      <dgm:prSet custT="1"/>
      <dgm:spPr>
        <a:solidFill>
          <a:schemeClr val="accent6">
            <a:lumMod val="60000"/>
            <a:lumOff val="40000"/>
          </a:schemeClr>
        </a:solidFill>
      </dgm:spPr>
      <dgm:t>
        <a:bodyPr/>
        <a:lstStyle/>
        <a:p>
          <a:r>
            <a:rPr lang="en-US" sz="800">
              <a:solidFill>
                <a:sysClr val="windowText" lastClr="000000"/>
              </a:solidFill>
            </a:rPr>
            <a:t>Locate unit that meets TBRA or TSH requirements</a:t>
          </a:r>
        </a:p>
      </dgm:t>
    </dgm:pt>
    <dgm:pt modelId="{A50ECC7F-F082-48AD-95BE-7A99DAFA7247}">
      <dgm:prSet custT="1"/>
      <dgm:spPr>
        <a:solidFill>
          <a:schemeClr val="accent6">
            <a:lumMod val="60000"/>
            <a:lumOff val="40000"/>
          </a:schemeClr>
        </a:solidFill>
      </dgm:spPr>
      <dgm:t>
        <a:bodyPr/>
        <a:lstStyle/>
        <a:p>
          <a:r>
            <a:rPr lang="en-US" sz="800">
              <a:solidFill>
                <a:sysClr val="windowText" lastClr="000000"/>
              </a:solidFill>
            </a:rPr>
            <a:t>Survivor Household</a:t>
          </a:r>
        </a:p>
      </dgm:t>
    </dgm:pt>
    <dgm:pt modelId="{173A1D93-B9F7-4EF1-9973-1CA301AD473A}" type="sibTrans" cxnId="{397B49F5-871C-45FD-8377-A8A470285F8E}">
      <dgm:prSet/>
      <dgm:spPr/>
      <dgm:t>
        <a:bodyPr/>
        <a:lstStyle/>
        <a:p>
          <a:endParaRPr lang="en-US" sz="800">
            <a:solidFill>
              <a:sysClr val="windowText" lastClr="000000"/>
            </a:solidFill>
          </a:endParaRPr>
        </a:p>
      </dgm:t>
    </dgm:pt>
    <dgm:pt modelId="{50A524DF-4E2C-4B41-826D-3791FA45D8D6}" type="parTrans" cxnId="{397B49F5-871C-45FD-8377-A8A470285F8E}">
      <dgm:prSet custT="1"/>
      <dgm:spPr/>
      <dgm:t>
        <a:bodyPr/>
        <a:lstStyle/>
        <a:p>
          <a:endParaRPr lang="en-US" sz="800">
            <a:solidFill>
              <a:sysClr val="windowText" lastClr="000000"/>
            </a:solidFill>
          </a:endParaRPr>
        </a:p>
      </dgm:t>
    </dgm:pt>
    <dgm:pt modelId="{5AF2E384-309D-4D95-A2C9-E6F236CC88A2}">
      <dgm:prSet custT="1"/>
      <dgm:spPr>
        <a:solidFill>
          <a:schemeClr val="accent6">
            <a:lumMod val="60000"/>
            <a:lumOff val="40000"/>
          </a:schemeClr>
        </a:solidFill>
      </dgm:spPr>
      <dgm:t>
        <a:bodyPr/>
        <a:lstStyle/>
        <a:p>
          <a:r>
            <a:rPr lang="en-US" sz="800">
              <a:solidFill>
                <a:sysClr val="windowText" lastClr="000000"/>
              </a:solidFill>
            </a:rPr>
            <a:t>If because no one lives with HIV, unqualified for grace period</a:t>
          </a:r>
        </a:p>
      </dgm:t>
    </dgm:pt>
    <dgm:pt modelId="{2268D4E2-3337-4AC4-91E0-0C944C36E5D9}">
      <dgm:prSet custT="1"/>
      <dgm:spPr>
        <a:solidFill>
          <a:schemeClr val="accent6">
            <a:lumMod val="60000"/>
            <a:lumOff val="40000"/>
          </a:schemeClr>
        </a:solidFill>
      </dgm:spPr>
      <dgm:t>
        <a:bodyPr/>
        <a:lstStyle/>
        <a:p>
          <a:r>
            <a:rPr lang="en-US" sz="800">
              <a:solidFill>
                <a:sysClr val="windowText" lastClr="000000"/>
              </a:solidFill>
            </a:rPr>
            <a:t>Ineligible</a:t>
          </a:r>
        </a:p>
      </dgm:t>
    </dgm:pt>
    <dgm:pt modelId="{2F45403C-07C3-416B-856C-84F3398D7513}" type="sibTrans" cxnId="{048B4D3A-1D82-4DBF-9C5A-473859F4D4D8}">
      <dgm:prSet/>
      <dgm:spPr/>
      <dgm:t>
        <a:bodyPr/>
        <a:lstStyle/>
        <a:p>
          <a:endParaRPr lang="en-US" sz="800">
            <a:solidFill>
              <a:sysClr val="windowText" lastClr="000000"/>
            </a:solidFill>
          </a:endParaRPr>
        </a:p>
      </dgm:t>
    </dgm:pt>
    <dgm:pt modelId="{B221B034-B101-4364-A99D-BB621DC3176F}" type="parTrans" cxnId="{048B4D3A-1D82-4DBF-9C5A-473859F4D4D8}">
      <dgm:prSet custT="1"/>
      <dgm:spPr/>
      <dgm:t>
        <a:bodyPr/>
        <a:lstStyle/>
        <a:p>
          <a:endParaRPr lang="en-US" sz="800">
            <a:solidFill>
              <a:sysClr val="windowText" lastClr="000000"/>
            </a:solidFill>
          </a:endParaRPr>
        </a:p>
      </dgm:t>
    </dgm:pt>
    <dgm:pt modelId="{A917E045-B63D-4BAB-B513-81A18BD43B50}">
      <dgm:prSet custT="1"/>
      <dgm:spPr>
        <a:solidFill>
          <a:schemeClr val="accent6">
            <a:lumMod val="60000"/>
            <a:lumOff val="40000"/>
          </a:schemeClr>
        </a:solidFill>
      </dgm:spPr>
      <dgm:t>
        <a:bodyPr/>
        <a:lstStyle/>
        <a:p>
          <a:r>
            <a:rPr lang="en-US" sz="800">
              <a:solidFill>
                <a:sysClr val="windowText" lastClr="000000"/>
              </a:solidFill>
            </a:rPr>
            <a:t>TBRA or TSH recalculation</a:t>
          </a:r>
        </a:p>
      </dgm:t>
    </dgm:pt>
    <dgm:pt modelId="{28F889FA-8962-40D1-BC65-A71444B0AD26}">
      <dgm:prSet custT="1"/>
      <dgm:spPr>
        <a:solidFill>
          <a:schemeClr val="accent6">
            <a:lumMod val="60000"/>
            <a:lumOff val="40000"/>
          </a:schemeClr>
        </a:solidFill>
      </dgm:spPr>
      <dgm:t>
        <a:bodyPr/>
        <a:lstStyle/>
        <a:p>
          <a:r>
            <a:rPr lang="en-US" sz="800">
              <a:solidFill>
                <a:sysClr val="windowText" lastClr="000000"/>
              </a:solidFill>
            </a:rPr>
            <a:t>Eligible</a:t>
          </a:r>
        </a:p>
      </dgm:t>
    </dgm:pt>
    <dgm:pt modelId="{93D451D3-FAA5-4B06-9249-10B2836A4FF3}" type="sibTrans" cxnId="{00D7E8C6-5300-4BAF-A68D-D98827622738}">
      <dgm:prSet/>
      <dgm:spPr/>
      <dgm:t>
        <a:bodyPr/>
        <a:lstStyle/>
        <a:p>
          <a:endParaRPr lang="en-US" sz="800">
            <a:solidFill>
              <a:sysClr val="windowText" lastClr="000000"/>
            </a:solidFill>
          </a:endParaRPr>
        </a:p>
      </dgm:t>
    </dgm:pt>
    <dgm:pt modelId="{769CD5E5-8EF8-4B23-9BF1-DD352F5A9D78}" type="parTrans" cxnId="{00D7E8C6-5300-4BAF-A68D-D98827622738}">
      <dgm:prSet custT="1"/>
      <dgm:spPr/>
      <dgm:t>
        <a:bodyPr/>
        <a:lstStyle/>
        <a:p>
          <a:endParaRPr lang="en-US" sz="800">
            <a:solidFill>
              <a:sysClr val="windowText" lastClr="000000"/>
            </a:solidFill>
          </a:endParaRPr>
        </a:p>
      </dgm:t>
    </dgm:pt>
    <dgm:pt modelId="{CEDCA276-BD4E-40EC-80E8-35C8CB8546CB}">
      <dgm:prSet custT="1"/>
      <dgm:spPr>
        <a:solidFill>
          <a:schemeClr val="accent6">
            <a:lumMod val="60000"/>
            <a:lumOff val="40000"/>
          </a:schemeClr>
        </a:solidFill>
      </dgm:spPr>
      <dgm:t>
        <a:bodyPr/>
        <a:lstStyle/>
        <a:p>
          <a:r>
            <a:rPr lang="en-US" sz="800">
              <a:solidFill>
                <a:sysClr val="windowText" lastClr="000000"/>
              </a:solidFill>
            </a:rPr>
            <a:t>Recert: Accused perpetrator income, composition</a:t>
          </a:r>
        </a:p>
      </dgm:t>
    </dgm:pt>
    <dgm:pt modelId="{CC0BB646-DDDA-41F3-A8B3-7EE5CF2A299A}" type="sibTrans" cxnId="{37E70C8A-FD39-443A-B67E-1CA9DFE5856C}">
      <dgm:prSet/>
      <dgm:spPr/>
      <dgm:t>
        <a:bodyPr/>
        <a:lstStyle/>
        <a:p>
          <a:endParaRPr lang="en-US" sz="800">
            <a:solidFill>
              <a:sysClr val="windowText" lastClr="000000"/>
            </a:solidFill>
          </a:endParaRPr>
        </a:p>
      </dgm:t>
    </dgm:pt>
    <dgm:pt modelId="{241658DD-FEE4-49C9-A97D-8333EA7384A7}" type="parTrans" cxnId="{37E70C8A-FD39-443A-B67E-1CA9DFE5856C}">
      <dgm:prSet custT="1"/>
      <dgm:spPr/>
      <dgm:t>
        <a:bodyPr/>
        <a:lstStyle/>
        <a:p>
          <a:endParaRPr lang="en-US" sz="800">
            <a:solidFill>
              <a:sysClr val="windowText" lastClr="000000"/>
            </a:solidFill>
          </a:endParaRPr>
        </a:p>
      </dgm:t>
    </dgm:pt>
    <dgm:pt modelId="{C9A0FC34-36C6-4DF2-8E0C-F2C102F48F42}" type="sibTrans" cxnId="{3DB8A647-A6E7-4AFF-9833-2C4D34DF9D64}">
      <dgm:prSet/>
      <dgm:spPr/>
      <dgm:t>
        <a:bodyPr/>
        <a:lstStyle/>
        <a:p>
          <a:endParaRPr lang="en-US" sz="800">
            <a:solidFill>
              <a:sysClr val="windowText" lastClr="000000"/>
            </a:solidFill>
          </a:endParaRPr>
        </a:p>
      </dgm:t>
    </dgm:pt>
    <dgm:pt modelId="{440FBDA6-B639-4EDE-BBA1-11B534182D12}" type="parTrans" cxnId="{3DB8A647-A6E7-4AFF-9833-2C4D34DF9D64}">
      <dgm:prSet custT="1"/>
      <dgm:spPr/>
      <dgm:t>
        <a:bodyPr/>
        <a:lstStyle/>
        <a:p>
          <a:endParaRPr lang="en-US" sz="800">
            <a:solidFill>
              <a:sysClr val="windowText" lastClr="000000"/>
            </a:solidFill>
          </a:endParaRPr>
        </a:p>
      </dgm:t>
    </dgm:pt>
    <dgm:pt modelId="{F2D3C520-4C76-46DE-B208-E694BB4F9DCF}">
      <dgm:prSet custT="1"/>
      <dgm:spPr>
        <a:solidFill>
          <a:schemeClr val="accent6">
            <a:lumMod val="60000"/>
            <a:lumOff val="40000"/>
          </a:schemeClr>
        </a:solidFill>
      </dgm:spPr>
      <dgm:t>
        <a:bodyPr/>
        <a:lstStyle/>
        <a:p>
          <a:r>
            <a:rPr lang="en-US" sz="800">
              <a:solidFill>
                <a:sysClr val="windowText" lastClr="000000"/>
              </a:solidFill>
            </a:rPr>
            <a:t>Project Sponsor does not terminate accused perpetrator</a:t>
          </a:r>
        </a:p>
      </dgm:t>
    </dgm:pt>
    <dgm:pt modelId="{10F4A4BA-1C45-453D-BCF6-29C1AE926580}" type="sibTrans" cxnId="{51597E6E-2EF5-446D-8B5C-5D31C677DC4A}">
      <dgm:prSet/>
      <dgm:spPr/>
      <dgm:t>
        <a:bodyPr/>
        <a:lstStyle/>
        <a:p>
          <a:endParaRPr lang="en-US" sz="800">
            <a:solidFill>
              <a:sysClr val="windowText" lastClr="000000"/>
            </a:solidFill>
          </a:endParaRPr>
        </a:p>
      </dgm:t>
    </dgm:pt>
    <dgm:pt modelId="{C2069357-9119-4184-BF12-4CF3FA2B84BB}" type="parTrans" cxnId="{51597E6E-2EF5-446D-8B5C-5D31C677DC4A}">
      <dgm:prSet custT="1"/>
      <dgm:spPr/>
      <dgm:t>
        <a:bodyPr/>
        <a:lstStyle/>
        <a:p>
          <a:endParaRPr lang="en-US" sz="800">
            <a:solidFill>
              <a:sysClr val="windowText" lastClr="000000"/>
            </a:solidFill>
          </a:endParaRPr>
        </a:p>
      </dgm:t>
    </dgm:pt>
    <dgm:pt modelId="{E1E9BEB6-55C9-4032-BF4A-C91401A543A1}">
      <dgm:prSet custT="1"/>
      <dgm:spPr>
        <a:solidFill>
          <a:schemeClr val="accent6">
            <a:lumMod val="60000"/>
            <a:lumOff val="40000"/>
          </a:schemeClr>
        </a:solidFill>
      </dgm:spPr>
      <dgm:t>
        <a:bodyPr/>
        <a:lstStyle/>
        <a:p>
          <a:r>
            <a:rPr lang="en-US" sz="800">
              <a:solidFill>
                <a:sysClr val="windowText" lastClr="000000"/>
              </a:solidFill>
            </a:rPr>
            <a:t>Project Sponsor terminates accused perpetrator</a:t>
          </a:r>
        </a:p>
      </dgm:t>
    </dgm:pt>
    <dgm:pt modelId="{C1729BFA-C073-4F6F-83BF-4EA061BBCC3E}">
      <dgm:prSet custT="1"/>
      <dgm:spPr>
        <a:solidFill>
          <a:schemeClr val="accent6">
            <a:lumMod val="60000"/>
            <a:lumOff val="40000"/>
          </a:schemeClr>
        </a:solidFill>
      </dgm:spPr>
      <dgm:t>
        <a:bodyPr/>
        <a:lstStyle/>
        <a:p>
          <a:r>
            <a:rPr lang="en-US" sz="800">
              <a:solidFill>
                <a:sysClr val="windowText" lastClr="000000"/>
              </a:solidFill>
            </a:rPr>
            <a:t>Accused perpetrator Household</a:t>
          </a:r>
        </a:p>
      </dgm:t>
    </dgm:pt>
    <dgm:pt modelId="{EA6A6988-C888-4ADD-A999-960C2C7C30C5}" type="sibTrans" cxnId="{772B2B43-3331-4D84-8381-7D2A064C0C42}">
      <dgm:prSet/>
      <dgm:spPr/>
      <dgm:t>
        <a:bodyPr/>
        <a:lstStyle/>
        <a:p>
          <a:endParaRPr lang="en-US" sz="800">
            <a:solidFill>
              <a:sysClr val="windowText" lastClr="000000"/>
            </a:solidFill>
          </a:endParaRPr>
        </a:p>
      </dgm:t>
    </dgm:pt>
    <dgm:pt modelId="{8C6DF3F3-5ECD-4897-809A-975B2803388D}" type="parTrans" cxnId="{772B2B43-3331-4D84-8381-7D2A064C0C42}">
      <dgm:prSet custT="1"/>
      <dgm:spPr/>
      <dgm:t>
        <a:bodyPr/>
        <a:lstStyle/>
        <a:p>
          <a:endParaRPr lang="en-US" sz="800">
            <a:solidFill>
              <a:sysClr val="windowText" lastClr="000000"/>
            </a:solidFill>
          </a:endParaRPr>
        </a:p>
      </dgm:t>
    </dgm:pt>
    <dgm:pt modelId="{5CEC3A58-6925-4A3C-A51F-7F5B0E81677E}" type="sibTrans" cxnId="{9176D5C7-9903-434B-B072-950F7FBA9EEB}">
      <dgm:prSet/>
      <dgm:spPr/>
      <dgm:t>
        <a:bodyPr/>
        <a:lstStyle/>
        <a:p>
          <a:endParaRPr lang="en-US" sz="800">
            <a:solidFill>
              <a:sysClr val="windowText" lastClr="000000"/>
            </a:solidFill>
          </a:endParaRPr>
        </a:p>
      </dgm:t>
    </dgm:pt>
    <dgm:pt modelId="{0E650592-BF7A-4C23-B5E8-C5EBFDC56C86}" type="parTrans" cxnId="{9176D5C7-9903-434B-B072-950F7FBA9EEB}">
      <dgm:prSet custT="1"/>
      <dgm:spPr/>
      <dgm:t>
        <a:bodyPr/>
        <a:lstStyle/>
        <a:p>
          <a:endParaRPr lang="en-US" sz="800">
            <a:solidFill>
              <a:sysClr val="windowText" lastClr="000000"/>
            </a:solidFill>
          </a:endParaRPr>
        </a:p>
      </dgm:t>
    </dgm:pt>
    <dgm:pt modelId="{E55BB7B8-BE7F-4E1B-8EE7-336B73A973F4}">
      <dgm:prSet custT="1"/>
      <dgm:spPr>
        <a:solidFill>
          <a:schemeClr val="accent6">
            <a:lumMod val="60000"/>
            <a:lumOff val="40000"/>
          </a:schemeClr>
        </a:solidFill>
      </dgm:spPr>
      <dgm:t>
        <a:bodyPr/>
        <a:lstStyle/>
        <a:p>
          <a:r>
            <a:rPr lang="en-US" sz="800">
              <a:solidFill>
                <a:sysClr val="windowText" lastClr="000000"/>
              </a:solidFill>
            </a:rPr>
            <a:t>Project Sponsor divides household</a:t>
          </a:r>
        </a:p>
      </dgm:t>
    </dgm:pt>
    <dgm:pt modelId="{11D7CE56-FDE2-4A15-959C-AF7DD6719BA1}" type="sibTrans" cxnId="{01D0B4BF-2F21-4B7F-B7D9-739308C99AC8}">
      <dgm:prSet/>
      <dgm:spPr/>
      <dgm:t>
        <a:bodyPr/>
        <a:lstStyle/>
        <a:p>
          <a:endParaRPr lang="en-US" sz="800">
            <a:solidFill>
              <a:sysClr val="windowText" lastClr="000000"/>
            </a:solidFill>
          </a:endParaRPr>
        </a:p>
      </dgm:t>
    </dgm:pt>
    <dgm:pt modelId="{04E71C4E-9225-4496-9789-C05A689A0111}" type="parTrans" cxnId="{01D0B4BF-2F21-4B7F-B7D9-739308C99AC8}">
      <dgm:prSet custT="1"/>
      <dgm:spPr/>
      <dgm:t>
        <a:bodyPr/>
        <a:lstStyle/>
        <a:p>
          <a:endParaRPr lang="en-US" sz="800">
            <a:solidFill>
              <a:sysClr val="windowText" lastClr="000000"/>
            </a:solidFill>
          </a:endParaRPr>
        </a:p>
      </dgm:t>
    </dgm:pt>
    <dgm:pt modelId="{46C6064F-1157-4EF4-B325-C99C8EC375B2}" type="sibTrans" cxnId="{E53374D1-D76D-4AF7-8D2F-2C2B6A2699D0}">
      <dgm:prSet/>
      <dgm:spPr/>
      <dgm:t>
        <a:bodyPr/>
        <a:lstStyle/>
        <a:p>
          <a:endParaRPr lang="en-US" sz="800">
            <a:solidFill>
              <a:sysClr val="windowText" lastClr="000000"/>
            </a:solidFill>
          </a:endParaRPr>
        </a:p>
      </dgm:t>
    </dgm:pt>
    <dgm:pt modelId="{207EE5DA-C725-4C29-B667-E1F151627784}" type="parTrans" cxnId="{E53374D1-D76D-4AF7-8D2F-2C2B6A2699D0}">
      <dgm:prSet custT="1"/>
      <dgm:spPr/>
      <dgm:t>
        <a:bodyPr/>
        <a:lstStyle/>
        <a:p>
          <a:endParaRPr lang="en-US" sz="800">
            <a:solidFill>
              <a:sysClr val="windowText" lastClr="000000"/>
            </a:solidFill>
          </a:endParaRPr>
        </a:p>
      </dgm:t>
    </dgm:pt>
    <dgm:pt modelId="{0C6F5C03-AE29-4B7A-AD44-2D21990BF01F}">
      <dgm:prSet custT="1"/>
      <dgm:spPr>
        <a:solidFill>
          <a:schemeClr val="accent5">
            <a:lumMod val="40000"/>
            <a:lumOff val="60000"/>
          </a:schemeClr>
        </a:solidFill>
      </dgm:spPr>
      <dgm:t>
        <a:bodyPr/>
        <a:lstStyle/>
        <a:p>
          <a:r>
            <a:rPr lang="en-US" sz="800">
              <a:solidFill>
                <a:sysClr val="windowText" lastClr="000000"/>
              </a:solidFill>
            </a:rPr>
            <a:t>Qualified</a:t>
          </a:r>
        </a:p>
      </dgm:t>
    </dgm:pt>
    <dgm:pt modelId="{1DC5A89B-4217-444A-A178-2ACD28A335CE}" type="sibTrans" cxnId="{9649F1F0-8B97-4BDB-B876-D022724ACDAD}">
      <dgm:prSet/>
      <dgm:spPr/>
      <dgm:t>
        <a:bodyPr/>
        <a:lstStyle/>
        <a:p>
          <a:endParaRPr lang="en-US" sz="800">
            <a:solidFill>
              <a:sysClr val="windowText" lastClr="000000"/>
            </a:solidFill>
          </a:endParaRPr>
        </a:p>
      </dgm:t>
    </dgm:pt>
    <dgm:pt modelId="{0B5B8A49-2F73-4DEE-9555-79FA2C9F8F9D}" type="parTrans" cxnId="{9649F1F0-8B97-4BDB-B876-D022724ACDAD}">
      <dgm:prSet custT="1"/>
      <dgm:spPr/>
      <dgm:t>
        <a:bodyPr/>
        <a:lstStyle/>
        <a:p>
          <a:endParaRPr lang="en-US" sz="800">
            <a:solidFill>
              <a:sysClr val="windowText" lastClr="000000"/>
            </a:solidFill>
          </a:endParaRPr>
        </a:p>
      </dgm:t>
    </dgm:pt>
    <dgm:pt modelId="{3384259D-DD74-47A0-84EB-8CFB83B1EF2D}">
      <dgm:prSet custT="1"/>
      <dgm:spPr>
        <a:solidFill>
          <a:schemeClr val="accent4">
            <a:lumMod val="60000"/>
            <a:lumOff val="40000"/>
          </a:schemeClr>
        </a:solidFill>
      </dgm:spPr>
      <dgm:t>
        <a:bodyPr/>
        <a:lstStyle/>
        <a:p>
          <a:r>
            <a:rPr lang="en-US" sz="800">
              <a:solidFill>
                <a:sysClr val="windowText" lastClr="000000"/>
              </a:solidFill>
            </a:rPr>
            <a:t>Survivor submits request</a:t>
          </a:r>
        </a:p>
      </dgm:t>
    </dgm:pt>
    <dgm:pt modelId="{E56B9213-C368-45F0-98FA-7B563638E80C}" type="sibTrans" cxnId="{93164781-84AA-4571-9512-BF90D01B2AA3}">
      <dgm:prSet/>
      <dgm:spPr/>
      <dgm:t>
        <a:bodyPr/>
        <a:lstStyle/>
        <a:p>
          <a:endParaRPr lang="en-US" sz="800">
            <a:solidFill>
              <a:sysClr val="windowText" lastClr="000000"/>
            </a:solidFill>
          </a:endParaRPr>
        </a:p>
      </dgm:t>
    </dgm:pt>
    <dgm:pt modelId="{17C76AB3-4369-429E-B042-35AE5979AFB4}" type="parTrans" cxnId="{93164781-84AA-4571-9512-BF90D01B2AA3}">
      <dgm:prSet custT="1"/>
      <dgm:spPr/>
      <dgm:t>
        <a:bodyPr/>
        <a:lstStyle/>
        <a:p>
          <a:endParaRPr lang="en-US" sz="800">
            <a:solidFill>
              <a:sysClr val="windowText" lastClr="000000"/>
            </a:solidFill>
          </a:endParaRPr>
        </a:p>
      </dgm:t>
    </dgm:pt>
    <dgm:pt modelId="{43A94474-0613-4EAB-83D1-F8D748EC67A8}" type="sibTrans" cxnId="{44CCE180-3E4F-41D0-9DE4-79E0E697BFF1}">
      <dgm:prSet/>
      <dgm:spPr/>
      <dgm:t>
        <a:bodyPr/>
        <a:lstStyle/>
        <a:p>
          <a:endParaRPr lang="en-US" sz="800">
            <a:solidFill>
              <a:sysClr val="windowText" lastClr="000000"/>
            </a:solidFill>
          </a:endParaRPr>
        </a:p>
      </dgm:t>
    </dgm:pt>
    <dgm:pt modelId="{D98B3002-2D95-4024-B2B9-236CE3E580B3}" type="parTrans" cxnId="{44CCE180-3E4F-41D0-9DE4-79E0E697BFF1}">
      <dgm:prSet custT="1"/>
      <dgm:spPr/>
      <dgm:t>
        <a:bodyPr/>
        <a:lstStyle/>
        <a:p>
          <a:endParaRPr lang="en-US" sz="800">
            <a:solidFill>
              <a:sysClr val="windowText" lastClr="000000"/>
            </a:solidFill>
          </a:endParaRPr>
        </a:p>
      </dgm:t>
    </dgm:pt>
    <dgm:pt modelId="{1A3FF236-9A95-41DC-A331-81E65E28AF80}">
      <dgm:prSet custT="1"/>
      <dgm:spPr>
        <a:solidFill>
          <a:schemeClr val="accent2">
            <a:lumMod val="60000"/>
            <a:lumOff val="40000"/>
          </a:schemeClr>
        </a:solidFill>
      </dgm:spPr>
      <dgm:t>
        <a:bodyPr/>
        <a:lstStyle/>
        <a:p>
          <a:r>
            <a:rPr lang="en-US" sz="1000">
              <a:solidFill>
                <a:sysClr val="windowText" lastClr="000000"/>
              </a:solidFill>
            </a:rPr>
            <a:t>Emergency Transfer</a:t>
          </a:r>
        </a:p>
      </dgm:t>
    </dgm:pt>
    <dgm:pt modelId="{62A69D98-7B48-49ED-9B59-8D66ABFA7026}" type="sibTrans" cxnId="{DCEC8184-2080-40B5-8D96-F92F883B8FB6}">
      <dgm:prSet/>
      <dgm:spPr/>
      <dgm:t>
        <a:bodyPr/>
        <a:lstStyle/>
        <a:p>
          <a:endParaRPr lang="en-US" sz="800">
            <a:solidFill>
              <a:sysClr val="windowText" lastClr="000000"/>
            </a:solidFill>
          </a:endParaRPr>
        </a:p>
      </dgm:t>
    </dgm:pt>
    <dgm:pt modelId="{BD66CEFF-F094-42BD-B514-12FA8B522DA4}" type="parTrans" cxnId="{DCEC8184-2080-40B5-8D96-F92F883B8FB6}">
      <dgm:prSet/>
      <dgm:spPr/>
      <dgm:t>
        <a:bodyPr/>
        <a:lstStyle/>
        <a:p>
          <a:endParaRPr lang="en-US" sz="800">
            <a:solidFill>
              <a:sysClr val="windowText" lastClr="000000"/>
            </a:solidFill>
          </a:endParaRPr>
        </a:p>
      </dgm:t>
    </dgm:pt>
    <dgm:pt modelId="{046A702A-AFF3-4E8A-896B-FCA66F084EC9}" type="sibTrans" cxnId="{15B34682-2AFC-4327-A5F2-4C3AC6D98B99}">
      <dgm:prSet/>
      <dgm:spPr/>
      <dgm:t>
        <a:bodyPr/>
        <a:lstStyle/>
        <a:p>
          <a:endParaRPr lang="en-US" sz="800">
            <a:solidFill>
              <a:sysClr val="windowText" lastClr="000000"/>
            </a:solidFill>
          </a:endParaRPr>
        </a:p>
      </dgm:t>
    </dgm:pt>
    <dgm:pt modelId="{DCF6C51D-CAD2-4ACA-9475-C7E2044622DA}" type="parTrans" cxnId="{15B34682-2AFC-4327-A5F2-4C3AC6D98B99}">
      <dgm:prSet custT="1"/>
      <dgm:spPr/>
      <dgm:t>
        <a:bodyPr/>
        <a:lstStyle/>
        <a:p>
          <a:endParaRPr lang="en-US" sz="800">
            <a:solidFill>
              <a:sysClr val="windowText" lastClr="000000"/>
            </a:solidFill>
          </a:endParaRPr>
        </a:p>
      </dgm:t>
    </dgm:pt>
    <dgm:pt modelId="{F87C74AE-4591-482B-89DE-26ADAC4E83E7}">
      <dgm:prSet custT="1"/>
      <dgm:spPr>
        <a:solidFill>
          <a:schemeClr val="accent6">
            <a:lumMod val="60000"/>
            <a:lumOff val="40000"/>
          </a:schemeClr>
        </a:solidFill>
      </dgm:spPr>
      <dgm:t>
        <a:bodyPr/>
        <a:lstStyle/>
        <a:p>
          <a:r>
            <a:rPr lang="en-US" sz="800">
              <a:solidFill>
                <a:sysClr val="windowText" lastClr="000000"/>
              </a:solidFill>
            </a:rPr>
            <a:t>Eligible</a:t>
          </a:r>
        </a:p>
      </dgm:t>
    </dgm:pt>
    <dgm:pt modelId="{258C7274-D936-4FD2-AB45-D5BBECC5288D}" type="parTrans" cxnId="{66203217-7B80-4CE1-9F56-3C2AD876A304}">
      <dgm:prSet custT="1"/>
      <dgm:spPr/>
      <dgm:t>
        <a:bodyPr/>
        <a:lstStyle/>
        <a:p>
          <a:endParaRPr lang="en-US" sz="800">
            <a:solidFill>
              <a:sysClr val="windowText" lastClr="000000"/>
            </a:solidFill>
          </a:endParaRPr>
        </a:p>
      </dgm:t>
    </dgm:pt>
    <dgm:pt modelId="{8DF38E93-2EC7-4403-9CBB-7142DB6F1B1D}" type="sibTrans" cxnId="{66203217-7B80-4CE1-9F56-3C2AD876A304}">
      <dgm:prSet/>
      <dgm:spPr/>
      <dgm:t>
        <a:bodyPr/>
        <a:lstStyle/>
        <a:p>
          <a:endParaRPr lang="en-US" sz="800">
            <a:solidFill>
              <a:sysClr val="windowText" lastClr="000000"/>
            </a:solidFill>
          </a:endParaRPr>
        </a:p>
      </dgm:t>
    </dgm:pt>
    <dgm:pt modelId="{72ACC820-DDFF-46F1-91E2-9DDAE725B916}">
      <dgm:prSet phldrT="[Text]" custT="1"/>
      <dgm:spPr>
        <a:solidFill>
          <a:schemeClr val="accent6">
            <a:lumMod val="60000"/>
            <a:lumOff val="40000"/>
          </a:schemeClr>
        </a:solidFill>
      </dgm:spPr>
      <dgm:t>
        <a:bodyPr/>
        <a:lstStyle/>
        <a:p>
          <a:r>
            <a:rPr lang="en-US" sz="800">
              <a:solidFill>
                <a:sysClr val="windowText" lastClr="000000"/>
              </a:solidFill>
            </a:rPr>
            <a:t>Move accused perpetrator, TBRA or TSH starts</a:t>
          </a:r>
        </a:p>
      </dgm:t>
    </dgm:pt>
    <dgm:pt modelId="{98725C83-9825-4E9F-9C20-A918058BFA71}" type="parTrans" cxnId="{93A5A147-B878-42F8-BEB7-2066526CD83B}">
      <dgm:prSet custT="1"/>
      <dgm:spPr/>
      <dgm:t>
        <a:bodyPr/>
        <a:lstStyle/>
        <a:p>
          <a:endParaRPr lang="en-US" sz="800">
            <a:solidFill>
              <a:sysClr val="windowText" lastClr="000000"/>
            </a:solidFill>
          </a:endParaRPr>
        </a:p>
      </dgm:t>
    </dgm:pt>
    <dgm:pt modelId="{3D48F896-A3E3-4F31-8EF9-0FE97CB0281B}" type="sibTrans" cxnId="{93A5A147-B878-42F8-BEB7-2066526CD83B}">
      <dgm:prSet/>
      <dgm:spPr/>
      <dgm:t>
        <a:bodyPr/>
        <a:lstStyle/>
        <a:p>
          <a:endParaRPr lang="en-US" sz="800">
            <a:solidFill>
              <a:sysClr val="windowText" lastClr="000000"/>
            </a:solidFill>
          </a:endParaRPr>
        </a:p>
      </dgm:t>
    </dgm:pt>
    <dgm:pt modelId="{A18080F3-39CA-4C4E-9783-2119E2310377}">
      <dgm:prSet custT="1"/>
      <dgm:spPr>
        <a:solidFill>
          <a:schemeClr val="accent6">
            <a:lumMod val="60000"/>
            <a:lumOff val="40000"/>
          </a:schemeClr>
        </a:solidFill>
      </dgm:spPr>
      <dgm:t>
        <a:bodyPr/>
        <a:lstStyle/>
        <a:p>
          <a:r>
            <a:rPr lang="en-US" sz="800">
              <a:solidFill>
                <a:sysClr val="windowText" lastClr="000000"/>
              </a:solidFill>
            </a:rPr>
            <a:t>Move Survivor, TBRA or TSH starts</a:t>
          </a:r>
        </a:p>
      </dgm:t>
    </dgm:pt>
    <dgm:pt modelId="{32F71D42-3616-4F03-9997-E816E1E22FC6}" type="parTrans" cxnId="{D0FFCC00-DE25-43E1-875D-73D9AB6AF925}">
      <dgm:prSet custT="1"/>
      <dgm:spPr/>
      <dgm:t>
        <a:bodyPr/>
        <a:lstStyle/>
        <a:p>
          <a:endParaRPr lang="en-US" sz="800">
            <a:solidFill>
              <a:sysClr val="windowText" lastClr="000000"/>
            </a:solidFill>
          </a:endParaRPr>
        </a:p>
      </dgm:t>
    </dgm:pt>
    <dgm:pt modelId="{5A2CA98E-6729-45F4-AD8A-A0DA131D2D4D}" type="sibTrans" cxnId="{D0FFCC00-DE25-43E1-875D-73D9AB6AF925}">
      <dgm:prSet/>
      <dgm:spPr/>
      <dgm:t>
        <a:bodyPr/>
        <a:lstStyle/>
        <a:p>
          <a:endParaRPr lang="en-US" sz="800">
            <a:solidFill>
              <a:sysClr val="windowText" lastClr="000000"/>
            </a:solidFill>
          </a:endParaRPr>
        </a:p>
      </dgm:t>
    </dgm:pt>
    <dgm:pt modelId="{87055F3C-D78B-4C63-8685-7D6537C9AB2B}">
      <dgm:prSet custT="1"/>
      <dgm:spPr>
        <a:solidFill>
          <a:schemeClr val="accent5">
            <a:lumMod val="40000"/>
            <a:lumOff val="60000"/>
          </a:schemeClr>
        </a:solidFill>
      </dgm:spPr>
      <dgm:t>
        <a:bodyPr/>
        <a:lstStyle/>
        <a:p>
          <a:r>
            <a:rPr lang="en-US" sz="800">
              <a:solidFill>
                <a:sysClr val="windowText" lastClr="000000"/>
              </a:solidFill>
            </a:rPr>
            <a:t>Project Sponsor does not divide household</a:t>
          </a:r>
        </a:p>
      </dgm:t>
    </dgm:pt>
    <dgm:pt modelId="{36E65735-050D-4420-BD84-94952FEF954E}" type="parTrans" cxnId="{2D0F89E8-084D-44A5-8E03-A8A5A91ABFF0}">
      <dgm:prSet custT="1"/>
      <dgm:spPr/>
      <dgm:t>
        <a:bodyPr/>
        <a:lstStyle/>
        <a:p>
          <a:endParaRPr lang="en-US" sz="800"/>
        </a:p>
      </dgm:t>
    </dgm:pt>
    <dgm:pt modelId="{5E418DED-F720-4446-8E7A-A2DF576CD2FE}" type="sibTrans" cxnId="{2D0F89E8-084D-44A5-8E03-A8A5A91ABFF0}">
      <dgm:prSet/>
      <dgm:spPr/>
      <dgm:t>
        <a:bodyPr/>
        <a:lstStyle/>
        <a:p>
          <a:endParaRPr lang="en-US" sz="800"/>
        </a:p>
      </dgm:t>
    </dgm:pt>
    <dgm:pt modelId="{9AC7C455-61F4-496B-BB73-DDB995BC9ECF}">
      <dgm:prSet custT="1"/>
      <dgm:spPr>
        <a:solidFill>
          <a:schemeClr val="accent6">
            <a:lumMod val="60000"/>
            <a:lumOff val="40000"/>
          </a:schemeClr>
        </a:solidFill>
      </dgm:spPr>
      <dgm:t>
        <a:bodyPr/>
        <a:lstStyle/>
        <a:p>
          <a:r>
            <a:rPr lang="en-US" sz="800">
              <a:solidFill>
                <a:sysClr val="windowText" lastClr="000000"/>
              </a:solidFill>
            </a:rPr>
            <a:t>Refer survivor to supportive and alternate remedies</a:t>
          </a:r>
        </a:p>
      </dgm:t>
    </dgm:pt>
    <dgm:pt modelId="{E278FA0D-6151-478C-8BD0-D5CBD0E3642B}" type="parTrans" cxnId="{F65D7B14-B096-4164-82FC-58A4C66DE1A9}">
      <dgm:prSet custT="1"/>
      <dgm:spPr/>
      <dgm:t>
        <a:bodyPr/>
        <a:lstStyle/>
        <a:p>
          <a:endParaRPr lang="en-US" sz="800"/>
        </a:p>
      </dgm:t>
    </dgm:pt>
    <dgm:pt modelId="{F5522D7B-B108-48AF-881F-183195EA6484}" type="sibTrans" cxnId="{F65D7B14-B096-4164-82FC-58A4C66DE1A9}">
      <dgm:prSet/>
      <dgm:spPr/>
      <dgm:t>
        <a:bodyPr/>
        <a:lstStyle/>
        <a:p>
          <a:endParaRPr lang="en-US" sz="800"/>
        </a:p>
      </dgm:t>
    </dgm:pt>
    <dgm:pt modelId="{CEB9EEE3-0DB7-4EB5-914A-33A87026F783}">
      <dgm:prSet custT="1"/>
      <dgm:spPr>
        <a:solidFill>
          <a:schemeClr val="accent6">
            <a:lumMod val="60000"/>
            <a:lumOff val="40000"/>
          </a:schemeClr>
        </a:solidFill>
      </dgm:spPr>
      <dgm:t>
        <a:bodyPr/>
        <a:lstStyle/>
        <a:p>
          <a:r>
            <a:rPr lang="en-US" sz="800">
              <a:solidFill>
                <a:sysClr val="windowText" lastClr="000000"/>
              </a:solidFill>
            </a:rPr>
            <a:t>Accused perpetrator lives in unit</a:t>
          </a:r>
        </a:p>
      </dgm:t>
    </dgm:pt>
    <dgm:pt modelId="{8CA01D95-87C2-4715-A81A-8B026A659A00}" type="parTrans" cxnId="{324A3415-B74D-4AF2-9891-F77FBEACFE10}">
      <dgm:prSet custT="1"/>
      <dgm:spPr/>
      <dgm:t>
        <a:bodyPr/>
        <a:lstStyle/>
        <a:p>
          <a:endParaRPr lang="en-US" sz="800"/>
        </a:p>
      </dgm:t>
    </dgm:pt>
    <dgm:pt modelId="{C5D4F54A-1AF2-4CA7-BA9E-922F5890743C}" type="sibTrans" cxnId="{324A3415-B74D-4AF2-9891-F77FBEACFE10}">
      <dgm:prSet/>
      <dgm:spPr/>
      <dgm:t>
        <a:bodyPr/>
        <a:lstStyle/>
        <a:p>
          <a:endParaRPr lang="en-US" sz="800"/>
        </a:p>
      </dgm:t>
    </dgm:pt>
    <dgm:pt modelId="{913A2DB0-64ED-4EC6-99E9-102A4C83260E}">
      <dgm:prSet custT="1"/>
      <dgm:spPr>
        <a:solidFill>
          <a:schemeClr val="accent6">
            <a:lumMod val="60000"/>
            <a:lumOff val="40000"/>
          </a:schemeClr>
        </a:solidFill>
      </dgm:spPr>
      <dgm:t>
        <a:bodyPr/>
        <a:lstStyle/>
        <a:p>
          <a:r>
            <a:rPr lang="en-US" sz="800">
              <a:solidFill>
                <a:sysClr val="windowText" lastClr="000000"/>
              </a:solidFill>
            </a:rPr>
            <a:t>Accused perpetrator does not live in unit</a:t>
          </a:r>
        </a:p>
      </dgm:t>
    </dgm:pt>
    <dgm:pt modelId="{E1DC108B-B89B-421A-882E-C3354901C37A}" type="parTrans" cxnId="{8BC9AE70-E82B-4CF7-BF61-02B1C9F530C1}">
      <dgm:prSet custT="1"/>
      <dgm:spPr/>
      <dgm:t>
        <a:bodyPr/>
        <a:lstStyle/>
        <a:p>
          <a:endParaRPr lang="en-US" sz="800"/>
        </a:p>
      </dgm:t>
    </dgm:pt>
    <dgm:pt modelId="{DA62E81C-E95D-488A-B467-77A85239D978}" type="sibTrans" cxnId="{8BC9AE70-E82B-4CF7-BF61-02B1C9F530C1}">
      <dgm:prSet/>
      <dgm:spPr/>
      <dgm:t>
        <a:bodyPr/>
        <a:lstStyle/>
        <a:p>
          <a:endParaRPr lang="en-US" sz="800"/>
        </a:p>
      </dgm:t>
    </dgm:pt>
    <dgm:pt modelId="{C849D1F5-C0EA-4449-880F-32B904D9870A}">
      <dgm:prSet custT="1"/>
      <dgm:spPr>
        <a:solidFill>
          <a:schemeClr val="accent6">
            <a:lumMod val="60000"/>
            <a:lumOff val="40000"/>
          </a:schemeClr>
        </a:solidFill>
      </dgm:spPr>
      <dgm:t>
        <a:bodyPr/>
        <a:lstStyle/>
        <a:p>
          <a:r>
            <a:rPr lang="en-US" sz="800">
              <a:solidFill>
                <a:sysClr val="windowText" lastClr="000000"/>
              </a:solidFill>
            </a:rPr>
            <a:t>Survivor Household</a:t>
          </a:r>
        </a:p>
      </dgm:t>
    </dgm:pt>
    <dgm:pt modelId="{2F506D52-88EB-426E-AE79-C208E1088EE6}" type="parTrans" cxnId="{24235C27-6DCD-4586-BAD3-B027E155D9D2}">
      <dgm:prSet custT="1"/>
      <dgm:spPr/>
      <dgm:t>
        <a:bodyPr/>
        <a:lstStyle/>
        <a:p>
          <a:endParaRPr lang="en-US" sz="800"/>
        </a:p>
      </dgm:t>
    </dgm:pt>
    <dgm:pt modelId="{6228D4C0-AD67-4BB4-B19F-ABB3738F3AF0}" type="sibTrans" cxnId="{24235C27-6DCD-4586-BAD3-B027E155D9D2}">
      <dgm:prSet/>
      <dgm:spPr/>
      <dgm:t>
        <a:bodyPr/>
        <a:lstStyle/>
        <a:p>
          <a:endParaRPr lang="en-US" sz="800"/>
        </a:p>
      </dgm:t>
    </dgm:pt>
    <dgm:pt modelId="{41E3ED1C-CB3C-47CD-8370-611AFBDCB4BB}">
      <dgm:prSet custT="1"/>
      <dgm:spPr>
        <a:solidFill>
          <a:schemeClr val="accent6">
            <a:lumMod val="60000"/>
            <a:lumOff val="40000"/>
          </a:schemeClr>
        </a:solidFill>
      </dgm:spPr>
      <dgm:t>
        <a:bodyPr/>
        <a:lstStyle/>
        <a:p>
          <a:r>
            <a:rPr lang="en-US" sz="800">
              <a:solidFill>
                <a:sysClr val="windowText" lastClr="000000"/>
              </a:solidFill>
            </a:rPr>
            <a:t>Locate unit that meets TBRA or TSH requirements</a:t>
          </a:r>
        </a:p>
      </dgm:t>
    </dgm:pt>
    <dgm:pt modelId="{4FD02980-7206-4FCA-A626-D07F854B42C5}" type="parTrans" cxnId="{63A8F9B6-583C-497B-B14B-FAFE9ECF8212}">
      <dgm:prSet custT="1"/>
      <dgm:spPr/>
      <dgm:t>
        <a:bodyPr/>
        <a:lstStyle/>
        <a:p>
          <a:endParaRPr lang="en-US" sz="800"/>
        </a:p>
      </dgm:t>
    </dgm:pt>
    <dgm:pt modelId="{DBEE0790-2118-4750-9696-5E6D7D9C34E4}" type="sibTrans" cxnId="{63A8F9B6-583C-497B-B14B-FAFE9ECF8212}">
      <dgm:prSet/>
      <dgm:spPr/>
      <dgm:t>
        <a:bodyPr/>
        <a:lstStyle/>
        <a:p>
          <a:endParaRPr lang="en-US" sz="800"/>
        </a:p>
      </dgm:t>
    </dgm:pt>
    <dgm:pt modelId="{F1976BC8-6964-4FDD-B5D8-20DDC4BDCE93}">
      <dgm:prSet custT="1"/>
      <dgm:spPr>
        <a:solidFill>
          <a:schemeClr val="accent6">
            <a:lumMod val="60000"/>
            <a:lumOff val="40000"/>
          </a:schemeClr>
        </a:solidFill>
      </dgm:spPr>
      <dgm:t>
        <a:bodyPr/>
        <a:lstStyle/>
        <a:p>
          <a:r>
            <a:rPr lang="en-US" sz="800">
              <a:solidFill>
                <a:sysClr val="windowText" lastClr="000000"/>
              </a:solidFill>
            </a:rPr>
            <a:t>Move Survivor, TBRA or TSH starts</a:t>
          </a:r>
        </a:p>
      </dgm:t>
    </dgm:pt>
    <dgm:pt modelId="{11563BBD-4380-4FB2-A794-6EC215753A39}" type="parTrans" cxnId="{82DF6C6E-9050-4BA9-A260-4160A89E8827}">
      <dgm:prSet custT="1"/>
      <dgm:spPr/>
      <dgm:t>
        <a:bodyPr/>
        <a:lstStyle/>
        <a:p>
          <a:endParaRPr lang="en-US" sz="800"/>
        </a:p>
      </dgm:t>
    </dgm:pt>
    <dgm:pt modelId="{13C54701-BBB8-408F-9EFB-DFA99542C541}" type="sibTrans" cxnId="{82DF6C6E-9050-4BA9-A260-4160A89E8827}">
      <dgm:prSet/>
      <dgm:spPr/>
      <dgm:t>
        <a:bodyPr/>
        <a:lstStyle/>
        <a:p>
          <a:endParaRPr lang="en-US" sz="800"/>
        </a:p>
      </dgm:t>
    </dgm:pt>
    <dgm:pt modelId="{8D9DCCB6-EFCC-46AE-9422-301C43234003}">
      <dgm:prSet custT="1"/>
      <dgm:spPr>
        <a:solidFill>
          <a:schemeClr val="accent6">
            <a:lumMod val="60000"/>
            <a:lumOff val="40000"/>
          </a:schemeClr>
        </a:solidFill>
      </dgm:spPr>
      <dgm:t>
        <a:bodyPr/>
        <a:lstStyle/>
        <a:p>
          <a:r>
            <a:rPr lang="en-US" sz="800">
              <a:solidFill>
                <a:sysClr val="windowText" lastClr="000000"/>
              </a:solidFill>
            </a:rPr>
            <a:t>Recert: Survivor income, residency</a:t>
          </a:r>
        </a:p>
      </dgm:t>
    </dgm:pt>
    <dgm:pt modelId="{5CC76A71-B177-4F9F-9842-290C49FEE8BD}" type="parTrans" cxnId="{0029EF0C-086D-4885-B7A8-E912B548EA8B}">
      <dgm:prSet custT="1"/>
      <dgm:spPr/>
      <dgm:t>
        <a:bodyPr/>
        <a:lstStyle/>
        <a:p>
          <a:endParaRPr lang="en-US" sz="800"/>
        </a:p>
      </dgm:t>
    </dgm:pt>
    <dgm:pt modelId="{07B2A3BF-33E6-4314-9614-CB68271F02B8}" type="sibTrans" cxnId="{0029EF0C-086D-4885-B7A8-E912B548EA8B}">
      <dgm:prSet/>
      <dgm:spPr/>
      <dgm:t>
        <a:bodyPr/>
        <a:lstStyle/>
        <a:p>
          <a:endParaRPr lang="en-US" sz="800"/>
        </a:p>
      </dgm:t>
    </dgm:pt>
    <dgm:pt modelId="{D8B86579-1BE1-4E17-B6A6-D99FE602BEEA}">
      <dgm:prSet custT="1"/>
      <dgm:spPr>
        <a:solidFill>
          <a:schemeClr val="accent6">
            <a:lumMod val="60000"/>
            <a:lumOff val="40000"/>
          </a:schemeClr>
        </a:solidFill>
      </dgm:spPr>
      <dgm:t>
        <a:bodyPr/>
        <a:lstStyle/>
        <a:p>
          <a:r>
            <a:rPr lang="en-US" sz="800">
              <a:solidFill>
                <a:sysClr val="windowText" lastClr="000000"/>
              </a:solidFill>
            </a:rPr>
            <a:t>Ineligible</a:t>
          </a:r>
        </a:p>
      </dgm:t>
    </dgm:pt>
    <dgm:pt modelId="{47C48ED1-D451-42F3-A9AF-62F6A4C8113E}" type="parTrans" cxnId="{14CB081E-A6BE-4AF3-931F-0AE68CC4331F}">
      <dgm:prSet custT="1"/>
      <dgm:spPr/>
      <dgm:t>
        <a:bodyPr/>
        <a:lstStyle/>
        <a:p>
          <a:endParaRPr lang="en-US" sz="800"/>
        </a:p>
      </dgm:t>
    </dgm:pt>
    <dgm:pt modelId="{A22FB67C-48FF-4C90-BF73-C312E8AD7C81}" type="sibTrans" cxnId="{14CB081E-A6BE-4AF3-931F-0AE68CC4331F}">
      <dgm:prSet/>
      <dgm:spPr/>
      <dgm:t>
        <a:bodyPr/>
        <a:lstStyle/>
        <a:p>
          <a:endParaRPr lang="en-US" sz="800"/>
        </a:p>
      </dgm:t>
    </dgm:pt>
    <dgm:pt modelId="{F6B18E9E-DCBB-4DCB-B495-AA150974F0D8}">
      <dgm:prSet custT="1"/>
      <dgm:spPr>
        <a:solidFill>
          <a:schemeClr val="accent6">
            <a:lumMod val="60000"/>
            <a:lumOff val="40000"/>
          </a:schemeClr>
        </a:solidFill>
      </dgm:spPr>
      <dgm:t>
        <a:bodyPr/>
        <a:lstStyle/>
        <a:p>
          <a:r>
            <a:rPr lang="en-US" sz="800">
              <a:solidFill>
                <a:sysClr val="windowText" lastClr="000000"/>
              </a:solidFill>
            </a:rPr>
            <a:t>Eligible</a:t>
          </a:r>
        </a:p>
      </dgm:t>
    </dgm:pt>
    <dgm:pt modelId="{64490254-8F69-45EB-9A8B-4AC1281F5C61}" type="parTrans" cxnId="{D9D0E203-5534-4457-B44E-C2F24122BB50}">
      <dgm:prSet custT="1"/>
      <dgm:spPr/>
      <dgm:t>
        <a:bodyPr/>
        <a:lstStyle/>
        <a:p>
          <a:endParaRPr lang="en-US" sz="800"/>
        </a:p>
      </dgm:t>
    </dgm:pt>
    <dgm:pt modelId="{16972DAC-810A-4499-8B3E-B75947E0BA84}" type="sibTrans" cxnId="{D9D0E203-5534-4457-B44E-C2F24122BB50}">
      <dgm:prSet/>
      <dgm:spPr/>
      <dgm:t>
        <a:bodyPr/>
        <a:lstStyle/>
        <a:p>
          <a:endParaRPr lang="en-US" sz="800"/>
        </a:p>
      </dgm:t>
    </dgm:pt>
    <dgm:pt modelId="{54D375AC-7039-484D-837C-5879E56E5F67}">
      <dgm:prSet custT="1"/>
      <dgm:spPr>
        <a:solidFill>
          <a:schemeClr val="accent6">
            <a:lumMod val="60000"/>
            <a:lumOff val="40000"/>
          </a:schemeClr>
        </a:solidFill>
      </dgm:spPr>
      <dgm:t>
        <a:bodyPr/>
        <a:lstStyle/>
        <a:p>
          <a:r>
            <a:rPr lang="en-US" sz="800">
              <a:solidFill>
                <a:sysClr val="windowText" lastClr="000000"/>
              </a:solidFill>
            </a:rPr>
            <a:t>Recert: Accused perpetrator income, residency</a:t>
          </a:r>
        </a:p>
      </dgm:t>
    </dgm:pt>
    <dgm:pt modelId="{5FAA4FCA-D91B-43B2-B7FF-6B487F93E96D}" type="sibTrans" cxnId="{E6E0D30D-CECA-40AC-9A31-A5BAE19189E4}">
      <dgm:prSet/>
      <dgm:spPr/>
      <dgm:t>
        <a:bodyPr/>
        <a:lstStyle/>
        <a:p>
          <a:endParaRPr lang="en-US" sz="800">
            <a:solidFill>
              <a:sysClr val="windowText" lastClr="000000"/>
            </a:solidFill>
          </a:endParaRPr>
        </a:p>
      </dgm:t>
    </dgm:pt>
    <dgm:pt modelId="{30217EB4-D888-443F-B5FB-A255B05FE476}" type="parTrans" cxnId="{E6E0D30D-CECA-40AC-9A31-A5BAE19189E4}">
      <dgm:prSet custT="1"/>
      <dgm:spPr/>
      <dgm:t>
        <a:bodyPr/>
        <a:lstStyle/>
        <a:p>
          <a:endParaRPr lang="en-US" sz="800">
            <a:solidFill>
              <a:sysClr val="windowText" lastClr="000000"/>
            </a:solidFill>
          </a:endParaRPr>
        </a:p>
      </dgm:t>
    </dgm:pt>
    <dgm:pt modelId="{C6032DE0-A07C-4F58-97E0-9DCCD92142B1}">
      <dgm:prSet custT="1"/>
      <dgm:spPr>
        <a:solidFill>
          <a:schemeClr val="accent6">
            <a:lumMod val="60000"/>
            <a:lumOff val="40000"/>
          </a:schemeClr>
        </a:solidFill>
      </dgm:spPr>
      <dgm:t>
        <a:bodyPr/>
        <a:lstStyle/>
        <a:p>
          <a:r>
            <a:rPr lang="en-US" sz="800">
              <a:solidFill>
                <a:sysClr val="windowText" lastClr="000000"/>
              </a:solidFill>
            </a:rPr>
            <a:t>Ineligible</a:t>
          </a:r>
        </a:p>
      </dgm:t>
    </dgm:pt>
    <dgm:pt modelId="{864A7219-E651-4CB8-BBA5-4A845B9DA1D0}" type="sibTrans" cxnId="{9D93EC64-9A17-4435-AE7D-E10B51BE0945}">
      <dgm:prSet/>
      <dgm:spPr/>
      <dgm:t>
        <a:bodyPr/>
        <a:lstStyle/>
        <a:p>
          <a:endParaRPr lang="en-US" sz="800">
            <a:solidFill>
              <a:sysClr val="windowText" lastClr="000000"/>
            </a:solidFill>
          </a:endParaRPr>
        </a:p>
      </dgm:t>
    </dgm:pt>
    <dgm:pt modelId="{312C7B05-8D0D-4241-AFD3-2F58A2CB263C}" type="parTrans" cxnId="{9D93EC64-9A17-4435-AE7D-E10B51BE0945}">
      <dgm:prSet custT="1"/>
      <dgm:spPr/>
      <dgm:t>
        <a:bodyPr/>
        <a:lstStyle/>
        <a:p>
          <a:endParaRPr lang="en-US" sz="800">
            <a:solidFill>
              <a:sysClr val="windowText" lastClr="000000"/>
            </a:solidFill>
          </a:endParaRPr>
        </a:p>
      </dgm:t>
    </dgm:pt>
    <dgm:pt modelId="{50E84A30-4CE1-4003-BAAA-929BDF0B3572}">
      <dgm:prSet custT="1"/>
      <dgm:spPr>
        <a:solidFill>
          <a:schemeClr val="accent6">
            <a:lumMod val="60000"/>
            <a:lumOff val="40000"/>
          </a:schemeClr>
        </a:solidFill>
      </dgm:spPr>
      <dgm:t>
        <a:bodyPr/>
        <a:lstStyle/>
        <a:p>
          <a:r>
            <a:rPr lang="en-US" sz="800">
              <a:solidFill>
                <a:sysClr val="windowText" lastClr="000000"/>
              </a:solidFill>
            </a:rPr>
            <a:t>If because no one lives with HIV, unqualified for grace period</a:t>
          </a:r>
        </a:p>
      </dgm:t>
    </dgm:pt>
    <dgm:pt modelId="{D4A3E501-3BB0-40DF-A0E8-19EB6D489DA4}" type="sibTrans" cxnId="{7019D5BB-8434-44F6-838F-80BAFD5C9FD7}">
      <dgm:prSet/>
      <dgm:spPr/>
      <dgm:t>
        <a:bodyPr/>
        <a:lstStyle/>
        <a:p>
          <a:endParaRPr lang="en-US" sz="800">
            <a:solidFill>
              <a:sysClr val="windowText" lastClr="000000"/>
            </a:solidFill>
          </a:endParaRPr>
        </a:p>
      </dgm:t>
    </dgm:pt>
    <dgm:pt modelId="{9B2D71AE-E0F0-4D59-BC0F-F40225D9DC94}" type="parTrans" cxnId="{7019D5BB-8434-44F6-838F-80BAFD5C9FD7}">
      <dgm:prSet custT="1"/>
      <dgm:spPr/>
      <dgm:t>
        <a:bodyPr/>
        <a:lstStyle/>
        <a:p>
          <a:endParaRPr lang="en-US" sz="800">
            <a:solidFill>
              <a:sysClr val="windowText" lastClr="000000"/>
            </a:solidFill>
          </a:endParaRPr>
        </a:p>
      </dgm:t>
    </dgm:pt>
    <dgm:pt modelId="{D318436A-2664-4936-B2B7-94A677B7D33A}" type="pres">
      <dgm:prSet presAssocID="{12FCB835-A148-461B-88AA-FDC9060306D7}" presName="Name0" presStyleCnt="0">
        <dgm:presLayoutVars>
          <dgm:chPref val="1"/>
          <dgm:dir/>
          <dgm:animOne val="branch"/>
          <dgm:animLvl val="lvl"/>
          <dgm:resizeHandles val="exact"/>
        </dgm:presLayoutVars>
      </dgm:prSet>
      <dgm:spPr/>
    </dgm:pt>
    <dgm:pt modelId="{AB3EF145-0509-4D06-9322-084897ABD238}" type="pres">
      <dgm:prSet presAssocID="{59463C9D-6BEF-4422-BCB2-C1F7139F3556}" presName="root1" presStyleCnt="0"/>
      <dgm:spPr/>
    </dgm:pt>
    <dgm:pt modelId="{5E9BC8E9-0240-4A9D-ADE3-69918359AE04}" type="pres">
      <dgm:prSet presAssocID="{59463C9D-6BEF-4422-BCB2-C1F7139F3556}" presName="LevelOneTextNode" presStyleLbl="node0" presStyleIdx="0" presStyleCnt="2">
        <dgm:presLayoutVars>
          <dgm:chPref val="3"/>
        </dgm:presLayoutVars>
      </dgm:prSet>
      <dgm:spPr/>
    </dgm:pt>
    <dgm:pt modelId="{88A800E6-2A63-43C1-B48B-BF305B98C68B}" type="pres">
      <dgm:prSet presAssocID="{59463C9D-6BEF-4422-BCB2-C1F7139F3556}" presName="level2hierChild" presStyleCnt="0"/>
      <dgm:spPr/>
    </dgm:pt>
    <dgm:pt modelId="{EB1DFF0D-F5E9-4BA6-A8E4-F79AA1120067}" type="pres">
      <dgm:prSet presAssocID="{07C76642-39A8-48AD-9433-8C450ECF76C8}" presName="conn2-1" presStyleLbl="parChTrans1D2" presStyleIdx="0" presStyleCnt="3"/>
      <dgm:spPr/>
    </dgm:pt>
    <dgm:pt modelId="{864568BB-211C-4D2E-8539-04E12204B935}" type="pres">
      <dgm:prSet presAssocID="{07C76642-39A8-48AD-9433-8C450ECF76C8}" presName="connTx" presStyleLbl="parChTrans1D2" presStyleIdx="0" presStyleCnt="3"/>
      <dgm:spPr/>
    </dgm:pt>
    <dgm:pt modelId="{B091C49A-6BA2-4061-9FB8-6DEA1438813E}" type="pres">
      <dgm:prSet presAssocID="{AEE9E864-5F22-4A6E-A4E1-757AE1F4C3BD}" presName="root2" presStyleCnt="0"/>
      <dgm:spPr/>
    </dgm:pt>
    <dgm:pt modelId="{83E89F32-08B9-435D-A6AC-54C22BF70489}" type="pres">
      <dgm:prSet presAssocID="{AEE9E864-5F22-4A6E-A4E1-757AE1F4C3BD}" presName="LevelTwoTextNode" presStyleLbl="node2" presStyleIdx="0" presStyleCnt="3">
        <dgm:presLayoutVars>
          <dgm:chPref val="3"/>
        </dgm:presLayoutVars>
      </dgm:prSet>
      <dgm:spPr/>
    </dgm:pt>
    <dgm:pt modelId="{CDE33C99-8037-448F-9486-59C9F011A545}" type="pres">
      <dgm:prSet presAssocID="{AEE9E864-5F22-4A6E-A4E1-757AE1F4C3BD}" presName="level3hierChild" presStyleCnt="0"/>
      <dgm:spPr/>
    </dgm:pt>
    <dgm:pt modelId="{AABE0D5E-B1B9-4C10-84EE-AA8E8534B2B4}" type="pres">
      <dgm:prSet presAssocID="{83205A31-52C4-4D47-BC4C-BE5E24EB8DA0}" presName="conn2-1" presStyleLbl="parChTrans1D3" presStyleIdx="0" presStyleCnt="5"/>
      <dgm:spPr/>
    </dgm:pt>
    <dgm:pt modelId="{BF76B1FB-A651-41FA-B4BD-2D07CA623CD7}" type="pres">
      <dgm:prSet presAssocID="{83205A31-52C4-4D47-BC4C-BE5E24EB8DA0}" presName="connTx" presStyleLbl="parChTrans1D3" presStyleIdx="0" presStyleCnt="5"/>
      <dgm:spPr/>
    </dgm:pt>
    <dgm:pt modelId="{F13F05BD-6312-451C-943D-C7D996D4A826}" type="pres">
      <dgm:prSet presAssocID="{885CA24D-F431-47C3-AF04-C7577D9BAA48}" presName="root2" presStyleCnt="0"/>
      <dgm:spPr/>
    </dgm:pt>
    <dgm:pt modelId="{109AABBB-E60A-4578-87D5-B19745E3E347}" type="pres">
      <dgm:prSet presAssocID="{885CA24D-F431-47C3-AF04-C7577D9BAA48}" presName="LevelTwoTextNode" presStyleLbl="node3" presStyleIdx="0" presStyleCnt="5">
        <dgm:presLayoutVars>
          <dgm:chPref val="3"/>
        </dgm:presLayoutVars>
      </dgm:prSet>
      <dgm:spPr/>
    </dgm:pt>
    <dgm:pt modelId="{D4EB3C7C-936B-4667-9800-2DA4FBF54041}" type="pres">
      <dgm:prSet presAssocID="{885CA24D-F431-47C3-AF04-C7577D9BAA48}" presName="level3hierChild" presStyleCnt="0"/>
      <dgm:spPr/>
    </dgm:pt>
    <dgm:pt modelId="{07DAA9A9-A564-46FB-9D40-4FA673E94180}" type="pres">
      <dgm:prSet presAssocID="{3040C55A-21DD-4B8A-86C4-1BFC7961A6A0}" presName="conn2-1" presStyleLbl="parChTrans1D4" presStyleIdx="0" presStyleCnt="76"/>
      <dgm:spPr/>
    </dgm:pt>
    <dgm:pt modelId="{4C031C7A-2EE9-48C0-9711-6D378E4154F0}" type="pres">
      <dgm:prSet presAssocID="{3040C55A-21DD-4B8A-86C4-1BFC7961A6A0}" presName="connTx" presStyleLbl="parChTrans1D4" presStyleIdx="0" presStyleCnt="76"/>
      <dgm:spPr/>
    </dgm:pt>
    <dgm:pt modelId="{3618E5EE-E52D-44A1-83BB-E9675230A43A}" type="pres">
      <dgm:prSet presAssocID="{19E0F379-9FAF-4253-ADC7-A6A3F1014D6D}" presName="root2" presStyleCnt="0"/>
      <dgm:spPr/>
    </dgm:pt>
    <dgm:pt modelId="{CD43BFDA-080E-4AB4-8607-2A07729FFB80}" type="pres">
      <dgm:prSet presAssocID="{19E0F379-9FAF-4253-ADC7-A6A3F1014D6D}" presName="LevelTwoTextNode" presStyleLbl="node4" presStyleIdx="0" presStyleCnt="76">
        <dgm:presLayoutVars>
          <dgm:chPref val="3"/>
        </dgm:presLayoutVars>
      </dgm:prSet>
      <dgm:spPr/>
    </dgm:pt>
    <dgm:pt modelId="{8A269286-00A7-4314-9CBE-55AC3BB2A595}" type="pres">
      <dgm:prSet presAssocID="{19E0F379-9FAF-4253-ADC7-A6A3F1014D6D}" presName="level3hierChild" presStyleCnt="0"/>
      <dgm:spPr/>
    </dgm:pt>
    <dgm:pt modelId="{9A95687D-AD60-4BA7-A4CC-AA171296B73A}" type="pres">
      <dgm:prSet presAssocID="{75575511-0586-4CDC-BEB9-EB23B002F242}" presName="conn2-1" presStyleLbl="parChTrans1D4" presStyleIdx="1" presStyleCnt="76"/>
      <dgm:spPr/>
    </dgm:pt>
    <dgm:pt modelId="{87FCEBC8-0F3D-471B-99D6-556A67658037}" type="pres">
      <dgm:prSet presAssocID="{75575511-0586-4CDC-BEB9-EB23B002F242}" presName="connTx" presStyleLbl="parChTrans1D4" presStyleIdx="1" presStyleCnt="76"/>
      <dgm:spPr/>
    </dgm:pt>
    <dgm:pt modelId="{BF691E1F-3BEE-4148-B336-267EEC18E38A}" type="pres">
      <dgm:prSet presAssocID="{C9E27238-AEF5-4EB1-B2FF-8D4E0668AF6D}" presName="root2" presStyleCnt="0"/>
      <dgm:spPr/>
    </dgm:pt>
    <dgm:pt modelId="{81828A41-836D-47CA-8DA5-053F54A35B42}" type="pres">
      <dgm:prSet presAssocID="{C9E27238-AEF5-4EB1-B2FF-8D4E0668AF6D}" presName="LevelTwoTextNode" presStyleLbl="node4" presStyleIdx="1" presStyleCnt="76">
        <dgm:presLayoutVars>
          <dgm:chPref val="3"/>
        </dgm:presLayoutVars>
      </dgm:prSet>
      <dgm:spPr/>
    </dgm:pt>
    <dgm:pt modelId="{8D12C269-FF18-44A6-86E0-E9F32A5F1072}" type="pres">
      <dgm:prSet presAssocID="{C9E27238-AEF5-4EB1-B2FF-8D4E0668AF6D}" presName="level3hierChild" presStyleCnt="0"/>
      <dgm:spPr/>
    </dgm:pt>
    <dgm:pt modelId="{4CBC13DF-B892-4AF1-98DF-F8ECED14B01E}" type="pres">
      <dgm:prSet presAssocID="{7E0FE22B-0A6A-4EFA-B26E-2750FC4D54DE}" presName="conn2-1" presStyleLbl="parChTrans1D4" presStyleIdx="2" presStyleCnt="76"/>
      <dgm:spPr/>
    </dgm:pt>
    <dgm:pt modelId="{609FE08B-1554-45E0-99C9-D6BFAE4A626F}" type="pres">
      <dgm:prSet presAssocID="{7E0FE22B-0A6A-4EFA-B26E-2750FC4D54DE}" presName="connTx" presStyleLbl="parChTrans1D4" presStyleIdx="2" presStyleCnt="76"/>
      <dgm:spPr/>
    </dgm:pt>
    <dgm:pt modelId="{DDFD5EDA-FF07-4430-9D0C-33494AF8A639}" type="pres">
      <dgm:prSet presAssocID="{7862787A-A77E-4B42-A23A-91B6A7FFE331}" presName="root2" presStyleCnt="0"/>
      <dgm:spPr/>
    </dgm:pt>
    <dgm:pt modelId="{955FDB63-D727-4B87-9F0B-018CFC4BDA2F}" type="pres">
      <dgm:prSet presAssocID="{7862787A-A77E-4B42-A23A-91B6A7FFE331}" presName="LevelTwoTextNode" presStyleLbl="node4" presStyleIdx="2" presStyleCnt="76">
        <dgm:presLayoutVars>
          <dgm:chPref val="3"/>
        </dgm:presLayoutVars>
      </dgm:prSet>
      <dgm:spPr/>
    </dgm:pt>
    <dgm:pt modelId="{475F435D-4851-46AD-B9DE-F61E446FCB25}" type="pres">
      <dgm:prSet presAssocID="{7862787A-A77E-4B42-A23A-91B6A7FFE331}" presName="level3hierChild" presStyleCnt="0"/>
      <dgm:spPr/>
    </dgm:pt>
    <dgm:pt modelId="{64CA5293-3BA3-42B6-8321-ADDF461032A4}" type="pres">
      <dgm:prSet presAssocID="{2DAF4D9A-37B9-4DD5-B03F-9E95A48BA766}" presName="conn2-1" presStyleLbl="parChTrans1D4" presStyleIdx="3" presStyleCnt="76"/>
      <dgm:spPr/>
    </dgm:pt>
    <dgm:pt modelId="{82888D39-C233-412C-A953-9435993092E5}" type="pres">
      <dgm:prSet presAssocID="{2DAF4D9A-37B9-4DD5-B03F-9E95A48BA766}" presName="connTx" presStyleLbl="parChTrans1D4" presStyleIdx="3" presStyleCnt="76"/>
      <dgm:spPr/>
    </dgm:pt>
    <dgm:pt modelId="{B19F6BB5-9C8D-49ED-987A-22B33826E9B4}" type="pres">
      <dgm:prSet presAssocID="{814EA40A-13C0-41DD-BF95-2D62251EFA6C}" presName="root2" presStyleCnt="0"/>
      <dgm:spPr/>
    </dgm:pt>
    <dgm:pt modelId="{3E2B58FE-CD0E-4D20-B3E3-F75FB0A3B180}" type="pres">
      <dgm:prSet presAssocID="{814EA40A-13C0-41DD-BF95-2D62251EFA6C}" presName="LevelTwoTextNode" presStyleLbl="node4" presStyleIdx="3" presStyleCnt="76">
        <dgm:presLayoutVars>
          <dgm:chPref val="3"/>
        </dgm:presLayoutVars>
      </dgm:prSet>
      <dgm:spPr/>
    </dgm:pt>
    <dgm:pt modelId="{CFC2ADA5-BCA7-4CDC-8E58-CFC9E65834E7}" type="pres">
      <dgm:prSet presAssocID="{814EA40A-13C0-41DD-BF95-2D62251EFA6C}" presName="level3hierChild" presStyleCnt="0"/>
      <dgm:spPr/>
    </dgm:pt>
    <dgm:pt modelId="{9B60B1EB-0D56-4A17-8DCF-0B5B283E7CBB}" type="pres">
      <dgm:prSet presAssocID="{07BDE030-307D-48B8-9858-2D8E5F9AEBAF}" presName="conn2-1" presStyleLbl="parChTrans1D4" presStyleIdx="4" presStyleCnt="76"/>
      <dgm:spPr/>
    </dgm:pt>
    <dgm:pt modelId="{301223DC-CB0B-49DC-B39C-9238B11C99D1}" type="pres">
      <dgm:prSet presAssocID="{07BDE030-307D-48B8-9858-2D8E5F9AEBAF}" presName="connTx" presStyleLbl="parChTrans1D4" presStyleIdx="4" presStyleCnt="76"/>
      <dgm:spPr/>
    </dgm:pt>
    <dgm:pt modelId="{36D03D90-4850-4E9C-A11E-3F22E3CCCBF3}" type="pres">
      <dgm:prSet presAssocID="{A445E6B8-3C72-4D94-98AC-2E4A27E20D90}" presName="root2" presStyleCnt="0"/>
      <dgm:spPr/>
    </dgm:pt>
    <dgm:pt modelId="{52445238-EE07-4143-A240-FBC66E24B05D}" type="pres">
      <dgm:prSet presAssocID="{A445E6B8-3C72-4D94-98AC-2E4A27E20D90}" presName="LevelTwoTextNode" presStyleLbl="node4" presStyleIdx="4" presStyleCnt="76">
        <dgm:presLayoutVars>
          <dgm:chPref val="3"/>
        </dgm:presLayoutVars>
      </dgm:prSet>
      <dgm:spPr/>
    </dgm:pt>
    <dgm:pt modelId="{AA9540CD-FADE-41DD-8D0E-32A445C8F4DA}" type="pres">
      <dgm:prSet presAssocID="{A445E6B8-3C72-4D94-98AC-2E4A27E20D90}" presName="level3hierChild" presStyleCnt="0"/>
      <dgm:spPr/>
    </dgm:pt>
    <dgm:pt modelId="{769DB68C-9C10-406B-84DF-ABF7226B3A35}" type="pres">
      <dgm:prSet presAssocID="{017DD49E-B2FD-4A9D-9066-007FCCC94F29}" presName="conn2-1" presStyleLbl="parChTrans1D4" presStyleIdx="5" presStyleCnt="76"/>
      <dgm:spPr/>
    </dgm:pt>
    <dgm:pt modelId="{89600F72-9F68-41B1-9BE3-675233F3977A}" type="pres">
      <dgm:prSet presAssocID="{017DD49E-B2FD-4A9D-9066-007FCCC94F29}" presName="connTx" presStyleLbl="parChTrans1D4" presStyleIdx="5" presStyleCnt="76"/>
      <dgm:spPr/>
    </dgm:pt>
    <dgm:pt modelId="{09AC3CEA-C4DB-481D-A78A-AA339F883A8D}" type="pres">
      <dgm:prSet presAssocID="{9311BD07-AC22-445C-B920-ED4C11DB3961}" presName="root2" presStyleCnt="0"/>
      <dgm:spPr/>
    </dgm:pt>
    <dgm:pt modelId="{C5E9F795-AF31-4C65-BFD7-C3F1004F39B1}" type="pres">
      <dgm:prSet presAssocID="{9311BD07-AC22-445C-B920-ED4C11DB3961}" presName="LevelTwoTextNode" presStyleLbl="node4" presStyleIdx="5" presStyleCnt="76">
        <dgm:presLayoutVars>
          <dgm:chPref val="3"/>
        </dgm:presLayoutVars>
      </dgm:prSet>
      <dgm:spPr/>
    </dgm:pt>
    <dgm:pt modelId="{2F041991-870D-47EC-80CC-3756364DFAB1}" type="pres">
      <dgm:prSet presAssocID="{9311BD07-AC22-445C-B920-ED4C11DB3961}" presName="level3hierChild" presStyleCnt="0"/>
      <dgm:spPr/>
    </dgm:pt>
    <dgm:pt modelId="{21BAB84D-F567-4AAC-AA79-C4C95FE23E11}" type="pres">
      <dgm:prSet presAssocID="{98725C83-9825-4E9F-9C20-A918058BFA71}" presName="conn2-1" presStyleLbl="parChTrans1D4" presStyleIdx="6" presStyleCnt="76"/>
      <dgm:spPr/>
    </dgm:pt>
    <dgm:pt modelId="{B1389DBC-8263-4012-804E-F5B88D5FF5CE}" type="pres">
      <dgm:prSet presAssocID="{98725C83-9825-4E9F-9C20-A918058BFA71}" presName="connTx" presStyleLbl="parChTrans1D4" presStyleIdx="6" presStyleCnt="76"/>
      <dgm:spPr/>
    </dgm:pt>
    <dgm:pt modelId="{CD410082-6ABF-4A70-BFB2-3DA3C6699763}" type="pres">
      <dgm:prSet presAssocID="{72ACC820-DDFF-46F1-91E2-9DDAE725B916}" presName="root2" presStyleCnt="0"/>
      <dgm:spPr/>
    </dgm:pt>
    <dgm:pt modelId="{21694B9B-94C0-4F2A-BFD2-128C0036A2F3}" type="pres">
      <dgm:prSet presAssocID="{72ACC820-DDFF-46F1-91E2-9DDAE725B916}" presName="LevelTwoTextNode" presStyleLbl="node4" presStyleIdx="6" presStyleCnt="76">
        <dgm:presLayoutVars>
          <dgm:chPref val="3"/>
        </dgm:presLayoutVars>
      </dgm:prSet>
      <dgm:spPr/>
    </dgm:pt>
    <dgm:pt modelId="{D0EF24F8-E8C1-4020-A94E-DB9B5B70A4D3}" type="pres">
      <dgm:prSet presAssocID="{72ACC820-DDFF-46F1-91E2-9DDAE725B916}" presName="level3hierChild" presStyleCnt="0"/>
      <dgm:spPr/>
    </dgm:pt>
    <dgm:pt modelId="{C86872D2-08C7-46A3-9B8A-1BD4B85AD1C9}" type="pres">
      <dgm:prSet presAssocID="{30217EB4-D888-443F-B5FB-A255B05FE476}" presName="conn2-1" presStyleLbl="parChTrans1D4" presStyleIdx="7" presStyleCnt="76"/>
      <dgm:spPr/>
    </dgm:pt>
    <dgm:pt modelId="{6FD8B483-1F9F-48A7-98F9-AF05DAD98F13}" type="pres">
      <dgm:prSet presAssocID="{30217EB4-D888-443F-B5FB-A255B05FE476}" presName="connTx" presStyleLbl="parChTrans1D4" presStyleIdx="7" presStyleCnt="76"/>
      <dgm:spPr/>
    </dgm:pt>
    <dgm:pt modelId="{841BCDA1-7BE7-4017-8F93-A7311542960C}" type="pres">
      <dgm:prSet presAssocID="{54D375AC-7039-484D-837C-5879E56E5F67}" presName="root2" presStyleCnt="0"/>
      <dgm:spPr/>
    </dgm:pt>
    <dgm:pt modelId="{921583A4-A83D-4748-BDDA-AED0690D348A}" type="pres">
      <dgm:prSet presAssocID="{54D375AC-7039-484D-837C-5879E56E5F67}" presName="LevelTwoTextNode" presStyleLbl="node4" presStyleIdx="7" presStyleCnt="76">
        <dgm:presLayoutVars>
          <dgm:chPref val="3"/>
        </dgm:presLayoutVars>
      </dgm:prSet>
      <dgm:spPr/>
    </dgm:pt>
    <dgm:pt modelId="{25CBC793-9BC1-43CC-94A1-2BD673728E6E}" type="pres">
      <dgm:prSet presAssocID="{54D375AC-7039-484D-837C-5879E56E5F67}" presName="level3hierChild" presStyleCnt="0"/>
      <dgm:spPr/>
    </dgm:pt>
    <dgm:pt modelId="{1FFF8CC0-B5E5-4704-A8E8-FF19315F36BD}" type="pres">
      <dgm:prSet presAssocID="{312C7B05-8D0D-4241-AFD3-2F58A2CB263C}" presName="conn2-1" presStyleLbl="parChTrans1D4" presStyleIdx="8" presStyleCnt="76"/>
      <dgm:spPr/>
    </dgm:pt>
    <dgm:pt modelId="{DDD2B36F-CDCE-4B74-9C35-4AF160DD88DD}" type="pres">
      <dgm:prSet presAssocID="{312C7B05-8D0D-4241-AFD3-2F58A2CB263C}" presName="connTx" presStyleLbl="parChTrans1D4" presStyleIdx="8" presStyleCnt="76"/>
      <dgm:spPr/>
    </dgm:pt>
    <dgm:pt modelId="{E029D1FB-DBCD-4939-9756-3EA150C65AF3}" type="pres">
      <dgm:prSet presAssocID="{C6032DE0-A07C-4F58-97E0-9DCCD92142B1}" presName="root2" presStyleCnt="0"/>
      <dgm:spPr/>
    </dgm:pt>
    <dgm:pt modelId="{AFA673E4-44D0-4FC5-B7CD-3D58DED763A5}" type="pres">
      <dgm:prSet presAssocID="{C6032DE0-A07C-4F58-97E0-9DCCD92142B1}" presName="LevelTwoTextNode" presStyleLbl="node4" presStyleIdx="8" presStyleCnt="76">
        <dgm:presLayoutVars>
          <dgm:chPref val="3"/>
        </dgm:presLayoutVars>
      </dgm:prSet>
      <dgm:spPr/>
    </dgm:pt>
    <dgm:pt modelId="{0910C06C-BDCD-46A5-BD30-78F2F96EF7D4}" type="pres">
      <dgm:prSet presAssocID="{C6032DE0-A07C-4F58-97E0-9DCCD92142B1}" presName="level3hierChild" presStyleCnt="0"/>
      <dgm:spPr/>
    </dgm:pt>
    <dgm:pt modelId="{B1DB1953-27BD-43BE-B295-518AC3812341}" type="pres">
      <dgm:prSet presAssocID="{9B2D71AE-E0F0-4D59-BC0F-F40225D9DC94}" presName="conn2-1" presStyleLbl="parChTrans1D4" presStyleIdx="9" presStyleCnt="76"/>
      <dgm:spPr/>
    </dgm:pt>
    <dgm:pt modelId="{112CDE75-8801-4360-AC51-6986D2BC7A3E}" type="pres">
      <dgm:prSet presAssocID="{9B2D71AE-E0F0-4D59-BC0F-F40225D9DC94}" presName="connTx" presStyleLbl="parChTrans1D4" presStyleIdx="9" presStyleCnt="76"/>
      <dgm:spPr/>
    </dgm:pt>
    <dgm:pt modelId="{0284F679-3F37-49CB-8A25-2D56C7B13791}" type="pres">
      <dgm:prSet presAssocID="{50E84A30-4CE1-4003-BAAA-929BDF0B3572}" presName="root2" presStyleCnt="0"/>
      <dgm:spPr/>
    </dgm:pt>
    <dgm:pt modelId="{030705FC-3D97-4EBC-9909-0E2CCD421282}" type="pres">
      <dgm:prSet presAssocID="{50E84A30-4CE1-4003-BAAA-929BDF0B3572}" presName="LevelTwoTextNode" presStyleLbl="node4" presStyleIdx="9" presStyleCnt="76">
        <dgm:presLayoutVars>
          <dgm:chPref val="3"/>
        </dgm:presLayoutVars>
      </dgm:prSet>
      <dgm:spPr/>
    </dgm:pt>
    <dgm:pt modelId="{31E346B4-0938-411C-A488-A27DC44F604C}" type="pres">
      <dgm:prSet presAssocID="{50E84A30-4CE1-4003-BAAA-929BDF0B3572}" presName="level3hierChild" presStyleCnt="0"/>
      <dgm:spPr/>
    </dgm:pt>
    <dgm:pt modelId="{DE83DC1B-A600-45F8-A1D1-C5070CEFC75F}" type="pres">
      <dgm:prSet presAssocID="{642E43F4-65B9-415B-983E-CA5C7D75D801}" presName="conn2-1" presStyleLbl="parChTrans1D4" presStyleIdx="10" presStyleCnt="76"/>
      <dgm:spPr/>
    </dgm:pt>
    <dgm:pt modelId="{DBCA19F4-0425-45B8-8BEB-56218D8E6535}" type="pres">
      <dgm:prSet presAssocID="{642E43F4-65B9-415B-983E-CA5C7D75D801}" presName="connTx" presStyleLbl="parChTrans1D4" presStyleIdx="10" presStyleCnt="76"/>
      <dgm:spPr/>
    </dgm:pt>
    <dgm:pt modelId="{31C47793-9C63-46A8-92B4-EE09704145D0}" type="pres">
      <dgm:prSet presAssocID="{534ACAD3-27A4-46BA-96E0-AD07FE60C92D}" presName="root2" presStyleCnt="0"/>
      <dgm:spPr/>
    </dgm:pt>
    <dgm:pt modelId="{472207FC-D0A8-48CA-ADDE-1CAF5F431036}" type="pres">
      <dgm:prSet presAssocID="{534ACAD3-27A4-46BA-96E0-AD07FE60C92D}" presName="LevelTwoTextNode" presStyleLbl="node4" presStyleIdx="10" presStyleCnt="76">
        <dgm:presLayoutVars>
          <dgm:chPref val="3"/>
        </dgm:presLayoutVars>
      </dgm:prSet>
      <dgm:spPr/>
    </dgm:pt>
    <dgm:pt modelId="{A5C4150D-8AA6-4C30-9CB0-341D1CC2143C}" type="pres">
      <dgm:prSet presAssocID="{534ACAD3-27A4-46BA-96E0-AD07FE60C92D}" presName="level3hierChild" presStyleCnt="0"/>
      <dgm:spPr/>
    </dgm:pt>
    <dgm:pt modelId="{3B721418-ED9E-469A-882F-A042AA9EC3B6}" type="pres">
      <dgm:prSet presAssocID="{341B89A7-3524-44FD-8847-19D0306AC5E1}" presName="conn2-1" presStyleLbl="parChTrans1D4" presStyleIdx="11" presStyleCnt="76"/>
      <dgm:spPr/>
    </dgm:pt>
    <dgm:pt modelId="{034E29E0-943A-4634-9E82-22E2A9D60EDC}" type="pres">
      <dgm:prSet presAssocID="{341B89A7-3524-44FD-8847-19D0306AC5E1}" presName="connTx" presStyleLbl="parChTrans1D4" presStyleIdx="11" presStyleCnt="76"/>
      <dgm:spPr/>
    </dgm:pt>
    <dgm:pt modelId="{0B705632-D968-4B71-BAA7-4541E16BACDC}" type="pres">
      <dgm:prSet presAssocID="{CD1F4A6A-8990-40CB-86F6-CA1808953D4E}" presName="root2" presStyleCnt="0"/>
      <dgm:spPr/>
    </dgm:pt>
    <dgm:pt modelId="{3E32C7D1-0190-4DD0-865B-FA56291B61E2}" type="pres">
      <dgm:prSet presAssocID="{CD1F4A6A-8990-40CB-86F6-CA1808953D4E}" presName="LevelTwoTextNode" presStyleLbl="node4" presStyleIdx="11" presStyleCnt="76">
        <dgm:presLayoutVars>
          <dgm:chPref val="3"/>
        </dgm:presLayoutVars>
      </dgm:prSet>
      <dgm:spPr/>
    </dgm:pt>
    <dgm:pt modelId="{4F6B9507-BFCF-4D74-8A40-1B154B033075}" type="pres">
      <dgm:prSet presAssocID="{CD1F4A6A-8990-40CB-86F6-CA1808953D4E}" presName="level3hierChild" presStyleCnt="0"/>
      <dgm:spPr/>
    </dgm:pt>
    <dgm:pt modelId="{145EE429-FF65-467F-8146-D3F2F2DDA1D1}" type="pres">
      <dgm:prSet presAssocID="{6C01FD0B-8D9B-4AD7-9E45-BF6392DCA049}" presName="conn2-1" presStyleLbl="parChTrans1D4" presStyleIdx="12" presStyleCnt="76"/>
      <dgm:spPr/>
    </dgm:pt>
    <dgm:pt modelId="{A5DA03AB-B460-4142-887A-5C4240FB991D}" type="pres">
      <dgm:prSet presAssocID="{6C01FD0B-8D9B-4AD7-9E45-BF6392DCA049}" presName="connTx" presStyleLbl="parChTrans1D4" presStyleIdx="12" presStyleCnt="76"/>
      <dgm:spPr/>
    </dgm:pt>
    <dgm:pt modelId="{6DF1F53A-869E-4A19-BC97-549F076E5478}" type="pres">
      <dgm:prSet presAssocID="{162F46F2-F469-4EB6-9C48-3D0EF97B420E}" presName="root2" presStyleCnt="0"/>
      <dgm:spPr/>
    </dgm:pt>
    <dgm:pt modelId="{7AE5DA2B-308B-4CA5-8407-9A880030A0CD}" type="pres">
      <dgm:prSet presAssocID="{162F46F2-F469-4EB6-9C48-3D0EF97B420E}" presName="LevelTwoTextNode" presStyleLbl="node4" presStyleIdx="12" presStyleCnt="76">
        <dgm:presLayoutVars>
          <dgm:chPref val="3"/>
        </dgm:presLayoutVars>
      </dgm:prSet>
      <dgm:spPr/>
    </dgm:pt>
    <dgm:pt modelId="{AF137A92-50D9-4DB6-9237-DC926DA62905}" type="pres">
      <dgm:prSet presAssocID="{162F46F2-F469-4EB6-9C48-3D0EF97B420E}" presName="level3hierChild" presStyleCnt="0"/>
      <dgm:spPr/>
    </dgm:pt>
    <dgm:pt modelId="{DCD5A6CA-1366-4A49-93B3-3DFAE1809B06}" type="pres">
      <dgm:prSet presAssocID="{142A8C57-C720-4368-92BD-1FD39CB197E7}" presName="conn2-1" presStyleLbl="parChTrans1D4" presStyleIdx="13" presStyleCnt="76"/>
      <dgm:spPr/>
    </dgm:pt>
    <dgm:pt modelId="{C5E99819-5C9D-47E3-A414-1C19C6057EAA}" type="pres">
      <dgm:prSet presAssocID="{142A8C57-C720-4368-92BD-1FD39CB197E7}" presName="connTx" presStyleLbl="parChTrans1D4" presStyleIdx="13" presStyleCnt="76"/>
      <dgm:spPr/>
    </dgm:pt>
    <dgm:pt modelId="{6BB5A9FD-6E52-4B40-B2B9-7B170773F3DD}" type="pres">
      <dgm:prSet presAssocID="{EE2DE24E-D607-4218-82ED-DC126255C680}" presName="root2" presStyleCnt="0"/>
      <dgm:spPr/>
    </dgm:pt>
    <dgm:pt modelId="{54618DBF-0D8C-4B5E-93E7-4C37FCFC0C69}" type="pres">
      <dgm:prSet presAssocID="{EE2DE24E-D607-4218-82ED-DC126255C680}" presName="LevelTwoTextNode" presStyleLbl="node4" presStyleIdx="13" presStyleCnt="76">
        <dgm:presLayoutVars>
          <dgm:chPref val="3"/>
        </dgm:presLayoutVars>
      </dgm:prSet>
      <dgm:spPr/>
    </dgm:pt>
    <dgm:pt modelId="{A5487648-F51D-472B-9074-618C8540302B}" type="pres">
      <dgm:prSet presAssocID="{EE2DE24E-D607-4218-82ED-DC126255C680}" presName="level3hierChild" presStyleCnt="0"/>
      <dgm:spPr/>
    </dgm:pt>
    <dgm:pt modelId="{7D9544C0-9FF8-41E3-8D9C-140AB83BE7EF}" type="pres">
      <dgm:prSet presAssocID="{41979DCC-6141-4034-93F5-06B8EB01193E}" presName="conn2-1" presStyleLbl="parChTrans1D4" presStyleIdx="14" presStyleCnt="76"/>
      <dgm:spPr/>
    </dgm:pt>
    <dgm:pt modelId="{F4AFE74F-E552-4BF2-9CAB-9B496EFB4C2A}" type="pres">
      <dgm:prSet presAssocID="{41979DCC-6141-4034-93F5-06B8EB01193E}" presName="connTx" presStyleLbl="parChTrans1D4" presStyleIdx="14" presStyleCnt="76"/>
      <dgm:spPr/>
    </dgm:pt>
    <dgm:pt modelId="{30FC7A5F-0C60-4CF6-9682-46331EC7E69A}" type="pres">
      <dgm:prSet presAssocID="{44DBC31A-21FD-4DEE-B392-F7808176C946}" presName="root2" presStyleCnt="0"/>
      <dgm:spPr/>
    </dgm:pt>
    <dgm:pt modelId="{CB665CBD-EB53-465E-9342-0A07185D7F3C}" type="pres">
      <dgm:prSet presAssocID="{44DBC31A-21FD-4DEE-B392-F7808176C946}" presName="LevelTwoTextNode" presStyleLbl="node4" presStyleIdx="14" presStyleCnt="76">
        <dgm:presLayoutVars>
          <dgm:chPref val="3"/>
        </dgm:presLayoutVars>
      </dgm:prSet>
      <dgm:spPr/>
    </dgm:pt>
    <dgm:pt modelId="{A84253B4-E5F8-4020-BC36-AD7C315BEBBB}" type="pres">
      <dgm:prSet presAssocID="{44DBC31A-21FD-4DEE-B392-F7808176C946}" presName="level3hierChild" presStyleCnt="0"/>
      <dgm:spPr/>
    </dgm:pt>
    <dgm:pt modelId="{0A1B0DAF-12AA-4E2E-A92A-BF4A9813019A}" type="pres">
      <dgm:prSet presAssocID="{D3970B7E-B262-470E-A670-B7108A2AA607}" presName="conn2-1" presStyleLbl="parChTrans1D4" presStyleIdx="15" presStyleCnt="76"/>
      <dgm:spPr/>
    </dgm:pt>
    <dgm:pt modelId="{014FFA41-E461-4541-8FFF-1CA597ABF41A}" type="pres">
      <dgm:prSet presAssocID="{D3970B7E-B262-470E-A670-B7108A2AA607}" presName="connTx" presStyleLbl="parChTrans1D4" presStyleIdx="15" presStyleCnt="76"/>
      <dgm:spPr/>
    </dgm:pt>
    <dgm:pt modelId="{401765F0-5D3E-4635-B5F6-736306A8753A}" type="pres">
      <dgm:prSet presAssocID="{BBD7F936-4567-47BF-A1F5-053F7A74C3A0}" presName="root2" presStyleCnt="0"/>
      <dgm:spPr/>
    </dgm:pt>
    <dgm:pt modelId="{FE00E1CB-9BF1-4CC0-A5E7-C558D42D7CCF}" type="pres">
      <dgm:prSet presAssocID="{BBD7F936-4567-47BF-A1F5-053F7A74C3A0}" presName="LevelTwoTextNode" presStyleLbl="node4" presStyleIdx="15" presStyleCnt="76">
        <dgm:presLayoutVars>
          <dgm:chPref val="3"/>
        </dgm:presLayoutVars>
      </dgm:prSet>
      <dgm:spPr/>
    </dgm:pt>
    <dgm:pt modelId="{D4BF140A-4905-4684-A75C-61AB3E7CA349}" type="pres">
      <dgm:prSet presAssocID="{BBD7F936-4567-47BF-A1F5-053F7A74C3A0}" presName="level3hierChild" presStyleCnt="0"/>
      <dgm:spPr/>
    </dgm:pt>
    <dgm:pt modelId="{4E7503EB-2B7F-4A8E-BC7C-03331A376F01}" type="pres">
      <dgm:prSet presAssocID="{258C7274-D936-4FD2-AB45-D5BBECC5288D}" presName="conn2-1" presStyleLbl="parChTrans1D4" presStyleIdx="16" presStyleCnt="76"/>
      <dgm:spPr/>
    </dgm:pt>
    <dgm:pt modelId="{26B5B700-C9D8-459A-9945-2D8011AA6047}" type="pres">
      <dgm:prSet presAssocID="{258C7274-D936-4FD2-AB45-D5BBECC5288D}" presName="connTx" presStyleLbl="parChTrans1D4" presStyleIdx="16" presStyleCnt="76"/>
      <dgm:spPr/>
    </dgm:pt>
    <dgm:pt modelId="{EA830F8E-7B88-4B0F-8E0D-96B286E9C47D}" type="pres">
      <dgm:prSet presAssocID="{F87C74AE-4591-482B-89DE-26ADAC4E83E7}" presName="root2" presStyleCnt="0"/>
      <dgm:spPr/>
    </dgm:pt>
    <dgm:pt modelId="{CF6909CC-5F61-4CBB-9116-28462080F3B6}" type="pres">
      <dgm:prSet presAssocID="{F87C74AE-4591-482B-89DE-26ADAC4E83E7}" presName="LevelTwoTextNode" presStyleLbl="node4" presStyleIdx="16" presStyleCnt="76">
        <dgm:presLayoutVars>
          <dgm:chPref val="3"/>
        </dgm:presLayoutVars>
      </dgm:prSet>
      <dgm:spPr/>
    </dgm:pt>
    <dgm:pt modelId="{74986D32-4ACE-4F12-BD42-DBF25D432E5A}" type="pres">
      <dgm:prSet presAssocID="{F87C74AE-4591-482B-89DE-26ADAC4E83E7}" presName="level3hierChild" presStyleCnt="0"/>
      <dgm:spPr/>
    </dgm:pt>
    <dgm:pt modelId="{D269972C-5B2E-477C-880B-8955590B9B93}" type="pres">
      <dgm:prSet presAssocID="{CB982235-7B8D-4656-9AA6-9C8AA5486430}" presName="conn2-1" presStyleLbl="parChTrans1D4" presStyleIdx="17" presStyleCnt="76"/>
      <dgm:spPr/>
    </dgm:pt>
    <dgm:pt modelId="{4EE34AC7-A417-4B77-A712-4355EB3E2DD6}" type="pres">
      <dgm:prSet presAssocID="{CB982235-7B8D-4656-9AA6-9C8AA5486430}" presName="connTx" presStyleLbl="parChTrans1D4" presStyleIdx="17" presStyleCnt="76"/>
      <dgm:spPr/>
    </dgm:pt>
    <dgm:pt modelId="{24938045-E307-41E8-B297-1A274398EFE5}" type="pres">
      <dgm:prSet presAssocID="{7E6D0A34-B675-4D30-92FF-5C260A1A507E}" presName="root2" presStyleCnt="0"/>
      <dgm:spPr/>
    </dgm:pt>
    <dgm:pt modelId="{5879E911-2F4B-45C7-AE3A-E08FD7A19BD2}" type="pres">
      <dgm:prSet presAssocID="{7E6D0A34-B675-4D30-92FF-5C260A1A507E}" presName="LevelTwoTextNode" presStyleLbl="node4" presStyleIdx="17" presStyleCnt="76">
        <dgm:presLayoutVars>
          <dgm:chPref val="3"/>
        </dgm:presLayoutVars>
      </dgm:prSet>
      <dgm:spPr/>
    </dgm:pt>
    <dgm:pt modelId="{95554143-7A6E-4E33-87FF-39B44F683D3B}" type="pres">
      <dgm:prSet presAssocID="{7E6D0A34-B675-4D30-92FF-5C260A1A507E}" presName="level3hierChild" presStyleCnt="0"/>
      <dgm:spPr/>
    </dgm:pt>
    <dgm:pt modelId="{FAB837DE-E87A-4FD7-8508-04E6FE66BA27}" type="pres">
      <dgm:prSet presAssocID="{24AB32D6-1157-40E7-B834-0E6DBE980708}" presName="conn2-1" presStyleLbl="parChTrans1D4" presStyleIdx="18" presStyleCnt="76"/>
      <dgm:spPr/>
    </dgm:pt>
    <dgm:pt modelId="{344428A8-8C54-44CE-8988-C37EFD9736E5}" type="pres">
      <dgm:prSet presAssocID="{24AB32D6-1157-40E7-B834-0E6DBE980708}" presName="connTx" presStyleLbl="parChTrans1D4" presStyleIdx="18" presStyleCnt="76"/>
      <dgm:spPr/>
    </dgm:pt>
    <dgm:pt modelId="{1E95BE72-6D3E-4B0C-B29F-82D7F81D7B6D}" type="pres">
      <dgm:prSet presAssocID="{F4F73E1C-BE6A-4C2A-A949-E9426F79D2D0}" presName="root2" presStyleCnt="0"/>
      <dgm:spPr/>
    </dgm:pt>
    <dgm:pt modelId="{F8BA739B-1F9D-4C7D-98BE-DC4943BB01A8}" type="pres">
      <dgm:prSet presAssocID="{F4F73E1C-BE6A-4C2A-A949-E9426F79D2D0}" presName="LevelTwoTextNode" presStyleLbl="node4" presStyleIdx="18" presStyleCnt="76">
        <dgm:presLayoutVars>
          <dgm:chPref val="3"/>
        </dgm:presLayoutVars>
      </dgm:prSet>
      <dgm:spPr/>
    </dgm:pt>
    <dgm:pt modelId="{FE83C84C-BF76-47D2-A906-FA7312ED6FEA}" type="pres">
      <dgm:prSet presAssocID="{F4F73E1C-BE6A-4C2A-A949-E9426F79D2D0}" presName="level3hierChild" presStyleCnt="0"/>
      <dgm:spPr/>
    </dgm:pt>
    <dgm:pt modelId="{BD929C19-3506-4F70-BF01-157065B49836}" type="pres">
      <dgm:prSet presAssocID="{3A66835B-EBBF-4A26-85BF-E1809AB784B1}" presName="conn2-1" presStyleLbl="parChTrans1D4" presStyleIdx="19" presStyleCnt="76"/>
      <dgm:spPr/>
    </dgm:pt>
    <dgm:pt modelId="{7E6F1178-A0ED-40A4-80C2-D665DE3CA3DE}" type="pres">
      <dgm:prSet presAssocID="{3A66835B-EBBF-4A26-85BF-E1809AB784B1}" presName="connTx" presStyleLbl="parChTrans1D4" presStyleIdx="19" presStyleCnt="76"/>
      <dgm:spPr/>
    </dgm:pt>
    <dgm:pt modelId="{6127E277-87A2-47B1-B3D5-E899D20F6433}" type="pres">
      <dgm:prSet presAssocID="{69195BF8-4D4A-413A-9757-F352F1A28FFC}" presName="root2" presStyleCnt="0"/>
      <dgm:spPr/>
    </dgm:pt>
    <dgm:pt modelId="{002D3A82-2A4F-4A25-94E5-26278E2E0F1B}" type="pres">
      <dgm:prSet presAssocID="{69195BF8-4D4A-413A-9757-F352F1A28FFC}" presName="LevelTwoTextNode" presStyleLbl="node4" presStyleIdx="19" presStyleCnt="76">
        <dgm:presLayoutVars>
          <dgm:chPref val="3"/>
        </dgm:presLayoutVars>
      </dgm:prSet>
      <dgm:spPr/>
    </dgm:pt>
    <dgm:pt modelId="{7EA0E9BA-A7BE-4085-B142-25D05AA54FC7}" type="pres">
      <dgm:prSet presAssocID="{69195BF8-4D4A-413A-9757-F352F1A28FFC}" presName="level3hierChild" presStyleCnt="0"/>
      <dgm:spPr/>
    </dgm:pt>
    <dgm:pt modelId="{7326C732-F8F9-42C9-B475-8DD36D10DD24}" type="pres">
      <dgm:prSet presAssocID="{5294DC28-C98F-478F-8C57-0D93C8BE72B2}" presName="conn2-1" presStyleLbl="parChTrans1D4" presStyleIdx="20" presStyleCnt="76"/>
      <dgm:spPr/>
    </dgm:pt>
    <dgm:pt modelId="{53F68BCB-5B16-4F88-B0CC-45F4C778FF52}" type="pres">
      <dgm:prSet presAssocID="{5294DC28-C98F-478F-8C57-0D93C8BE72B2}" presName="connTx" presStyleLbl="parChTrans1D4" presStyleIdx="20" presStyleCnt="76"/>
      <dgm:spPr/>
    </dgm:pt>
    <dgm:pt modelId="{A7A9050F-3E58-47C3-87C9-DD5BBDBE78EE}" type="pres">
      <dgm:prSet presAssocID="{1F086684-27E9-4CFA-8B6C-BBC25AE19650}" presName="root2" presStyleCnt="0"/>
      <dgm:spPr/>
    </dgm:pt>
    <dgm:pt modelId="{823379AE-2D3E-4AAB-BDFD-D68B918D172B}" type="pres">
      <dgm:prSet presAssocID="{1F086684-27E9-4CFA-8B6C-BBC25AE19650}" presName="LevelTwoTextNode" presStyleLbl="node4" presStyleIdx="20" presStyleCnt="76">
        <dgm:presLayoutVars>
          <dgm:chPref val="3"/>
        </dgm:presLayoutVars>
      </dgm:prSet>
      <dgm:spPr/>
    </dgm:pt>
    <dgm:pt modelId="{5E785354-B2F7-49C7-88A6-FC9DA390D764}" type="pres">
      <dgm:prSet presAssocID="{1F086684-27E9-4CFA-8B6C-BBC25AE19650}" presName="level3hierChild" presStyleCnt="0"/>
      <dgm:spPr/>
    </dgm:pt>
    <dgm:pt modelId="{B6A329B0-9945-4E55-BDD8-A281BC6D5282}" type="pres">
      <dgm:prSet presAssocID="{7A00E960-452A-4CB0-9AB5-6F41E3E03BB7}" presName="conn2-1" presStyleLbl="parChTrans1D4" presStyleIdx="21" presStyleCnt="76"/>
      <dgm:spPr/>
    </dgm:pt>
    <dgm:pt modelId="{2DFB2D27-2590-4D30-8436-5DCF53B870F4}" type="pres">
      <dgm:prSet presAssocID="{7A00E960-452A-4CB0-9AB5-6F41E3E03BB7}" presName="connTx" presStyleLbl="parChTrans1D4" presStyleIdx="21" presStyleCnt="76"/>
      <dgm:spPr/>
    </dgm:pt>
    <dgm:pt modelId="{78EA2E0A-F21E-4F26-8F1A-27A1B18A3FD7}" type="pres">
      <dgm:prSet presAssocID="{1C2CB421-29C9-44D3-9557-B1853F6D37A5}" presName="root2" presStyleCnt="0"/>
      <dgm:spPr/>
    </dgm:pt>
    <dgm:pt modelId="{776461AE-5412-45FF-A6D5-8A9FB83F578D}" type="pres">
      <dgm:prSet presAssocID="{1C2CB421-29C9-44D3-9557-B1853F6D37A5}" presName="LevelTwoTextNode" presStyleLbl="node4" presStyleIdx="21" presStyleCnt="76">
        <dgm:presLayoutVars>
          <dgm:chPref val="3"/>
        </dgm:presLayoutVars>
      </dgm:prSet>
      <dgm:spPr/>
    </dgm:pt>
    <dgm:pt modelId="{D9056719-5BFA-47EC-AAEB-1931A5EE8BCD}" type="pres">
      <dgm:prSet presAssocID="{1C2CB421-29C9-44D3-9557-B1853F6D37A5}" presName="level3hierChild" presStyleCnt="0"/>
      <dgm:spPr/>
    </dgm:pt>
    <dgm:pt modelId="{7E27029E-DC03-4AF1-BAB0-E89492087063}" type="pres">
      <dgm:prSet presAssocID="{28662B82-91FE-4464-B470-88C38CDA71B8}" presName="conn2-1" presStyleLbl="parChTrans1D4" presStyleIdx="22" presStyleCnt="76"/>
      <dgm:spPr/>
    </dgm:pt>
    <dgm:pt modelId="{3168EAF9-4C8F-47FC-A46A-DD275F4178F3}" type="pres">
      <dgm:prSet presAssocID="{28662B82-91FE-4464-B470-88C38CDA71B8}" presName="connTx" presStyleLbl="parChTrans1D4" presStyleIdx="22" presStyleCnt="76"/>
      <dgm:spPr/>
    </dgm:pt>
    <dgm:pt modelId="{A9DCC919-E07F-412D-83EC-0DCD987836C2}" type="pres">
      <dgm:prSet presAssocID="{297F27A9-AF24-47A7-8FB2-3AE7708D36D9}" presName="root2" presStyleCnt="0"/>
      <dgm:spPr/>
    </dgm:pt>
    <dgm:pt modelId="{6A6FC957-BF10-4DBA-9F16-3E31A4541C91}" type="pres">
      <dgm:prSet presAssocID="{297F27A9-AF24-47A7-8FB2-3AE7708D36D9}" presName="LevelTwoTextNode" presStyleLbl="node4" presStyleIdx="22" presStyleCnt="76">
        <dgm:presLayoutVars>
          <dgm:chPref val="3"/>
        </dgm:presLayoutVars>
      </dgm:prSet>
      <dgm:spPr/>
    </dgm:pt>
    <dgm:pt modelId="{9F6BB2C9-FF25-4A6E-BFCE-78E1F91516AB}" type="pres">
      <dgm:prSet presAssocID="{297F27A9-AF24-47A7-8FB2-3AE7708D36D9}" presName="level3hierChild" presStyleCnt="0"/>
      <dgm:spPr/>
    </dgm:pt>
    <dgm:pt modelId="{BAE3E8A5-5C7B-4960-AB32-D71C11688B2C}" type="pres">
      <dgm:prSet presAssocID="{431730D2-1464-493E-9F0E-31AAA390FC6C}" presName="conn2-1" presStyleLbl="parChTrans1D4" presStyleIdx="23" presStyleCnt="76"/>
      <dgm:spPr/>
    </dgm:pt>
    <dgm:pt modelId="{B35D94F0-53E5-4AB6-B1E6-164735A09C53}" type="pres">
      <dgm:prSet presAssocID="{431730D2-1464-493E-9F0E-31AAA390FC6C}" presName="connTx" presStyleLbl="parChTrans1D4" presStyleIdx="23" presStyleCnt="76"/>
      <dgm:spPr/>
    </dgm:pt>
    <dgm:pt modelId="{57BBDC23-5515-49E1-ACFE-30AA66CDF769}" type="pres">
      <dgm:prSet presAssocID="{FE150378-8AE0-41D5-A9D0-183EAEC28591}" presName="root2" presStyleCnt="0"/>
      <dgm:spPr/>
    </dgm:pt>
    <dgm:pt modelId="{91585094-837F-4F52-9453-36A4634D1BC8}" type="pres">
      <dgm:prSet presAssocID="{FE150378-8AE0-41D5-A9D0-183EAEC28591}" presName="LevelTwoTextNode" presStyleLbl="node4" presStyleIdx="23" presStyleCnt="76">
        <dgm:presLayoutVars>
          <dgm:chPref val="3"/>
        </dgm:presLayoutVars>
      </dgm:prSet>
      <dgm:spPr/>
    </dgm:pt>
    <dgm:pt modelId="{9ED952AD-55EF-4F5F-AAF1-A88B5134E9C7}" type="pres">
      <dgm:prSet presAssocID="{FE150378-8AE0-41D5-A9D0-183EAEC28591}" presName="level3hierChild" presStyleCnt="0"/>
      <dgm:spPr/>
    </dgm:pt>
    <dgm:pt modelId="{A4DF1F9B-2996-4CBF-9B1A-37893E0C2A56}" type="pres">
      <dgm:prSet presAssocID="{05F000D5-7C16-4BF8-8A06-6D954A8A378D}" presName="conn2-1" presStyleLbl="parChTrans1D4" presStyleIdx="24" presStyleCnt="76"/>
      <dgm:spPr/>
    </dgm:pt>
    <dgm:pt modelId="{09B83C37-2AA7-4DA1-A30B-C763CA5F183A}" type="pres">
      <dgm:prSet presAssocID="{05F000D5-7C16-4BF8-8A06-6D954A8A378D}" presName="connTx" presStyleLbl="parChTrans1D4" presStyleIdx="24" presStyleCnt="76"/>
      <dgm:spPr/>
    </dgm:pt>
    <dgm:pt modelId="{ADD5CCA0-E314-44B8-84EB-2A9A0924C847}" type="pres">
      <dgm:prSet presAssocID="{BE8A961E-2DFB-418A-8A2D-F148FB466779}" presName="root2" presStyleCnt="0"/>
      <dgm:spPr/>
    </dgm:pt>
    <dgm:pt modelId="{196DCC81-37D2-46DF-B9D8-C521E0997145}" type="pres">
      <dgm:prSet presAssocID="{BE8A961E-2DFB-418A-8A2D-F148FB466779}" presName="LevelTwoTextNode" presStyleLbl="node4" presStyleIdx="24" presStyleCnt="76">
        <dgm:presLayoutVars>
          <dgm:chPref val="3"/>
        </dgm:presLayoutVars>
      </dgm:prSet>
      <dgm:spPr/>
    </dgm:pt>
    <dgm:pt modelId="{22866D09-75D9-4CA5-BCDF-3C67C7B2D1EE}" type="pres">
      <dgm:prSet presAssocID="{BE8A961E-2DFB-418A-8A2D-F148FB466779}" presName="level3hierChild" presStyleCnt="0"/>
      <dgm:spPr/>
    </dgm:pt>
    <dgm:pt modelId="{9DD49D0E-5736-497A-A40C-6DF96C4E7BB7}" type="pres">
      <dgm:prSet presAssocID="{3CF32039-CE22-42C5-9120-D786A459153D}" presName="conn2-1" presStyleLbl="parChTrans1D4" presStyleIdx="25" presStyleCnt="76"/>
      <dgm:spPr/>
    </dgm:pt>
    <dgm:pt modelId="{F626DADC-5587-4188-9F25-A357A8DB15F6}" type="pres">
      <dgm:prSet presAssocID="{3CF32039-CE22-42C5-9120-D786A459153D}" presName="connTx" presStyleLbl="parChTrans1D4" presStyleIdx="25" presStyleCnt="76"/>
      <dgm:spPr/>
    </dgm:pt>
    <dgm:pt modelId="{99C14336-3E0D-4A51-ACA7-C7D615F8805B}" type="pres">
      <dgm:prSet presAssocID="{2BE7BA4A-C95C-4BE7-9DD1-CD84EDF1A70C}" presName="root2" presStyleCnt="0"/>
      <dgm:spPr/>
    </dgm:pt>
    <dgm:pt modelId="{25C01BD5-DB6A-4934-9CDB-6A21691D6556}" type="pres">
      <dgm:prSet presAssocID="{2BE7BA4A-C95C-4BE7-9DD1-CD84EDF1A70C}" presName="LevelTwoTextNode" presStyleLbl="node4" presStyleIdx="25" presStyleCnt="76">
        <dgm:presLayoutVars>
          <dgm:chPref val="3"/>
        </dgm:presLayoutVars>
      </dgm:prSet>
      <dgm:spPr/>
    </dgm:pt>
    <dgm:pt modelId="{ECF11703-9A77-4213-AFBE-D392BDEADFB8}" type="pres">
      <dgm:prSet presAssocID="{2BE7BA4A-C95C-4BE7-9DD1-CD84EDF1A70C}" presName="level3hierChild" presStyleCnt="0"/>
      <dgm:spPr/>
    </dgm:pt>
    <dgm:pt modelId="{DA20C5CB-76DF-4E98-A091-42296A15B67E}" type="pres">
      <dgm:prSet presAssocID="{7C815B6C-D094-49DC-A2EB-611A9EB6EF91}" presName="conn2-1" presStyleLbl="parChTrans1D2" presStyleIdx="1" presStyleCnt="3"/>
      <dgm:spPr/>
    </dgm:pt>
    <dgm:pt modelId="{879BDB64-F9A3-4BE2-8D75-603B6070C32E}" type="pres">
      <dgm:prSet presAssocID="{7C815B6C-D094-49DC-A2EB-611A9EB6EF91}" presName="connTx" presStyleLbl="parChTrans1D2" presStyleIdx="1" presStyleCnt="3"/>
      <dgm:spPr/>
    </dgm:pt>
    <dgm:pt modelId="{9E15B5BA-FF60-4B38-A879-77E8883DC64C}" type="pres">
      <dgm:prSet presAssocID="{84F53347-27F9-4D85-814D-1FE7026C7C55}" presName="root2" presStyleCnt="0"/>
      <dgm:spPr/>
    </dgm:pt>
    <dgm:pt modelId="{9CEEE332-A537-4D59-ACA7-3CE1A3825D8E}" type="pres">
      <dgm:prSet presAssocID="{84F53347-27F9-4D85-814D-1FE7026C7C55}" presName="LevelTwoTextNode" presStyleLbl="node2" presStyleIdx="1" presStyleCnt="3">
        <dgm:presLayoutVars>
          <dgm:chPref val="3"/>
        </dgm:presLayoutVars>
      </dgm:prSet>
      <dgm:spPr/>
    </dgm:pt>
    <dgm:pt modelId="{E90A4AD4-E1E1-4704-BB8E-CCE6FB7376DB}" type="pres">
      <dgm:prSet presAssocID="{84F53347-27F9-4D85-814D-1FE7026C7C55}" presName="level3hierChild" presStyleCnt="0"/>
      <dgm:spPr/>
    </dgm:pt>
    <dgm:pt modelId="{68DEB65C-7FE5-4C7A-BDBA-6C7733EFE797}" type="pres">
      <dgm:prSet presAssocID="{70599A2C-EE7C-4A2C-B6B8-15A6E8E952F4}" presName="conn2-1" presStyleLbl="parChTrans1D3" presStyleIdx="1" presStyleCnt="5"/>
      <dgm:spPr/>
    </dgm:pt>
    <dgm:pt modelId="{1910E3FD-9A95-414C-A1FE-78AC32060DB6}" type="pres">
      <dgm:prSet presAssocID="{70599A2C-EE7C-4A2C-B6B8-15A6E8E952F4}" presName="connTx" presStyleLbl="parChTrans1D3" presStyleIdx="1" presStyleCnt="5"/>
      <dgm:spPr/>
    </dgm:pt>
    <dgm:pt modelId="{CDF3116E-287D-4C2D-8DCE-E873FAC18986}" type="pres">
      <dgm:prSet presAssocID="{E08E71BE-0200-4FA8-B749-928F70BD4001}" presName="root2" presStyleCnt="0"/>
      <dgm:spPr/>
    </dgm:pt>
    <dgm:pt modelId="{BE568C46-4768-489B-9756-C892E97552F5}" type="pres">
      <dgm:prSet presAssocID="{E08E71BE-0200-4FA8-B749-928F70BD4001}" presName="LevelTwoTextNode" presStyleLbl="node3" presStyleIdx="1" presStyleCnt="5">
        <dgm:presLayoutVars>
          <dgm:chPref val="3"/>
        </dgm:presLayoutVars>
      </dgm:prSet>
      <dgm:spPr/>
    </dgm:pt>
    <dgm:pt modelId="{D2838491-E668-47BD-8DEE-303765964579}" type="pres">
      <dgm:prSet presAssocID="{E08E71BE-0200-4FA8-B749-928F70BD4001}" presName="level3hierChild" presStyleCnt="0"/>
      <dgm:spPr/>
    </dgm:pt>
    <dgm:pt modelId="{C2ECD8AF-5575-4262-9A37-BE07DD290A9B}" type="pres">
      <dgm:prSet presAssocID="{0E987D8E-C729-459E-8708-7AB85279BC88}" presName="conn2-1" presStyleLbl="parChTrans1D4" presStyleIdx="26" presStyleCnt="76"/>
      <dgm:spPr/>
    </dgm:pt>
    <dgm:pt modelId="{73953F89-5740-4FE7-9A10-E169F9BFE01A}" type="pres">
      <dgm:prSet presAssocID="{0E987D8E-C729-459E-8708-7AB85279BC88}" presName="connTx" presStyleLbl="parChTrans1D4" presStyleIdx="26" presStyleCnt="76"/>
      <dgm:spPr/>
    </dgm:pt>
    <dgm:pt modelId="{0F6E204A-0141-491F-849C-F025D94A0A61}" type="pres">
      <dgm:prSet presAssocID="{E328C9ED-7E03-4C2E-86AF-6C608CB66764}" presName="root2" presStyleCnt="0"/>
      <dgm:spPr/>
    </dgm:pt>
    <dgm:pt modelId="{B6EF273E-42B9-4BDF-87E4-57DF659F408B}" type="pres">
      <dgm:prSet presAssocID="{E328C9ED-7E03-4C2E-86AF-6C608CB66764}" presName="LevelTwoTextNode" presStyleLbl="node4" presStyleIdx="26" presStyleCnt="76">
        <dgm:presLayoutVars>
          <dgm:chPref val="3"/>
        </dgm:presLayoutVars>
      </dgm:prSet>
      <dgm:spPr/>
    </dgm:pt>
    <dgm:pt modelId="{C24E3F30-B7AA-498D-A19E-55CD9BA45845}" type="pres">
      <dgm:prSet presAssocID="{E328C9ED-7E03-4C2E-86AF-6C608CB66764}" presName="level3hierChild" presStyleCnt="0"/>
      <dgm:spPr/>
    </dgm:pt>
    <dgm:pt modelId="{A5885A76-BD3E-47C0-850F-0B84D0426E4A}" type="pres">
      <dgm:prSet presAssocID="{8FC191C6-79EE-4996-B3F3-7971A76DB53C}" presName="conn2-1" presStyleLbl="parChTrans1D4" presStyleIdx="27" presStyleCnt="76"/>
      <dgm:spPr/>
    </dgm:pt>
    <dgm:pt modelId="{3E36FE68-F76F-45C7-91C1-51A67D596B69}" type="pres">
      <dgm:prSet presAssocID="{8FC191C6-79EE-4996-B3F3-7971A76DB53C}" presName="connTx" presStyleLbl="parChTrans1D4" presStyleIdx="27" presStyleCnt="76"/>
      <dgm:spPr/>
    </dgm:pt>
    <dgm:pt modelId="{3EB240FC-6F92-49C0-B95E-38E9F2D60C4A}" type="pres">
      <dgm:prSet presAssocID="{D1425854-10DF-4EC9-9D24-555A424E33B4}" presName="root2" presStyleCnt="0"/>
      <dgm:spPr/>
    </dgm:pt>
    <dgm:pt modelId="{2732AD9E-769C-4265-9414-7D605E19C644}" type="pres">
      <dgm:prSet presAssocID="{D1425854-10DF-4EC9-9D24-555A424E33B4}" presName="LevelTwoTextNode" presStyleLbl="node4" presStyleIdx="27" presStyleCnt="76">
        <dgm:presLayoutVars>
          <dgm:chPref val="3"/>
        </dgm:presLayoutVars>
      </dgm:prSet>
      <dgm:spPr/>
    </dgm:pt>
    <dgm:pt modelId="{D848D65C-DC54-4D29-A519-3E76E7976409}" type="pres">
      <dgm:prSet presAssocID="{D1425854-10DF-4EC9-9D24-555A424E33B4}" presName="level3hierChild" presStyleCnt="0"/>
      <dgm:spPr/>
    </dgm:pt>
    <dgm:pt modelId="{6FDCE9CB-8D68-40F5-B8CD-BEF211C4BCFE}" type="pres">
      <dgm:prSet presAssocID="{F293B739-3D16-4FCA-8506-F991F636E859}" presName="conn2-1" presStyleLbl="parChTrans1D4" presStyleIdx="28" presStyleCnt="76"/>
      <dgm:spPr/>
    </dgm:pt>
    <dgm:pt modelId="{AD79D32F-4823-475A-BB5D-F167B00549DF}" type="pres">
      <dgm:prSet presAssocID="{F293B739-3D16-4FCA-8506-F991F636E859}" presName="connTx" presStyleLbl="parChTrans1D4" presStyleIdx="28" presStyleCnt="76"/>
      <dgm:spPr/>
    </dgm:pt>
    <dgm:pt modelId="{349B285B-F2B2-46FE-8F73-DEE292C52ABE}" type="pres">
      <dgm:prSet presAssocID="{05DE15FA-EFCE-40C7-B05D-EB4ACCC751FC}" presName="root2" presStyleCnt="0"/>
      <dgm:spPr/>
    </dgm:pt>
    <dgm:pt modelId="{ACB1779F-AE89-4844-9D7E-40E7B0DC58FC}" type="pres">
      <dgm:prSet presAssocID="{05DE15FA-EFCE-40C7-B05D-EB4ACCC751FC}" presName="LevelTwoTextNode" presStyleLbl="node4" presStyleIdx="28" presStyleCnt="76">
        <dgm:presLayoutVars>
          <dgm:chPref val="3"/>
        </dgm:presLayoutVars>
      </dgm:prSet>
      <dgm:spPr/>
    </dgm:pt>
    <dgm:pt modelId="{BE1D012A-1EA5-4451-BEED-3955974E1386}" type="pres">
      <dgm:prSet presAssocID="{05DE15FA-EFCE-40C7-B05D-EB4ACCC751FC}" presName="level3hierChild" presStyleCnt="0"/>
      <dgm:spPr/>
    </dgm:pt>
    <dgm:pt modelId="{19BC94CB-2263-4628-AC76-E5DE9E8B3A17}" type="pres">
      <dgm:prSet presAssocID="{5E286412-2F61-4A14-9221-CD755B5462B3}" presName="conn2-1" presStyleLbl="parChTrans1D4" presStyleIdx="29" presStyleCnt="76"/>
      <dgm:spPr/>
    </dgm:pt>
    <dgm:pt modelId="{1FE7BE54-6AE8-41B7-B2F5-4F33F6069240}" type="pres">
      <dgm:prSet presAssocID="{5E286412-2F61-4A14-9221-CD755B5462B3}" presName="connTx" presStyleLbl="parChTrans1D4" presStyleIdx="29" presStyleCnt="76"/>
      <dgm:spPr/>
    </dgm:pt>
    <dgm:pt modelId="{D0E7593A-CEA0-45B3-99DC-F214AB2C6367}" type="pres">
      <dgm:prSet presAssocID="{B454B912-C55B-4792-AFB3-1724AE311740}" presName="root2" presStyleCnt="0"/>
      <dgm:spPr/>
    </dgm:pt>
    <dgm:pt modelId="{D6869973-D5CE-481C-955D-BE7E4614DD85}" type="pres">
      <dgm:prSet presAssocID="{B454B912-C55B-4792-AFB3-1724AE311740}" presName="LevelTwoTextNode" presStyleLbl="node4" presStyleIdx="29" presStyleCnt="76">
        <dgm:presLayoutVars>
          <dgm:chPref val="3"/>
        </dgm:presLayoutVars>
      </dgm:prSet>
      <dgm:spPr/>
    </dgm:pt>
    <dgm:pt modelId="{CE47BA6F-8315-4CE1-BDE7-920154C75E56}" type="pres">
      <dgm:prSet presAssocID="{B454B912-C55B-4792-AFB3-1724AE311740}" presName="level3hierChild" presStyleCnt="0"/>
      <dgm:spPr/>
    </dgm:pt>
    <dgm:pt modelId="{418E4922-7393-47F7-8739-4C83FF74D5A9}" type="pres">
      <dgm:prSet presAssocID="{D4DFC5F1-C442-4735-89A3-4D08F7EDF0DE}" presName="conn2-1" presStyleLbl="parChTrans1D4" presStyleIdx="30" presStyleCnt="76"/>
      <dgm:spPr/>
    </dgm:pt>
    <dgm:pt modelId="{EB6279B8-9ED7-4C7E-AAE4-7DA3FCEE2F3A}" type="pres">
      <dgm:prSet presAssocID="{D4DFC5F1-C442-4735-89A3-4D08F7EDF0DE}" presName="connTx" presStyleLbl="parChTrans1D4" presStyleIdx="30" presStyleCnt="76"/>
      <dgm:spPr/>
    </dgm:pt>
    <dgm:pt modelId="{A4F34C78-3868-4299-B3FA-CA00445F61B6}" type="pres">
      <dgm:prSet presAssocID="{3A8FC3A3-601B-4DC5-BC01-8D68E5DCC428}" presName="root2" presStyleCnt="0"/>
      <dgm:spPr/>
    </dgm:pt>
    <dgm:pt modelId="{AFB4F2E7-0D60-47CA-8F88-CC8AA76A3639}" type="pres">
      <dgm:prSet presAssocID="{3A8FC3A3-601B-4DC5-BC01-8D68E5DCC428}" presName="LevelTwoTextNode" presStyleLbl="node4" presStyleIdx="30" presStyleCnt="76">
        <dgm:presLayoutVars>
          <dgm:chPref val="3"/>
        </dgm:presLayoutVars>
      </dgm:prSet>
      <dgm:spPr/>
    </dgm:pt>
    <dgm:pt modelId="{A4D090FC-135E-440C-B123-D7CFF13A4FF2}" type="pres">
      <dgm:prSet presAssocID="{3A8FC3A3-601B-4DC5-BC01-8D68E5DCC428}" presName="level3hierChild" presStyleCnt="0"/>
      <dgm:spPr/>
    </dgm:pt>
    <dgm:pt modelId="{ECEEB5E6-7E99-4BA1-9754-78879E404C89}" type="pres">
      <dgm:prSet presAssocID="{F6E38B7D-D604-4244-9623-3F6FE8272B30}" presName="conn2-1" presStyleLbl="parChTrans1D4" presStyleIdx="31" presStyleCnt="76"/>
      <dgm:spPr/>
    </dgm:pt>
    <dgm:pt modelId="{888A8B98-AB82-4D54-946B-58EB2425B375}" type="pres">
      <dgm:prSet presAssocID="{F6E38B7D-D604-4244-9623-3F6FE8272B30}" presName="connTx" presStyleLbl="parChTrans1D4" presStyleIdx="31" presStyleCnt="76"/>
      <dgm:spPr/>
    </dgm:pt>
    <dgm:pt modelId="{3D187C69-1C15-4359-983F-7A413615BB8D}" type="pres">
      <dgm:prSet presAssocID="{EE1A4162-F24A-4818-87C0-0D072532234A}" presName="root2" presStyleCnt="0"/>
      <dgm:spPr/>
    </dgm:pt>
    <dgm:pt modelId="{5DEF6F17-9C20-4A70-B3A6-C756C9CDEE6D}" type="pres">
      <dgm:prSet presAssocID="{EE1A4162-F24A-4818-87C0-0D072532234A}" presName="LevelTwoTextNode" presStyleLbl="node4" presStyleIdx="31" presStyleCnt="76">
        <dgm:presLayoutVars>
          <dgm:chPref val="3"/>
        </dgm:presLayoutVars>
      </dgm:prSet>
      <dgm:spPr/>
    </dgm:pt>
    <dgm:pt modelId="{D0843EB6-7D8E-4D70-9AF5-49EB8BD6ECD9}" type="pres">
      <dgm:prSet presAssocID="{EE1A4162-F24A-4818-87C0-0D072532234A}" presName="level3hierChild" presStyleCnt="0"/>
      <dgm:spPr/>
    </dgm:pt>
    <dgm:pt modelId="{6160FAF1-F52E-4838-89A6-3B1FA37BD7F1}" type="pres">
      <dgm:prSet presAssocID="{3247DFE6-DD7F-4076-81FC-150BBA981666}" presName="conn2-1" presStyleLbl="parChTrans1D4" presStyleIdx="32" presStyleCnt="76"/>
      <dgm:spPr/>
    </dgm:pt>
    <dgm:pt modelId="{DF3ED316-9A1D-44B7-B021-02D15D1B781F}" type="pres">
      <dgm:prSet presAssocID="{3247DFE6-DD7F-4076-81FC-150BBA981666}" presName="connTx" presStyleLbl="parChTrans1D4" presStyleIdx="32" presStyleCnt="76"/>
      <dgm:spPr/>
    </dgm:pt>
    <dgm:pt modelId="{D1336111-F0C4-413F-9CD7-3521BFC401EE}" type="pres">
      <dgm:prSet presAssocID="{4CB2AE48-20C4-42C6-8FC0-F5329AA4CD25}" presName="root2" presStyleCnt="0"/>
      <dgm:spPr/>
    </dgm:pt>
    <dgm:pt modelId="{785EAA22-A0F7-46A7-B7A9-BC61C25E7D14}" type="pres">
      <dgm:prSet presAssocID="{4CB2AE48-20C4-42C6-8FC0-F5329AA4CD25}" presName="LevelTwoTextNode" presStyleLbl="node4" presStyleIdx="32" presStyleCnt="76">
        <dgm:presLayoutVars>
          <dgm:chPref val="3"/>
        </dgm:presLayoutVars>
      </dgm:prSet>
      <dgm:spPr/>
    </dgm:pt>
    <dgm:pt modelId="{CCDA473A-FEF6-48D6-A272-0D4D95F7763A}" type="pres">
      <dgm:prSet presAssocID="{4CB2AE48-20C4-42C6-8FC0-F5329AA4CD25}" presName="level3hierChild" presStyleCnt="0"/>
      <dgm:spPr/>
    </dgm:pt>
    <dgm:pt modelId="{95408C3E-2AC7-4646-BBB7-7EBA5748228A}" type="pres">
      <dgm:prSet presAssocID="{BAF946B6-4C57-4D87-B6B8-E45E8A4A37F6}" presName="conn2-1" presStyleLbl="parChTrans1D4" presStyleIdx="33" presStyleCnt="76"/>
      <dgm:spPr/>
    </dgm:pt>
    <dgm:pt modelId="{39CF690C-195F-4750-8148-B33650617E9E}" type="pres">
      <dgm:prSet presAssocID="{BAF946B6-4C57-4D87-B6B8-E45E8A4A37F6}" presName="connTx" presStyleLbl="parChTrans1D4" presStyleIdx="33" presStyleCnt="76"/>
      <dgm:spPr/>
    </dgm:pt>
    <dgm:pt modelId="{350BD2D7-1DF1-4677-B17C-ECBF52F02CA1}" type="pres">
      <dgm:prSet presAssocID="{89EA8B19-F077-44F8-8940-CBFAF1365198}" presName="root2" presStyleCnt="0"/>
      <dgm:spPr/>
    </dgm:pt>
    <dgm:pt modelId="{0533C393-E4FD-4C9E-99F2-69D455CE0B9F}" type="pres">
      <dgm:prSet presAssocID="{89EA8B19-F077-44F8-8940-CBFAF1365198}" presName="LevelTwoTextNode" presStyleLbl="node4" presStyleIdx="33" presStyleCnt="76">
        <dgm:presLayoutVars>
          <dgm:chPref val="3"/>
        </dgm:presLayoutVars>
      </dgm:prSet>
      <dgm:spPr/>
    </dgm:pt>
    <dgm:pt modelId="{94C8BC4D-DCE6-4881-9AE4-6C91EACEAFAE}" type="pres">
      <dgm:prSet presAssocID="{89EA8B19-F077-44F8-8940-CBFAF1365198}" presName="level3hierChild" presStyleCnt="0"/>
      <dgm:spPr/>
    </dgm:pt>
    <dgm:pt modelId="{6CB9CB94-0B34-4C2F-A68F-3946C38DD501}" type="pres">
      <dgm:prSet presAssocID="{DE81D0B0-C25A-438A-9005-659D91D1FD0B}" presName="conn2-1" presStyleLbl="parChTrans1D4" presStyleIdx="34" presStyleCnt="76"/>
      <dgm:spPr/>
    </dgm:pt>
    <dgm:pt modelId="{CACB4346-D887-4761-BD5B-AF142FC35C46}" type="pres">
      <dgm:prSet presAssocID="{DE81D0B0-C25A-438A-9005-659D91D1FD0B}" presName="connTx" presStyleLbl="parChTrans1D4" presStyleIdx="34" presStyleCnt="76"/>
      <dgm:spPr/>
    </dgm:pt>
    <dgm:pt modelId="{B8B3772A-DF54-4FAD-A9AD-06B9AD46E5FA}" type="pres">
      <dgm:prSet presAssocID="{D40B372D-2E74-4F61-8CDC-08BF73DF977C}" presName="root2" presStyleCnt="0"/>
      <dgm:spPr/>
    </dgm:pt>
    <dgm:pt modelId="{C5D29312-419D-4D6C-9F69-CCF482F637FC}" type="pres">
      <dgm:prSet presAssocID="{D40B372D-2E74-4F61-8CDC-08BF73DF977C}" presName="LevelTwoTextNode" presStyleLbl="node4" presStyleIdx="34" presStyleCnt="76">
        <dgm:presLayoutVars>
          <dgm:chPref val="3"/>
        </dgm:presLayoutVars>
      </dgm:prSet>
      <dgm:spPr/>
    </dgm:pt>
    <dgm:pt modelId="{951ED7DB-5FB0-4284-8226-6AE597243D30}" type="pres">
      <dgm:prSet presAssocID="{D40B372D-2E74-4F61-8CDC-08BF73DF977C}" presName="level3hierChild" presStyleCnt="0"/>
      <dgm:spPr/>
    </dgm:pt>
    <dgm:pt modelId="{781828E7-65B1-4C8A-AF5B-B626CF2B611A}" type="pres">
      <dgm:prSet presAssocID="{976BBC93-3990-4406-A805-ECBC1B58832D}" presName="conn2-1" presStyleLbl="parChTrans1D4" presStyleIdx="35" presStyleCnt="76"/>
      <dgm:spPr/>
    </dgm:pt>
    <dgm:pt modelId="{D516F39F-40D8-406E-99CD-3F761AB20E14}" type="pres">
      <dgm:prSet presAssocID="{976BBC93-3990-4406-A805-ECBC1B58832D}" presName="connTx" presStyleLbl="parChTrans1D4" presStyleIdx="35" presStyleCnt="76"/>
      <dgm:spPr/>
    </dgm:pt>
    <dgm:pt modelId="{A08BE977-17BC-46BA-AFD6-EDB6FD763ED3}" type="pres">
      <dgm:prSet presAssocID="{59531D23-83F2-4A21-9163-C39BCA42D1E7}" presName="root2" presStyleCnt="0"/>
      <dgm:spPr/>
    </dgm:pt>
    <dgm:pt modelId="{8428A713-31AC-4A50-8A54-4946516CD6D5}" type="pres">
      <dgm:prSet presAssocID="{59531D23-83F2-4A21-9163-C39BCA42D1E7}" presName="LevelTwoTextNode" presStyleLbl="node4" presStyleIdx="35" presStyleCnt="76">
        <dgm:presLayoutVars>
          <dgm:chPref val="3"/>
        </dgm:presLayoutVars>
      </dgm:prSet>
      <dgm:spPr/>
    </dgm:pt>
    <dgm:pt modelId="{14B89C73-4F4F-4361-8E4A-4D48CD182A81}" type="pres">
      <dgm:prSet presAssocID="{59531D23-83F2-4A21-9163-C39BCA42D1E7}" presName="level3hierChild" presStyleCnt="0"/>
      <dgm:spPr/>
    </dgm:pt>
    <dgm:pt modelId="{E7B2D9D8-C48C-47F5-A7DA-C6F7827E6DFE}" type="pres">
      <dgm:prSet presAssocID="{0BDA0D83-F5C6-44DD-B01C-52C7480E2C1A}" presName="conn2-1" presStyleLbl="parChTrans1D4" presStyleIdx="36" presStyleCnt="76"/>
      <dgm:spPr/>
    </dgm:pt>
    <dgm:pt modelId="{6C130A71-489E-47B6-822F-41686E498304}" type="pres">
      <dgm:prSet presAssocID="{0BDA0D83-F5C6-44DD-B01C-52C7480E2C1A}" presName="connTx" presStyleLbl="parChTrans1D4" presStyleIdx="36" presStyleCnt="76"/>
      <dgm:spPr/>
    </dgm:pt>
    <dgm:pt modelId="{C31B0CE8-6FFE-4681-A487-A0DE1FA30110}" type="pres">
      <dgm:prSet presAssocID="{369FF36E-E32E-4813-9413-84BD713D3029}" presName="root2" presStyleCnt="0"/>
      <dgm:spPr/>
    </dgm:pt>
    <dgm:pt modelId="{D8F269C6-6AA4-4ADF-9601-1AD29DFABECF}" type="pres">
      <dgm:prSet presAssocID="{369FF36E-E32E-4813-9413-84BD713D3029}" presName="LevelTwoTextNode" presStyleLbl="node4" presStyleIdx="36" presStyleCnt="76">
        <dgm:presLayoutVars>
          <dgm:chPref val="3"/>
        </dgm:presLayoutVars>
      </dgm:prSet>
      <dgm:spPr/>
    </dgm:pt>
    <dgm:pt modelId="{751CF2CD-1147-46E4-923D-D1107D19FC68}" type="pres">
      <dgm:prSet presAssocID="{369FF36E-E32E-4813-9413-84BD713D3029}" presName="level3hierChild" presStyleCnt="0"/>
      <dgm:spPr/>
    </dgm:pt>
    <dgm:pt modelId="{7F27EE02-D6F8-4CF9-A7FD-072D87AA11DA}" type="pres">
      <dgm:prSet presAssocID="{FA317454-8966-4A39-ABE1-067B33BF42FA}" presName="conn2-1" presStyleLbl="parChTrans1D4" presStyleIdx="37" presStyleCnt="76"/>
      <dgm:spPr/>
    </dgm:pt>
    <dgm:pt modelId="{7D82D2CA-6082-484C-A253-2E53456FB04E}" type="pres">
      <dgm:prSet presAssocID="{FA317454-8966-4A39-ABE1-067B33BF42FA}" presName="connTx" presStyleLbl="parChTrans1D4" presStyleIdx="37" presStyleCnt="76"/>
      <dgm:spPr/>
    </dgm:pt>
    <dgm:pt modelId="{7415FA9D-B114-49BD-B6BA-C230B3A559DD}" type="pres">
      <dgm:prSet presAssocID="{251C7A9F-518E-415C-9A64-99221ED5D585}" presName="root2" presStyleCnt="0"/>
      <dgm:spPr/>
    </dgm:pt>
    <dgm:pt modelId="{876C16CA-C2EB-4CF9-A422-744417B08451}" type="pres">
      <dgm:prSet presAssocID="{251C7A9F-518E-415C-9A64-99221ED5D585}" presName="LevelTwoTextNode" presStyleLbl="node4" presStyleIdx="37" presStyleCnt="76">
        <dgm:presLayoutVars>
          <dgm:chPref val="3"/>
        </dgm:presLayoutVars>
      </dgm:prSet>
      <dgm:spPr/>
    </dgm:pt>
    <dgm:pt modelId="{5E68B8DA-6AE7-4017-A8FA-8EFAC0047AB0}" type="pres">
      <dgm:prSet presAssocID="{251C7A9F-518E-415C-9A64-99221ED5D585}" presName="level3hierChild" presStyleCnt="0"/>
      <dgm:spPr/>
    </dgm:pt>
    <dgm:pt modelId="{719791DA-E3C5-48F1-B609-5307CAB17B58}" type="pres">
      <dgm:prSet presAssocID="{BFF3EE6A-B41D-42A3-8A21-4887FD388FBE}" presName="conn2-1" presStyleLbl="parChTrans1D4" presStyleIdx="38" presStyleCnt="76"/>
      <dgm:spPr/>
    </dgm:pt>
    <dgm:pt modelId="{4052D614-35A4-4CB5-9691-D60CFB0C595E}" type="pres">
      <dgm:prSet presAssocID="{BFF3EE6A-B41D-42A3-8A21-4887FD388FBE}" presName="connTx" presStyleLbl="parChTrans1D4" presStyleIdx="38" presStyleCnt="76"/>
      <dgm:spPr/>
    </dgm:pt>
    <dgm:pt modelId="{2CF85534-B30B-4CCF-9512-2F0A7075174B}" type="pres">
      <dgm:prSet presAssocID="{80AB7C5E-119A-4D7F-8531-3D2E2EEF2634}" presName="root2" presStyleCnt="0"/>
      <dgm:spPr/>
    </dgm:pt>
    <dgm:pt modelId="{6A332753-4974-4E88-A4F6-6FA392DCE72C}" type="pres">
      <dgm:prSet presAssocID="{80AB7C5E-119A-4D7F-8531-3D2E2EEF2634}" presName="LevelTwoTextNode" presStyleLbl="node4" presStyleIdx="38" presStyleCnt="76">
        <dgm:presLayoutVars>
          <dgm:chPref val="3"/>
        </dgm:presLayoutVars>
      </dgm:prSet>
      <dgm:spPr/>
    </dgm:pt>
    <dgm:pt modelId="{4C42788F-CAAB-4722-AD0C-91DA6042DCDF}" type="pres">
      <dgm:prSet presAssocID="{80AB7C5E-119A-4D7F-8531-3D2E2EEF2634}" presName="level3hierChild" presStyleCnt="0"/>
      <dgm:spPr/>
    </dgm:pt>
    <dgm:pt modelId="{922928B4-E0DE-4739-83BD-92B2416EE5BA}" type="pres">
      <dgm:prSet presAssocID="{4FB8797C-9715-4EDF-ADD4-5D41A643A4F3}" presName="conn2-1" presStyleLbl="parChTrans1D4" presStyleIdx="39" presStyleCnt="76"/>
      <dgm:spPr/>
    </dgm:pt>
    <dgm:pt modelId="{75A18499-330F-49CE-808A-E666E8481958}" type="pres">
      <dgm:prSet presAssocID="{4FB8797C-9715-4EDF-ADD4-5D41A643A4F3}" presName="connTx" presStyleLbl="parChTrans1D4" presStyleIdx="39" presStyleCnt="76"/>
      <dgm:spPr/>
    </dgm:pt>
    <dgm:pt modelId="{E9C52DDC-7F88-48D2-BC16-1AB1FE71C1DC}" type="pres">
      <dgm:prSet presAssocID="{635F8FFC-3206-41CA-9942-F53708A1A04A}" presName="root2" presStyleCnt="0"/>
      <dgm:spPr/>
    </dgm:pt>
    <dgm:pt modelId="{DF7CC7FD-777E-4EAE-9F64-08A7E13169D3}" type="pres">
      <dgm:prSet presAssocID="{635F8FFC-3206-41CA-9942-F53708A1A04A}" presName="LevelTwoTextNode" presStyleLbl="node4" presStyleIdx="39" presStyleCnt="76">
        <dgm:presLayoutVars>
          <dgm:chPref val="3"/>
        </dgm:presLayoutVars>
      </dgm:prSet>
      <dgm:spPr/>
    </dgm:pt>
    <dgm:pt modelId="{DD7D8813-DD49-4048-90DD-1606D073EA77}" type="pres">
      <dgm:prSet presAssocID="{635F8FFC-3206-41CA-9942-F53708A1A04A}" presName="level3hierChild" presStyleCnt="0"/>
      <dgm:spPr/>
    </dgm:pt>
    <dgm:pt modelId="{C1753E0C-79F8-4F61-B7C0-1D4DBAC15B46}" type="pres">
      <dgm:prSet presAssocID="{316D770B-B446-44A3-B369-626D90EDA3C3}" presName="conn2-1" presStyleLbl="parChTrans1D4" presStyleIdx="40" presStyleCnt="76"/>
      <dgm:spPr/>
    </dgm:pt>
    <dgm:pt modelId="{98D2F9A7-7B4A-4FDA-9176-40FBC76B0FC0}" type="pres">
      <dgm:prSet presAssocID="{316D770B-B446-44A3-B369-626D90EDA3C3}" presName="connTx" presStyleLbl="parChTrans1D4" presStyleIdx="40" presStyleCnt="76"/>
      <dgm:spPr/>
    </dgm:pt>
    <dgm:pt modelId="{2AA05A13-215C-4E18-9B82-4D89463BD7C2}" type="pres">
      <dgm:prSet presAssocID="{5E634DF5-7FA0-450A-9A32-65C6784F31B3}" presName="root2" presStyleCnt="0"/>
      <dgm:spPr/>
    </dgm:pt>
    <dgm:pt modelId="{6A38651E-E3C1-4F28-9F76-39B924F3C1BE}" type="pres">
      <dgm:prSet presAssocID="{5E634DF5-7FA0-450A-9A32-65C6784F31B3}" presName="LevelTwoTextNode" presStyleLbl="node4" presStyleIdx="40" presStyleCnt="76">
        <dgm:presLayoutVars>
          <dgm:chPref val="3"/>
        </dgm:presLayoutVars>
      </dgm:prSet>
      <dgm:spPr/>
    </dgm:pt>
    <dgm:pt modelId="{59772578-9657-4802-8EE4-63BD33E10EF3}" type="pres">
      <dgm:prSet presAssocID="{5E634DF5-7FA0-450A-9A32-65C6784F31B3}" presName="level3hierChild" presStyleCnt="0"/>
      <dgm:spPr/>
    </dgm:pt>
    <dgm:pt modelId="{B4AF9556-271A-478B-A007-CB8B80E87BC9}" type="pres">
      <dgm:prSet presAssocID="{8ED51032-EC17-444C-BFA4-50C0BFD620EC}" presName="conn2-1" presStyleLbl="parChTrans1D4" presStyleIdx="41" presStyleCnt="76"/>
      <dgm:spPr/>
    </dgm:pt>
    <dgm:pt modelId="{7CCC356F-9D0D-4B99-BEED-0EF4D0EA2B04}" type="pres">
      <dgm:prSet presAssocID="{8ED51032-EC17-444C-BFA4-50C0BFD620EC}" presName="connTx" presStyleLbl="parChTrans1D4" presStyleIdx="41" presStyleCnt="76"/>
      <dgm:spPr/>
    </dgm:pt>
    <dgm:pt modelId="{18A5CDEE-9B78-4D89-A314-C5713666B953}" type="pres">
      <dgm:prSet presAssocID="{B6D94716-102C-4C3B-9B88-D9F19A060348}" presName="root2" presStyleCnt="0"/>
      <dgm:spPr/>
    </dgm:pt>
    <dgm:pt modelId="{CB752406-FDDA-494A-B48E-BA2740977EEE}" type="pres">
      <dgm:prSet presAssocID="{B6D94716-102C-4C3B-9B88-D9F19A060348}" presName="LevelTwoTextNode" presStyleLbl="node4" presStyleIdx="41" presStyleCnt="76">
        <dgm:presLayoutVars>
          <dgm:chPref val="3"/>
        </dgm:presLayoutVars>
      </dgm:prSet>
      <dgm:spPr/>
    </dgm:pt>
    <dgm:pt modelId="{B909D01E-922C-4B78-AE7E-03033FDE57ED}" type="pres">
      <dgm:prSet presAssocID="{B6D94716-102C-4C3B-9B88-D9F19A060348}" presName="level3hierChild" presStyleCnt="0"/>
      <dgm:spPr/>
    </dgm:pt>
    <dgm:pt modelId="{52D1175D-0D8F-45B3-BB1D-8591E51AB3BE}" type="pres">
      <dgm:prSet presAssocID="{03224D0E-9765-4ACC-8762-456DDC5EBC57}" presName="conn2-1" presStyleLbl="parChTrans1D4" presStyleIdx="42" presStyleCnt="76"/>
      <dgm:spPr/>
    </dgm:pt>
    <dgm:pt modelId="{D0DD006D-85F0-4DCE-BA71-F5AE76632241}" type="pres">
      <dgm:prSet presAssocID="{03224D0E-9765-4ACC-8762-456DDC5EBC57}" presName="connTx" presStyleLbl="parChTrans1D4" presStyleIdx="42" presStyleCnt="76"/>
      <dgm:spPr/>
    </dgm:pt>
    <dgm:pt modelId="{E094E931-AFD4-4DB5-87A6-E62C63592CDA}" type="pres">
      <dgm:prSet presAssocID="{6372AFFD-304C-4AF9-82D8-A78B05B0C67D}" presName="root2" presStyleCnt="0"/>
      <dgm:spPr/>
    </dgm:pt>
    <dgm:pt modelId="{0E262E9C-A2BC-4819-9654-FEE996810B88}" type="pres">
      <dgm:prSet presAssocID="{6372AFFD-304C-4AF9-82D8-A78B05B0C67D}" presName="LevelTwoTextNode" presStyleLbl="node4" presStyleIdx="42" presStyleCnt="76">
        <dgm:presLayoutVars>
          <dgm:chPref val="3"/>
        </dgm:presLayoutVars>
      </dgm:prSet>
      <dgm:spPr/>
    </dgm:pt>
    <dgm:pt modelId="{B29504AB-C94C-4D1C-8C88-5EA014804E18}" type="pres">
      <dgm:prSet presAssocID="{6372AFFD-304C-4AF9-82D8-A78B05B0C67D}" presName="level3hierChild" presStyleCnt="0"/>
      <dgm:spPr/>
    </dgm:pt>
    <dgm:pt modelId="{3825E75C-E3DE-414F-B678-702B83328E8C}" type="pres">
      <dgm:prSet presAssocID="{C66A3338-FFE2-404B-8814-72A91F4C1C91}" presName="conn2-1" presStyleLbl="parChTrans1D4" presStyleIdx="43" presStyleCnt="76"/>
      <dgm:spPr/>
    </dgm:pt>
    <dgm:pt modelId="{289DC876-FE87-4420-AA37-E5A4CBA4FB71}" type="pres">
      <dgm:prSet presAssocID="{C66A3338-FFE2-404B-8814-72A91F4C1C91}" presName="connTx" presStyleLbl="parChTrans1D4" presStyleIdx="43" presStyleCnt="76"/>
      <dgm:spPr/>
    </dgm:pt>
    <dgm:pt modelId="{C9FA12BF-394B-4098-82EC-C58A52144EE2}" type="pres">
      <dgm:prSet presAssocID="{49870E61-3A83-48F5-8EAC-01846909DAF1}" presName="root2" presStyleCnt="0"/>
      <dgm:spPr/>
    </dgm:pt>
    <dgm:pt modelId="{33E09201-AE67-4028-99BC-55AC26DBEB8B}" type="pres">
      <dgm:prSet presAssocID="{49870E61-3A83-48F5-8EAC-01846909DAF1}" presName="LevelTwoTextNode" presStyleLbl="node4" presStyleIdx="43" presStyleCnt="76">
        <dgm:presLayoutVars>
          <dgm:chPref val="3"/>
        </dgm:presLayoutVars>
      </dgm:prSet>
      <dgm:spPr/>
    </dgm:pt>
    <dgm:pt modelId="{FEC22923-FFE4-495C-82C4-D975E5CCF1CF}" type="pres">
      <dgm:prSet presAssocID="{49870E61-3A83-48F5-8EAC-01846909DAF1}" presName="level3hierChild" presStyleCnt="0"/>
      <dgm:spPr/>
    </dgm:pt>
    <dgm:pt modelId="{9F8FAAD5-75BD-4265-A50B-D75E35704651}" type="pres">
      <dgm:prSet presAssocID="{1EB12E60-7587-4445-9A16-F5F15BF50B1D}" presName="conn2-1" presStyleLbl="parChTrans1D4" presStyleIdx="44" presStyleCnt="76"/>
      <dgm:spPr/>
    </dgm:pt>
    <dgm:pt modelId="{1041FCD6-00DA-4C4C-B87E-C8903B95DE89}" type="pres">
      <dgm:prSet presAssocID="{1EB12E60-7587-4445-9A16-F5F15BF50B1D}" presName="connTx" presStyleLbl="parChTrans1D4" presStyleIdx="44" presStyleCnt="76"/>
      <dgm:spPr/>
    </dgm:pt>
    <dgm:pt modelId="{FC41EF9E-ED6A-412D-97D0-EE9D5D095917}" type="pres">
      <dgm:prSet presAssocID="{D944B77A-E700-48AB-BA6A-F8585EFE9860}" presName="root2" presStyleCnt="0"/>
      <dgm:spPr/>
    </dgm:pt>
    <dgm:pt modelId="{96FD22AA-BCAE-4D73-BD52-F31BEFFF97BE}" type="pres">
      <dgm:prSet presAssocID="{D944B77A-E700-48AB-BA6A-F8585EFE9860}" presName="LevelTwoTextNode" presStyleLbl="node4" presStyleIdx="44" presStyleCnt="76">
        <dgm:presLayoutVars>
          <dgm:chPref val="3"/>
        </dgm:presLayoutVars>
      </dgm:prSet>
      <dgm:spPr/>
    </dgm:pt>
    <dgm:pt modelId="{29228E99-5FD7-4272-AA6F-80BB6DE439BF}" type="pres">
      <dgm:prSet presAssocID="{D944B77A-E700-48AB-BA6A-F8585EFE9860}" presName="level3hierChild" presStyleCnt="0"/>
      <dgm:spPr/>
    </dgm:pt>
    <dgm:pt modelId="{15740A67-424D-47D3-A97D-D18540D2E09C}" type="pres">
      <dgm:prSet presAssocID="{4C956225-C6F0-4629-B31F-8704418E9EF5}" presName="conn2-1" presStyleLbl="parChTrans1D4" presStyleIdx="45" presStyleCnt="76"/>
      <dgm:spPr/>
    </dgm:pt>
    <dgm:pt modelId="{12DF6F47-2764-48FE-93BE-24AF1DFF1126}" type="pres">
      <dgm:prSet presAssocID="{4C956225-C6F0-4629-B31F-8704418E9EF5}" presName="connTx" presStyleLbl="parChTrans1D4" presStyleIdx="45" presStyleCnt="76"/>
      <dgm:spPr/>
    </dgm:pt>
    <dgm:pt modelId="{77F3D93F-6AAB-46A7-BE13-0BC9D000F177}" type="pres">
      <dgm:prSet presAssocID="{B2BD0430-797B-4C71-B60E-F34693239D47}" presName="root2" presStyleCnt="0"/>
      <dgm:spPr/>
    </dgm:pt>
    <dgm:pt modelId="{E2D69D77-3FDB-4CE5-9A0C-B4F2F9CCCAC0}" type="pres">
      <dgm:prSet presAssocID="{B2BD0430-797B-4C71-B60E-F34693239D47}" presName="LevelTwoTextNode" presStyleLbl="node4" presStyleIdx="45" presStyleCnt="76">
        <dgm:presLayoutVars>
          <dgm:chPref val="3"/>
        </dgm:presLayoutVars>
      </dgm:prSet>
      <dgm:spPr/>
    </dgm:pt>
    <dgm:pt modelId="{94E4BC1F-D833-419A-931C-67634876E612}" type="pres">
      <dgm:prSet presAssocID="{B2BD0430-797B-4C71-B60E-F34693239D47}" presName="level3hierChild" presStyleCnt="0"/>
      <dgm:spPr/>
    </dgm:pt>
    <dgm:pt modelId="{9D2603AF-16DF-408E-BD33-E1961223128C}" type="pres">
      <dgm:prSet presAssocID="{9B0CE611-550E-442F-A1B7-A21417DBE3ED}" presName="conn2-1" presStyleLbl="parChTrans1D4" presStyleIdx="46" presStyleCnt="76"/>
      <dgm:spPr/>
    </dgm:pt>
    <dgm:pt modelId="{932E1040-9660-4993-BC4B-C26D5E5E0522}" type="pres">
      <dgm:prSet presAssocID="{9B0CE611-550E-442F-A1B7-A21417DBE3ED}" presName="connTx" presStyleLbl="parChTrans1D4" presStyleIdx="46" presStyleCnt="76"/>
      <dgm:spPr/>
    </dgm:pt>
    <dgm:pt modelId="{E070771D-B4CF-42D4-A0B2-43CF8164C3A7}" type="pres">
      <dgm:prSet presAssocID="{0F8BDC03-898D-4853-9885-57C5AE78B0D7}" presName="root2" presStyleCnt="0"/>
      <dgm:spPr/>
    </dgm:pt>
    <dgm:pt modelId="{332CD6FD-F514-4913-8487-34CBAC4401DB}" type="pres">
      <dgm:prSet presAssocID="{0F8BDC03-898D-4853-9885-57C5AE78B0D7}" presName="LevelTwoTextNode" presStyleLbl="node4" presStyleIdx="46" presStyleCnt="76">
        <dgm:presLayoutVars>
          <dgm:chPref val="3"/>
        </dgm:presLayoutVars>
      </dgm:prSet>
      <dgm:spPr/>
    </dgm:pt>
    <dgm:pt modelId="{8B182EC2-C8CE-405B-BA85-A1A00669EA1B}" type="pres">
      <dgm:prSet presAssocID="{0F8BDC03-898D-4853-9885-57C5AE78B0D7}" presName="level3hierChild" presStyleCnt="0"/>
      <dgm:spPr/>
    </dgm:pt>
    <dgm:pt modelId="{E0A77623-9018-4D55-A72F-2BC81879F6BD}" type="pres">
      <dgm:prSet presAssocID="{5FEF30DC-52BB-4100-BDC1-1E65C0A1E455}" presName="conn2-1" presStyleLbl="parChTrans1D4" presStyleIdx="47" presStyleCnt="76"/>
      <dgm:spPr/>
    </dgm:pt>
    <dgm:pt modelId="{E7484E0D-0263-451E-920D-3041ADB784A7}" type="pres">
      <dgm:prSet presAssocID="{5FEF30DC-52BB-4100-BDC1-1E65C0A1E455}" presName="connTx" presStyleLbl="parChTrans1D4" presStyleIdx="47" presStyleCnt="76"/>
      <dgm:spPr/>
    </dgm:pt>
    <dgm:pt modelId="{5C2D709D-F48D-42E7-B7C5-99ECEA282AB6}" type="pres">
      <dgm:prSet presAssocID="{AA8F48B2-BA49-483D-9F71-88386136173F}" presName="root2" presStyleCnt="0"/>
      <dgm:spPr/>
    </dgm:pt>
    <dgm:pt modelId="{ED598474-17B0-4A45-AB93-1FA81B28DE65}" type="pres">
      <dgm:prSet presAssocID="{AA8F48B2-BA49-483D-9F71-88386136173F}" presName="LevelTwoTextNode" presStyleLbl="node4" presStyleIdx="47" presStyleCnt="76">
        <dgm:presLayoutVars>
          <dgm:chPref val="3"/>
        </dgm:presLayoutVars>
      </dgm:prSet>
      <dgm:spPr/>
    </dgm:pt>
    <dgm:pt modelId="{555F33CF-5EAC-4AE3-876E-B79E20530E44}" type="pres">
      <dgm:prSet presAssocID="{AA8F48B2-BA49-483D-9F71-88386136173F}" presName="level3hierChild" presStyleCnt="0"/>
      <dgm:spPr/>
    </dgm:pt>
    <dgm:pt modelId="{773F3BFA-B4BA-4F0F-B37A-8EFB355C2E23}" type="pres">
      <dgm:prSet presAssocID="{B94774D8-50F5-4A1D-822B-102410C5B3D4}" presName="conn2-1" presStyleLbl="parChTrans1D4" presStyleIdx="48" presStyleCnt="76"/>
      <dgm:spPr/>
    </dgm:pt>
    <dgm:pt modelId="{BE3748D9-4237-4CE0-846D-3F96F8CA25EB}" type="pres">
      <dgm:prSet presAssocID="{B94774D8-50F5-4A1D-822B-102410C5B3D4}" presName="connTx" presStyleLbl="parChTrans1D4" presStyleIdx="48" presStyleCnt="76"/>
      <dgm:spPr/>
    </dgm:pt>
    <dgm:pt modelId="{3A299980-8C80-4D64-BF8C-B645E6946B41}" type="pres">
      <dgm:prSet presAssocID="{4B99ACDB-45E4-45C8-9BF0-519551F1AE41}" presName="root2" presStyleCnt="0"/>
      <dgm:spPr/>
    </dgm:pt>
    <dgm:pt modelId="{B1A3D01D-5D83-4E4F-91F7-25A9CE022DB4}" type="pres">
      <dgm:prSet presAssocID="{4B99ACDB-45E4-45C8-9BF0-519551F1AE41}" presName="LevelTwoTextNode" presStyleLbl="node4" presStyleIdx="48" presStyleCnt="76">
        <dgm:presLayoutVars>
          <dgm:chPref val="3"/>
        </dgm:presLayoutVars>
      </dgm:prSet>
      <dgm:spPr/>
    </dgm:pt>
    <dgm:pt modelId="{7AB8EBAA-D18E-4CDC-92C8-775BA7BBBBC5}" type="pres">
      <dgm:prSet presAssocID="{4B99ACDB-45E4-45C8-9BF0-519551F1AE41}" presName="level3hierChild" presStyleCnt="0"/>
      <dgm:spPr/>
    </dgm:pt>
    <dgm:pt modelId="{FB48AC59-8C5F-4B96-B0F5-3CFD4566CD6C}" type="pres">
      <dgm:prSet presAssocID="{FBA810AF-C208-40B6-A2C4-82842D86BD61}" presName="conn2-1" presStyleLbl="parChTrans1D4" presStyleIdx="49" presStyleCnt="76"/>
      <dgm:spPr/>
    </dgm:pt>
    <dgm:pt modelId="{3ADAF7E5-F18F-4A4E-98A0-93132C6244AA}" type="pres">
      <dgm:prSet presAssocID="{FBA810AF-C208-40B6-A2C4-82842D86BD61}" presName="connTx" presStyleLbl="parChTrans1D4" presStyleIdx="49" presStyleCnt="76"/>
      <dgm:spPr/>
    </dgm:pt>
    <dgm:pt modelId="{DEA4FB49-9C30-4AAC-AE32-B942492F7A0D}" type="pres">
      <dgm:prSet presAssocID="{C70B04F4-F14D-4D39-9CAB-E34473A115A0}" presName="root2" presStyleCnt="0"/>
      <dgm:spPr/>
    </dgm:pt>
    <dgm:pt modelId="{20C8A092-E5BC-499C-B67C-EA9895A9036F}" type="pres">
      <dgm:prSet presAssocID="{C70B04F4-F14D-4D39-9CAB-E34473A115A0}" presName="LevelTwoTextNode" presStyleLbl="node4" presStyleIdx="49" presStyleCnt="76">
        <dgm:presLayoutVars>
          <dgm:chPref val="3"/>
        </dgm:presLayoutVars>
      </dgm:prSet>
      <dgm:spPr/>
    </dgm:pt>
    <dgm:pt modelId="{C5A23DA0-605D-475F-B8EF-03BEBAE243D2}" type="pres">
      <dgm:prSet presAssocID="{C70B04F4-F14D-4D39-9CAB-E34473A115A0}" presName="level3hierChild" presStyleCnt="0"/>
      <dgm:spPr/>
    </dgm:pt>
    <dgm:pt modelId="{BC7419B8-8DBA-4679-A6EF-A98B84B2D6AA}" type="pres">
      <dgm:prSet presAssocID="{36E65735-050D-4420-BD84-94952FEF954E}" presName="conn2-1" presStyleLbl="parChTrans1D3" presStyleIdx="2" presStyleCnt="5"/>
      <dgm:spPr/>
    </dgm:pt>
    <dgm:pt modelId="{3A34C636-E50D-482D-A866-32298A53FAE7}" type="pres">
      <dgm:prSet presAssocID="{36E65735-050D-4420-BD84-94952FEF954E}" presName="connTx" presStyleLbl="parChTrans1D3" presStyleIdx="2" presStyleCnt="5"/>
      <dgm:spPr/>
    </dgm:pt>
    <dgm:pt modelId="{3F055D51-4436-4300-8D5E-45714751CD64}" type="pres">
      <dgm:prSet presAssocID="{87055F3C-D78B-4C63-8685-7D6537C9AB2B}" presName="root2" presStyleCnt="0"/>
      <dgm:spPr/>
    </dgm:pt>
    <dgm:pt modelId="{8E9C1CDC-297F-4774-AAEE-273E7DD2691C}" type="pres">
      <dgm:prSet presAssocID="{87055F3C-D78B-4C63-8685-7D6537C9AB2B}" presName="LevelTwoTextNode" presStyleLbl="node3" presStyleIdx="2" presStyleCnt="5">
        <dgm:presLayoutVars>
          <dgm:chPref val="3"/>
        </dgm:presLayoutVars>
      </dgm:prSet>
      <dgm:spPr/>
    </dgm:pt>
    <dgm:pt modelId="{CA826E38-08DE-489C-868D-CB72B1E9CE0D}" type="pres">
      <dgm:prSet presAssocID="{87055F3C-D78B-4C63-8685-7D6537C9AB2B}" presName="level3hierChild" presStyleCnt="0"/>
      <dgm:spPr/>
    </dgm:pt>
    <dgm:pt modelId="{2FCA7815-8D76-4883-B5D9-1DC1473A3EE7}" type="pres">
      <dgm:prSet presAssocID="{E278FA0D-6151-478C-8BD0-D5CBD0E3642B}" presName="conn2-1" presStyleLbl="parChTrans1D4" presStyleIdx="50" presStyleCnt="76"/>
      <dgm:spPr/>
    </dgm:pt>
    <dgm:pt modelId="{BCC57E43-9314-4D4D-8849-B40C1DD425DC}" type="pres">
      <dgm:prSet presAssocID="{E278FA0D-6151-478C-8BD0-D5CBD0E3642B}" presName="connTx" presStyleLbl="parChTrans1D4" presStyleIdx="50" presStyleCnt="76"/>
      <dgm:spPr/>
    </dgm:pt>
    <dgm:pt modelId="{5E2399AB-E1A0-45A4-839E-1C74BF2C46BF}" type="pres">
      <dgm:prSet presAssocID="{9AC7C455-61F4-496B-BB73-DDB995BC9ECF}" presName="root2" presStyleCnt="0"/>
      <dgm:spPr/>
    </dgm:pt>
    <dgm:pt modelId="{A2BEBB3A-8AED-4E93-AC19-BB0C5F00A554}" type="pres">
      <dgm:prSet presAssocID="{9AC7C455-61F4-496B-BB73-DDB995BC9ECF}" presName="LevelTwoTextNode" presStyleLbl="node4" presStyleIdx="50" presStyleCnt="76">
        <dgm:presLayoutVars>
          <dgm:chPref val="3"/>
        </dgm:presLayoutVars>
      </dgm:prSet>
      <dgm:spPr/>
    </dgm:pt>
    <dgm:pt modelId="{905D7880-2655-4BE1-9062-8A85E967585D}" type="pres">
      <dgm:prSet presAssocID="{9AC7C455-61F4-496B-BB73-DDB995BC9ECF}" presName="level3hierChild" presStyleCnt="0"/>
      <dgm:spPr/>
    </dgm:pt>
    <dgm:pt modelId="{6EB05251-8F33-45C2-A517-FB548D28E504}" type="pres">
      <dgm:prSet presAssocID="{1A3FF236-9A95-41DC-A331-81E65E28AF80}" presName="root1" presStyleCnt="0"/>
      <dgm:spPr/>
    </dgm:pt>
    <dgm:pt modelId="{1B980CCE-73AC-4C98-8E53-6EFDC60F2072}" type="pres">
      <dgm:prSet presAssocID="{1A3FF236-9A95-41DC-A331-81E65E28AF80}" presName="LevelOneTextNode" presStyleLbl="node0" presStyleIdx="1" presStyleCnt="2">
        <dgm:presLayoutVars>
          <dgm:chPref val="3"/>
        </dgm:presLayoutVars>
      </dgm:prSet>
      <dgm:spPr/>
    </dgm:pt>
    <dgm:pt modelId="{70E89420-C1E6-4CF8-9EDA-AAC3401CB612}" type="pres">
      <dgm:prSet presAssocID="{1A3FF236-9A95-41DC-A331-81E65E28AF80}" presName="level2hierChild" presStyleCnt="0"/>
      <dgm:spPr/>
    </dgm:pt>
    <dgm:pt modelId="{D1849742-9FAF-4D61-853D-1204E4628A67}" type="pres">
      <dgm:prSet presAssocID="{DCF6C51D-CAD2-4ACA-9475-C7E2044622DA}" presName="conn2-1" presStyleLbl="parChTrans1D2" presStyleIdx="2" presStyleCnt="3"/>
      <dgm:spPr/>
    </dgm:pt>
    <dgm:pt modelId="{690FD209-E181-4A9E-B043-5240FB8473C1}" type="pres">
      <dgm:prSet presAssocID="{DCF6C51D-CAD2-4ACA-9475-C7E2044622DA}" presName="connTx" presStyleLbl="parChTrans1D2" presStyleIdx="2" presStyleCnt="3"/>
      <dgm:spPr/>
    </dgm:pt>
    <dgm:pt modelId="{4E9FC03A-F7B2-40C3-941D-ED56E8E846C8}" type="pres">
      <dgm:prSet presAssocID="{3384259D-DD74-47A0-84EB-8CFB83B1EF2D}" presName="root2" presStyleCnt="0"/>
      <dgm:spPr/>
    </dgm:pt>
    <dgm:pt modelId="{FCE2A0C5-5DE9-449D-92E1-3C97D4EED906}" type="pres">
      <dgm:prSet presAssocID="{3384259D-DD74-47A0-84EB-8CFB83B1EF2D}" presName="LevelTwoTextNode" presStyleLbl="node2" presStyleIdx="2" presStyleCnt="3">
        <dgm:presLayoutVars>
          <dgm:chPref val="3"/>
        </dgm:presLayoutVars>
      </dgm:prSet>
      <dgm:spPr/>
    </dgm:pt>
    <dgm:pt modelId="{2BC0EE69-3BBB-4B0D-8688-4272F03A95C6}" type="pres">
      <dgm:prSet presAssocID="{3384259D-DD74-47A0-84EB-8CFB83B1EF2D}" presName="level3hierChild" presStyleCnt="0"/>
      <dgm:spPr/>
    </dgm:pt>
    <dgm:pt modelId="{8F7273BC-E7FB-4729-BDCB-2ACCB51DFB29}" type="pres">
      <dgm:prSet presAssocID="{D98B3002-2D95-4024-B2B9-236CE3E580B3}" presName="conn2-1" presStyleLbl="parChTrans1D3" presStyleIdx="3" presStyleCnt="5"/>
      <dgm:spPr/>
    </dgm:pt>
    <dgm:pt modelId="{73399A1C-AE93-49E5-9FAE-4BFC19565A8E}" type="pres">
      <dgm:prSet presAssocID="{D98B3002-2D95-4024-B2B9-236CE3E580B3}" presName="connTx" presStyleLbl="parChTrans1D3" presStyleIdx="3" presStyleCnt="5"/>
      <dgm:spPr/>
    </dgm:pt>
    <dgm:pt modelId="{0ADE68EF-4AB3-471A-AF16-E585868F9B57}" type="pres">
      <dgm:prSet presAssocID="{0C6F5C03-AE29-4B7A-AD44-2D21990BF01F}" presName="root2" presStyleCnt="0"/>
      <dgm:spPr/>
    </dgm:pt>
    <dgm:pt modelId="{EB2C0FE4-5449-41B7-8290-2A8BFEFAD304}" type="pres">
      <dgm:prSet presAssocID="{0C6F5C03-AE29-4B7A-AD44-2D21990BF01F}" presName="LevelTwoTextNode" presStyleLbl="node3" presStyleIdx="3" presStyleCnt="5">
        <dgm:presLayoutVars>
          <dgm:chPref val="3"/>
        </dgm:presLayoutVars>
      </dgm:prSet>
      <dgm:spPr/>
    </dgm:pt>
    <dgm:pt modelId="{794B38B6-9D37-404E-8481-127165A175BA}" type="pres">
      <dgm:prSet presAssocID="{0C6F5C03-AE29-4B7A-AD44-2D21990BF01F}" presName="level3hierChild" presStyleCnt="0"/>
      <dgm:spPr/>
    </dgm:pt>
    <dgm:pt modelId="{10C0587D-DAAE-4DBC-884B-BB3BC19BEB96}" type="pres">
      <dgm:prSet presAssocID="{8CA01D95-87C2-4715-A81A-8B026A659A00}" presName="conn2-1" presStyleLbl="parChTrans1D4" presStyleIdx="51" presStyleCnt="76"/>
      <dgm:spPr/>
    </dgm:pt>
    <dgm:pt modelId="{88A53AA3-714E-454E-BE28-43C58B6415A4}" type="pres">
      <dgm:prSet presAssocID="{8CA01D95-87C2-4715-A81A-8B026A659A00}" presName="connTx" presStyleLbl="parChTrans1D4" presStyleIdx="51" presStyleCnt="76"/>
      <dgm:spPr/>
    </dgm:pt>
    <dgm:pt modelId="{C4686FA9-F21E-46AA-930B-22F7A8C7AC4C}" type="pres">
      <dgm:prSet presAssocID="{CEB9EEE3-0DB7-4EB5-914A-33A87026F783}" presName="root2" presStyleCnt="0"/>
      <dgm:spPr/>
    </dgm:pt>
    <dgm:pt modelId="{DF72AFFB-0D20-4446-85D0-4AF7A28F0F41}" type="pres">
      <dgm:prSet presAssocID="{CEB9EEE3-0DB7-4EB5-914A-33A87026F783}" presName="LevelTwoTextNode" presStyleLbl="node4" presStyleIdx="51" presStyleCnt="76">
        <dgm:presLayoutVars>
          <dgm:chPref val="3"/>
        </dgm:presLayoutVars>
      </dgm:prSet>
      <dgm:spPr/>
    </dgm:pt>
    <dgm:pt modelId="{15029EEE-BED3-49FB-B2AF-03DEDE24C3F5}" type="pres">
      <dgm:prSet presAssocID="{CEB9EEE3-0DB7-4EB5-914A-33A87026F783}" presName="level3hierChild" presStyleCnt="0"/>
      <dgm:spPr/>
    </dgm:pt>
    <dgm:pt modelId="{15852B67-18C2-4A0A-BF10-6F3FCB3AC9E0}" type="pres">
      <dgm:prSet presAssocID="{0B5B8A49-2F73-4DEE-9555-79FA2C9F8F9D}" presName="conn2-1" presStyleLbl="parChTrans1D4" presStyleIdx="52" presStyleCnt="76"/>
      <dgm:spPr/>
    </dgm:pt>
    <dgm:pt modelId="{388C44C4-C64B-4E2C-BCEA-793FFE782FDC}" type="pres">
      <dgm:prSet presAssocID="{0B5B8A49-2F73-4DEE-9555-79FA2C9F8F9D}" presName="connTx" presStyleLbl="parChTrans1D4" presStyleIdx="52" presStyleCnt="76"/>
      <dgm:spPr/>
    </dgm:pt>
    <dgm:pt modelId="{36ED4102-1720-4D07-A5F0-AA48B78628DD}" type="pres">
      <dgm:prSet presAssocID="{E55BB7B8-BE7F-4E1B-8EE7-336B73A973F4}" presName="root2" presStyleCnt="0"/>
      <dgm:spPr/>
    </dgm:pt>
    <dgm:pt modelId="{FDE64530-8D6E-40B2-8BF6-CC6A66A44B7F}" type="pres">
      <dgm:prSet presAssocID="{E55BB7B8-BE7F-4E1B-8EE7-336B73A973F4}" presName="LevelTwoTextNode" presStyleLbl="node4" presStyleIdx="52" presStyleCnt="76">
        <dgm:presLayoutVars>
          <dgm:chPref val="3"/>
        </dgm:presLayoutVars>
      </dgm:prSet>
      <dgm:spPr/>
    </dgm:pt>
    <dgm:pt modelId="{1A72D9F2-86E8-4CD0-B1A1-01B0C27E885E}" type="pres">
      <dgm:prSet presAssocID="{E55BB7B8-BE7F-4E1B-8EE7-336B73A973F4}" presName="level3hierChild" presStyleCnt="0"/>
      <dgm:spPr/>
    </dgm:pt>
    <dgm:pt modelId="{D832059A-A2C6-4344-9BBC-4876E486EC40}" type="pres">
      <dgm:prSet presAssocID="{207EE5DA-C725-4C29-B667-E1F151627784}" presName="conn2-1" presStyleLbl="parChTrans1D4" presStyleIdx="53" presStyleCnt="76"/>
      <dgm:spPr/>
    </dgm:pt>
    <dgm:pt modelId="{FB7F64DC-0E9B-4676-B402-E554ED282DD6}" type="pres">
      <dgm:prSet presAssocID="{207EE5DA-C725-4C29-B667-E1F151627784}" presName="connTx" presStyleLbl="parChTrans1D4" presStyleIdx="53" presStyleCnt="76"/>
      <dgm:spPr/>
    </dgm:pt>
    <dgm:pt modelId="{4ABFEA5D-00B5-4431-AA04-9128BFB98A6C}" type="pres">
      <dgm:prSet presAssocID="{C1729BFA-C073-4F6F-83BF-4EA061BBCC3E}" presName="root2" presStyleCnt="0"/>
      <dgm:spPr/>
    </dgm:pt>
    <dgm:pt modelId="{819C5C5A-EA00-4BEF-9898-0DF5F076F405}" type="pres">
      <dgm:prSet presAssocID="{C1729BFA-C073-4F6F-83BF-4EA061BBCC3E}" presName="LevelTwoTextNode" presStyleLbl="node4" presStyleIdx="53" presStyleCnt="76">
        <dgm:presLayoutVars>
          <dgm:chPref val="3"/>
        </dgm:presLayoutVars>
      </dgm:prSet>
      <dgm:spPr/>
    </dgm:pt>
    <dgm:pt modelId="{DC745D28-013C-43EB-93C1-8F9D63BC0AC9}" type="pres">
      <dgm:prSet presAssocID="{C1729BFA-C073-4F6F-83BF-4EA061BBCC3E}" presName="level3hierChild" presStyleCnt="0"/>
      <dgm:spPr/>
    </dgm:pt>
    <dgm:pt modelId="{040A1CE8-79AB-42AE-8D5F-75C6EDA77FFC}" type="pres">
      <dgm:prSet presAssocID="{0E650592-BF7A-4C23-B5E8-C5EBFDC56C86}" presName="conn2-1" presStyleLbl="parChTrans1D4" presStyleIdx="54" presStyleCnt="76"/>
      <dgm:spPr/>
    </dgm:pt>
    <dgm:pt modelId="{0AFF26C5-369E-4ECC-8881-D90FF6009AD6}" type="pres">
      <dgm:prSet presAssocID="{0E650592-BF7A-4C23-B5E8-C5EBFDC56C86}" presName="connTx" presStyleLbl="parChTrans1D4" presStyleIdx="54" presStyleCnt="76"/>
      <dgm:spPr/>
    </dgm:pt>
    <dgm:pt modelId="{3B8368FD-1B02-4EC0-8862-8626141447F9}" type="pres">
      <dgm:prSet presAssocID="{E1E9BEB6-55C9-4032-BF4A-C91401A543A1}" presName="root2" presStyleCnt="0"/>
      <dgm:spPr/>
    </dgm:pt>
    <dgm:pt modelId="{C3F0E2DB-C201-4BA4-8F68-6C477C2C59CC}" type="pres">
      <dgm:prSet presAssocID="{E1E9BEB6-55C9-4032-BF4A-C91401A543A1}" presName="LevelTwoTextNode" presStyleLbl="node4" presStyleIdx="54" presStyleCnt="76">
        <dgm:presLayoutVars>
          <dgm:chPref val="3"/>
        </dgm:presLayoutVars>
      </dgm:prSet>
      <dgm:spPr/>
    </dgm:pt>
    <dgm:pt modelId="{6D0E8394-641D-43F3-B096-ECC5D68EF044}" type="pres">
      <dgm:prSet presAssocID="{E1E9BEB6-55C9-4032-BF4A-C91401A543A1}" presName="level3hierChild" presStyleCnt="0"/>
      <dgm:spPr/>
    </dgm:pt>
    <dgm:pt modelId="{70963B69-08BB-4D6F-B45B-0CD3EFF40D6C}" type="pres">
      <dgm:prSet presAssocID="{8C6DF3F3-5ECD-4897-809A-975B2803388D}" presName="conn2-1" presStyleLbl="parChTrans1D4" presStyleIdx="55" presStyleCnt="76"/>
      <dgm:spPr/>
    </dgm:pt>
    <dgm:pt modelId="{FDE79D68-709A-4BBA-B054-0334042F0401}" type="pres">
      <dgm:prSet presAssocID="{8C6DF3F3-5ECD-4897-809A-975B2803388D}" presName="connTx" presStyleLbl="parChTrans1D4" presStyleIdx="55" presStyleCnt="76"/>
      <dgm:spPr/>
    </dgm:pt>
    <dgm:pt modelId="{264653ED-5E45-46FB-B6FB-D02F51D92482}" type="pres">
      <dgm:prSet presAssocID="{F2D3C520-4C76-46DE-B208-E694BB4F9DCF}" presName="root2" presStyleCnt="0"/>
      <dgm:spPr/>
    </dgm:pt>
    <dgm:pt modelId="{28C436FE-84D7-4BED-A57A-056331A792E4}" type="pres">
      <dgm:prSet presAssocID="{F2D3C520-4C76-46DE-B208-E694BB4F9DCF}" presName="LevelTwoTextNode" presStyleLbl="node4" presStyleIdx="55" presStyleCnt="76">
        <dgm:presLayoutVars>
          <dgm:chPref val="3"/>
        </dgm:presLayoutVars>
      </dgm:prSet>
      <dgm:spPr/>
    </dgm:pt>
    <dgm:pt modelId="{0365C0D0-CE30-4B21-9CB0-9E480AB0EBE8}" type="pres">
      <dgm:prSet presAssocID="{F2D3C520-4C76-46DE-B208-E694BB4F9DCF}" presName="level3hierChild" presStyleCnt="0"/>
      <dgm:spPr/>
    </dgm:pt>
    <dgm:pt modelId="{88B83AB6-9B9C-43C6-8A71-2C2D933CBB33}" type="pres">
      <dgm:prSet presAssocID="{C2069357-9119-4184-BF12-4CF3FA2B84BB}" presName="conn2-1" presStyleLbl="parChTrans1D4" presStyleIdx="56" presStyleCnt="76"/>
      <dgm:spPr/>
    </dgm:pt>
    <dgm:pt modelId="{59DC8487-7C66-4D82-A00B-80A82798C55B}" type="pres">
      <dgm:prSet presAssocID="{C2069357-9119-4184-BF12-4CF3FA2B84BB}" presName="connTx" presStyleLbl="parChTrans1D4" presStyleIdx="56" presStyleCnt="76"/>
      <dgm:spPr/>
    </dgm:pt>
    <dgm:pt modelId="{28B41566-4FB1-46FA-A647-FB5CA860D22E}" type="pres">
      <dgm:prSet presAssocID="{CEDCA276-BD4E-40EC-80E8-35C8CB8546CB}" presName="root2" presStyleCnt="0"/>
      <dgm:spPr/>
    </dgm:pt>
    <dgm:pt modelId="{743D2609-03A2-4F18-BA8C-E4D9A78EE630}" type="pres">
      <dgm:prSet presAssocID="{CEDCA276-BD4E-40EC-80E8-35C8CB8546CB}" presName="LevelTwoTextNode" presStyleLbl="node4" presStyleIdx="56" presStyleCnt="76">
        <dgm:presLayoutVars>
          <dgm:chPref val="3"/>
        </dgm:presLayoutVars>
      </dgm:prSet>
      <dgm:spPr/>
    </dgm:pt>
    <dgm:pt modelId="{68D76BEF-06E1-4FF7-ABFB-BC58F99479DB}" type="pres">
      <dgm:prSet presAssocID="{CEDCA276-BD4E-40EC-80E8-35C8CB8546CB}" presName="level3hierChild" presStyleCnt="0"/>
      <dgm:spPr/>
    </dgm:pt>
    <dgm:pt modelId="{EFE81196-CCD8-43A7-8370-1EBC0B05E8EC}" type="pres">
      <dgm:prSet presAssocID="{440FBDA6-B639-4EDE-BBA1-11B534182D12}" presName="conn2-1" presStyleLbl="parChTrans1D4" presStyleIdx="57" presStyleCnt="76"/>
      <dgm:spPr/>
    </dgm:pt>
    <dgm:pt modelId="{2B92A701-D06E-4107-A3C5-B706EB47541B}" type="pres">
      <dgm:prSet presAssocID="{440FBDA6-B639-4EDE-BBA1-11B534182D12}" presName="connTx" presStyleLbl="parChTrans1D4" presStyleIdx="57" presStyleCnt="76"/>
      <dgm:spPr/>
    </dgm:pt>
    <dgm:pt modelId="{49ACA6A5-22F2-4F0F-8122-BCC0336E4CBE}" type="pres">
      <dgm:prSet presAssocID="{28F889FA-8962-40D1-BC65-A71444B0AD26}" presName="root2" presStyleCnt="0"/>
      <dgm:spPr/>
    </dgm:pt>
    <dgm:pt modelId="{BF1A134C-0B47-4824-B640-DF711560FDE7}" type="pres">
      <dgm:prSet presAssocID="{28F889FA-8962-40D1-BC65-A71444B0AD26}" presName="LevelTwoTextNode" presStyleLbl="node4" presStyleIdx="57" presStyleCnt="76">
        <dgm:presLayoutVars>
          <dgm:chPref val="3"/>
        </dgm:presLayoutVars>
      </dgm:prSet>
      <dgm:spPr/>
    </dgm:pt>
    <dgm:pt modelId="{B6C0889A-BD02-48F1-922D-EB5BA4215C7C}" type="pres">
      <dgm:prSet presAssocID="{28F889FA-8962-40D1-BC65-A71444B0AD26}" presName="level3hierChild" presStyleCnt="0"/>
      <dgm:spPr/>
    </dgm:pt>
    <dgm:pt modelId="{F749927E-45CE-4087-A826-4A0B75D14CC8}" type="pres">
      <dgm:prSet presAssocID="{769CD5E5-8EF8-4B23-9BF1-DD352F5A9D78}" presName="conn2-1" presStyleLbl="parChTrans1D4" presStyleIdx="58" presStyleCnt="76"/>
      <dgm:spPr/>
    </dgm:pt>
    <dgm:pt modelId="{C2AACA57-F557-44D4-8C59-E3E513ABB447}" type="pres">
      <dgm:prSet presAssocID="{769CD5E5-8EF8-4B23-9BF1-DD352F5A9D78}" presName="connTx" presStyleLbl="parChTrans1D4" presStyleIdx="58" presStyleCnt="76"/>
      <dgm:spPr/>
    </dgm:pt>
    <dgm:pt modelId="{01C8189B-379C-4786-A8BE-3EA12B1F01AA}" type="pres">
      <dgm:prSet presAssocID="{A917E045-B63D-4BAB-B513-81A18BD43B50}" presName="root2" presStyleCnt="0"/>
      <dgm:spPr/>
    </dgm:pt>
    <dgm:pt modelId="{DABDDCAC-0080-4976-8C11-603F8CC3316D}" type="pres">
      <dgm:prSet presAssocID="{A917E045-B63D-4BAB-B513-81A18BD43B50}" presName="LevelTwoTextNode" presStyleLbl="node4" presStyleIdx="58" presStyleCnt="76">
        <dgm:presLayoutVars>
          <dgm:chPref val="3"/>
        </dgm:presLayoutVars>
      </dgm:prSet>
      <dgm:spPr/>
    </dgm:pt>
    <dgm:pt modelId="{75CBBB28-74C5-4B5A-96DE-A9E0095CDC3D}" type="pres">
      <dgm:prSet presAssocID="{A917E045-B63D-4BAB-B513-81A18BD43B50}" presName="level3hierChild" presStyleCnt="0"/>
      <dgm:spPr/>
    </dgm:pt>
    <dgm:pt modelId="{5E789571-F673-4348-8EB9-BA721675B9EC}" type="pres">
      <dgm:prSet presAssocID="{241658DD-FEE4-49C9-A97D-8333EA7384A7}" presName="conn2-1" presStyleLbl="parChTrans1D4" presStyleIdx="59" presStyleCnt="76"/>
      <dgm:spPr/>
    </dgm:pt>
    <dgm:pt modelId="{6F3D22EC-9AC9-4135-8796-F1AEA4ABF95B}" type="pres">
      <dgm:prSet presAssocID="{241658DD-FEE4-49C9-A97D-8333EA7384A7}" presName="connTx" presStyleLbl="parChTrans1D4" presStyleIdx="59" presStyleCnt="76"/>
      <dgm:spPr/>
    </dgm:pt>
    <dgm:pt modelId="{BC2740ED-E70F-4E5C-8C2C-3665577B85E2}" type="pres">
      <dgm:prSet presAssocID="{2268D4E2-3337-4AC4-91E0-0C944C36E5D9}" presName="root2" presStyleCnt="0"/>
      <dgm:spPr/>
    </dgm:pt>
    <dgm:pt modelId="{B20BB301-4E30-49B9-892A-07EB874D9668}" type="pres">
      <dgm:prSet presAssocID="{2268D4E2-3337-4AC4-91E0-0C944C36E5D9}" presName="LevelTwoTextNode" presStyleLbl="node4" presStyleIdx="59" presStyleCnt="76">
        <dgm:presLayoutVars>
          <dgm:chPref val="3"/>
        </dgm:presLayoutVars>
      </dgm:prSet>
      <dgm:spPr/>
    </dgm:pt>
    <dgm:pt modelId="{0923308E-5BAE-4F18-9F41-4F9CAE3BE414}" type="pres">
      <dgm:prSet presAssocID="{2268D4E2-3337-4AC4-91E0-0C944C36E5D9}" presName="level3hierChild" presStyleCnt="0"/>
      <dgm:spPr/>
    </dgm:pt>
    <dgm:pt modelId="{181C7374-AA1E-4A1E-9589-1B7A64BD4575}" type="pres">
      <dgm:prSet presAssocID="{B221B034-B101-4364-A99D-BB621DC3176F}" presName="conn2-1" presStyleLbl="parChTrans1D4" presStyleIdx="60" presStyleCnt="76"/>
      <dgm:spPr/>
    </dgm:pt>
    <dgm:pt modelId="{39467E77-003F-4EA2-93C4-142B9D4C1532}" type="pres">
      <dgm:prSet presAssocID="{B221B034-B101-4364-A99D-BB621DC3176F}" presName="connTx" presStyleLbl="parChTrans1D4" presStyleIdx="60" presStyleCnt="76"/>
      <dgm:spPr/>
    </dgm:pt>
    <dgm:pt modelId="{840F20DD-34C4-4B17-B34F-998AB65815EF}" type="pres">
      <dgm:prSet presAssocID="{5AF2E384-309D-4D95-A2C9-E6F236CC88A2}" presName="root2" presStyleCnt="0"/>
      <dgm:spPr/>
    </dgm:pt>
    <dgm:pt modelId="{634AF929-D582-43B7-A338-C27B7E28E518}" type="pres">
      <dgm:prSet presAssocID="{5AF2E384-309D-4D95-A2C9-E6F236CC88A2}" presName="LevelTwoTextNode" presStyleLbl="node4" presStyleIdx="60" presStyleCnt="76">
        <dgm:presLayoutVars>
          <dgm:chPref val="3"/>
        </dgm:presLayoutVars>
      </dgm:prSet>
      <dgm:spPr/>
    </dgm:pt>
    <dgm:pt modelId="{773DC758-B58C-40BC-AAFA-EEF59B33B9AE}" type="pres">
      <dgm:prSet presAssocID="{5AF2E384-309D-4D95-A2C9-E6F236CC88A2}" presName="level3hierChild" presStyleCnt="0"/>
      <dgm:spPr/>
    </dgm:pt>
    <dgm:pt modelId="{5994E621-2924-40EB-9D1E-49040ED745C3}" type="pres">
      <dgm:prSet presAssocID="{04E71C4E-9225-4496-9789-C05A689A0111}" presName="conn2-1" presStyleLbl="parChTrans1D4" presStyleIdx="61" presStyleCnt="76"/>
      <dgm:spPr/>
    </dgm:pt>
    <dgm:pt modelId="{58D55649-DBCF-4888-AD7E-2ED7A3E3907D}" type="pres">
      <dgm:prSet presAssocID="{04E71C4E-9225-4496-9789-C05A689A0111}" presName="connTx" presStyleLbl="parChTrans1D4" presStyleIdx="61" presStyleCnt="76"/>
      <dgm:spPr/>
    </dgm:pt>
    <dgm:pt modelId="{B064F247-3FCF-49E5-BF9A-EDCC05DD7B03}" type="pres">
      <dgm:prSet presAssocID="{A50ECC7F-F082-48AD-95BE-7A99DAFA7247}" presName="root2" presStyleCnt="0"/>
      <dgm:spPr/>
    </dgm:pt>
    <dgm:pt modelId="{39ECC9FB-6E30-4164-9CCB-5EF7BFE769EF}" type="pres">
      <dgm:prSet presAssocID="{A50ECC7F-F082-48AD-95BE-7A99DAFA7247}" presName="LevelTwoTextNode" presStyleLbl="node4" presStyleIdx="61" presStyleCnt="76">
        <dgm:presLayoutVars>
          <dgm:chPref val="3"/>
        </dgm:presLayoutVars>
      </dgm:prSet>
      <dgm:spPr/>
    </dgm:pt>
    <dgm:pt modelId="{0F932966-C525-40D3-A959-6CC18B1632FA}" type="pres">
      <dgm:prSet presAssocID="{A50ECC7F-F082-48AD-95BE-7A99DAFA7247}" presName="level3hierChild" presStyleCnt="0"/>
      <dgm:spPr/>
    </dgm:pt>
    <dgm:pt modelId="{5B6491E9-2C27-4B90-A2E1-04724995B4AE}" type="pres">
      <dgm:prSet presAssocID="{50A524DF-4E2C-4B41-826D-3791FA45D8D6}" presName="conn2-1" presStyleLbl="parChTrans1D4" presStyleIdx="62" presStyleCnt="76"/>
      <dgm:spPr/>
    </dgm:pt>
    <dgm:pt modelId="{CFF3BB5D-6787-4B65-A44B-DD761A5D63AB}" type="pres">
      <dgm:prSet presAssocID="{50A524DF-4E2C-4B41-826D-3791FA45D8D6}" presName="connTx" presStyleLbl="parChTrans1D4" presStyleIdx="62" presStyleCnt="76"/>
      <dgm:spPr/>
    </dgm:pt>
    <dgm:pt modelId="{E16F0262-C654-4D5F-985B-D2C8A4177A57}" type="pres">
      <dgm:prSet presAssocID="{7B80C8AF-2855-4BF7-98E3-5BE9896D5446}" presName="root2" presStyleCnt="0"/>
      <dgm:spPr/>
    </dgm:pt>
    <dgm:pt modelId="{31B686EE-70EE-4BEC-890F-29897C770DE7}" type="pres">
      <dgm:prSet presAssocID="{7B80C8AF-2855-4BF7-98E3-5BE9896D5446}" presName="LevelTwoTextNode" presStyleLbl="node4" presStyleIdx="62" presStyleCnt="76">
        <dgm:presLayoutVars>
          <dgm:chPref val="3"/>
        </dgm:presLayoutVars>
      </dgm:prSet>
      <dgm:spPr/>
    </dgm:pt>
    <dgm:pt modelId="{9B6175B6-94DC-4B1D-827D-AC86841B21DE}" type="pres">
      <dgm:prSet presAssocID="{7B80C8AF-2855-4BF7-98E3-5BE9896D5446}" presName="level3hierChild" presStyleCnt="0"/>
      <dgm:spPr/>
    </dgm:pt>
    <dgm:pt modelId="{6E4F4CCC-D468-475E-945D-90F694E4EE07}" type="pres">
      <dgm:prSet presAssocID="{32F71D42-3616-4F03-9997-E816E1E22FC6}" presName="conn2-1" presStyleLbl="parChTrans1D4" presStyleIdx="63" presStyleCnt="76"/>
      <dgm:spPr/>
    </dgm:pt>
    <dgm:pt modelId="{245D5B02-BDED-4691-BE25-E4462F7700F0}" type="pres">
      <dgm:prSet presAssocID="{32F71D42-3616-4F03-9997-E816E1E22FC6}" presName="connTx" presStyleLbl="parChTrans1D4" presStyleIdx="63" presStyleCnt="76"/>
      <dgm:spPr/>
    </dgm:pt>
    <dgm:pt modelId="{B3B30B95-7DAD-41C7-B71A-145FB703C204}" type="pres">
      <dgm:prSet presAssocID="{A18080F3-39CA-4C4E-9783-2119E2310377}" presName="root2" presStyleCnt="0"/>
      <dgm:spPr/>
    </dgm:pt>
    <dgm:pt modelId="{2E41BC43-9124-4497-8B56-DD18D0F02FA2}" type="pres">
      <dgm:prSet presAssocID="{A18080F3-39CA-4C4E-9783-2119E2310377}" presName="LevelTwoTextNode" presStyleLbl="node4" presStyleIdx="63" presStyleCnt="76">
        <dgm:presLayoutVars>
          <dgm:chPref val="3"/>
        </dgm:presLayoutVars>
      </dgm:prSet>
      <dgm:spPr/>
    </dgm:pt>
    <dgm:pt modelId="{700EDBD8-6531-471D-B389-14F90B303D07}" type="pres">
      <dgm:prSet presAssocID="{A18080F3-39CA-4C4E-9783-2119E2310377}" presName="level3hierChild" presStyleCnt="0"/>
      <dgm:spPr/>
    </dgm:pt>
    <dgm:pt modelId="{309EF94E-6B8E-43D7-914B-AD99793F8E6C}" type="pres">
      <dgm:prSet presAssocID="{153463DF-F67C-4DF7-985E-188339D3464C}" presName="conn2-1" presStyleLbl="parChTrans1D4" presStyleIdx="64" presStyleCnt="76"/>
      <dgm:spPr/>
    </dgm:pt>
    <dgm:pt modelId="{3D4668D5-B54D-4A09-A331-F7C48ECC3D72}" type="pres">
      <dgm:prSet presAssocID="{153463DF-F67C-4DF7-985E-188339D3464C}" presName="connTx" presStyleLbl="parChTrans1D4" presStyleIdx="64" presStyleCnt="76"/>
      <dgm:spPr/>
    </dgm:pt>
    <dgm:pt modelId="{0D61D983-D82B-4491-9449-EF276D1E0CD9}" type="pres">
      <dgm:prSet presAssocID="{0F850AF8-1C33-471D-A61F-A701FBC81280}" presName="root2" presStyleCnt="0"/>
      <dgm:spPr/>
    </dgm:pt>
    <dgm:pt modelId="{22CAC938-52FF-49C9-9080-C6390E59D2B9}" type="pres">
      <dgm:prSet presAssocID="{0F850AF8-1C33-471D-A61F-A701FBC81280}" presName="LevelTwoTextNode" presStyleLbl="node4" presStyleIdx="64" presStyleCnt="76">
        <dgm:presLayoutVars>
          <dgm:chPref val="3"/>
        </dgm:presLayoutVars>
      </dgm:prSet>
      <dgm:spPr/>
    </dgm:pt>
    <dgm:pt modelId="{04E2146B-3AF8-4974-830E-B79F14BA2483}" type="pres">
      <dgm:prSet presAssocID="{0F850AF8-1C33-471D-A61F-A701FBC81280}" presName="level3hierChild" presStyleCnt="0"/>
      <dgm:spPr/>
    </dgm:pt>
    <dgm:pt modelId="{0510F77E-5529-4BA9-8043-98F7A928DD18}" type="pres">
      <dgm:prSet presAssocID="{6EA682D1-D1FC-4867-8B24-B35EEF5CE6F4}" presName="conn2-1" presStyleLbl="parChTrans1D4" presStyleIdx="65" presStyleCnt="76"/>
      <dgm:spPr/>
    </dgm:pt>
    <dgm:pt modelId="{C672F8BC-0464-416B-9966-6301034705F9}" type="pres">
      <dgm:prSet presAssocID="{6EA682D1-D1FC-4867-8B24-B35EEF5CE6F4}" presName="connTx" presStyleLbl="parChTrans1D4" presStyleIdx="65" presStyleCnt="76"/>
      <dgm:spPr/>
    </dgm:pt>
    <dgm:pt modelId="{3365891B-3CA9-49C5-B40E-EAC019E35092}" type="pres">
      <dgm:prSet presAssocID="{369E570B-853D-48A1-8083-AD70E7ECCA2A}" presName="root2" presStyleCnt="0"/>
      <dgm:spPr/>
    </dgm:pt>
    <dgm:pt modelId="{08B761A3-12DC-4A6B-83F1-EE137576BC03}" type="pres">
      <dgm:prSet presAssocID="{369E570B-853D-48A1-8083-AD70E7ECCA2A}" presName="LevelTwoTextNode" presStyleLbl="node4" presStyleIdx="65" presStyleCnt="76">
        <dgm:presLayoutVars>
          <dgm:chPref val="3"/>
        </dgm:presLayoutVars>
      </dgm:prSet>
      <dgm:spPr/>
    </dgm:pt>
    <dgm:pt modelId="{1B0D5913-A864-4293-A527-BDA8C84FD05B}" type="pres">
      <dgm:prSet presAssocID="{369E570B-853D-48A1-8083-AD70E7ECCA2A}" presName="level3hierChild" presStyleCnt="0"/>
      <dgm:spPr/>
    </dgm:pt>
    <dgm:pt modelId="{DD660567-14CD-4E83-84E6-689616DBA23C}" type="pres">
      <dgm:prSet presAssocID="{9432E236-2C8F-477E-A018-785C4B6BA5F7}" presName="conn2-1" presStyleLbl="parChTrans1D4" presStyleIdx="66" presStyleCnt="76"/>
      <dgm:spPr/>
    </dgm:pt>
    <dgm:pt modelId="{04E15F46-BEDB-4DBE-A8F1-738C1F263F21}" type="pres">
      <dgm:prSet presAssocID="{9432E236-2C8F-477E-A018-785C4B6BA5F7}" presName="connTx" presStyleLbl="parChTrans1D4" presStyleIdx="66" presStyleCnt="76"/>
      <dgm:spPr/>
    </dgm:pt>
    <dgm:pt modelId="{B66C77F1-603F-48BA-9B4E-A4CE48F40BEA}" type="pres">
      <dgm:prSet presAssocID="{C166959C-7CC3-43F3-932D-F60302FDC9C2}" presName="root2" presStyleCnt="0"/>
      <dgm:spPr/>
    </dgm:pt>
    <dgm:pt modelId="{1289F5E7-1221-4107-9DD4-A0DF23B72F2A}" type="pres">
      <dgm:prSet presAssocID="{C166959C-7CC3-43F3-932D-F60302FDC9C2}" presName="LevelTwoTextNode" presStyleLbl="node4" presStyleIdx="66" presStyleCnt="76">
        <dgm:presLayoutVars>
          <dgm:chPref val="3"/>
        </dgm:presLayoutVars>
      </dgm:prSet>
      <dgm:spPr/>
    </dgm:pt>
    <dgm:pt modelId="{82686892-BCB6-40E1-803E-6204D4162E36}" type="pres">
      <dgm:prSet presAssocID="{C166959C-7CC3-43F3-932D-F60302FDC9C2}" presName="level3hierChild" presStyleCnt="0"/>
      <dgm:spPr/>
    </dgm:pt>
    <dgm:pt modelId="{65989A29-8BC5-451C-99BF-14E7A52E6794}" type="pres">
      <dgm:prSet presAssocID="{7F55E47F-3B59-43BA-A4EE-C987876BA80E}" presName="conn2-1" presStyleLbl="parChTrans1D4" presStyleIdx="67" presStyleCnt="76"/>
      <dgm:spPr/>
    </dgm:pt>
    <dgm:pt modelId="{1445AA94-F90F-4818-A6EB-505EDF1C875C}" type="pres">
      <dgm:prSet presAssocID="{7F55E47F-3B59-43BA-A4EE-C987876BA80E}" presName="connTx" presStyleLbl="parChTrans1D4" presStyleIdx="67" presStyleCnt="76"/>
      <dgm:spPr/>
    </dgm:pt>
    <dgm:pt modelId="{41532427-8876-49B9-A770-A918E58138DB}" type="pres">
      <dgm:prSet presAssocID="{C7CAC2AC-E589-4F8F-89B8-F80EE4F440B8}" presName="root2" presStyleCnt="0"/>
      <dgm:spPr/>
    </dgm:pt>
    <dgm:pt modelId="{81B71E9A-A88A-4A72-AC96-3EF81EFD9747}" type="pres">
      <dgm:prSet presAssocID="{C7CAC2AC-E589-4F8F-89B8-F80EE4F440B8}" presName="LevelTwoTextNode" presStyleLbl="node4" presStyleIdx="67" presStyleCnt="76">
        <dgm:presLayoutVars>
          <dgm:chPref val="3"/>
        </dgm:presLayoutVars>
      </dgm:prSet>
      <dgm:spPr/>
    </dgm:pt>
    <dgm:pt modelId="{142A4873-2149-4344-95E1-D4F5ECB4B577}" type="pres">
      <dgm:prSet presAssocID="{C7CAC2AC-E589-4F8F-89B8-F80EE4F440B8}" presName="level3hierChild" presStyleCnt="0"/>
      <dgm:spPr/>
    </dgm:pt>
    <dgm:pt modelId="{5C7A560B-2F3C-4741-A271-CB1DCE164347}" type="pres">
      <dgm:prSet presAssocID="{E1DC108B-B89B-421A-882E-C3354901C37A}" presName="conn2-1" presStyleLbl="parChTrans1D4" presStyleIdx="68" presStyleCnt="76"/>
      <dgm:spPr/>
    </dgm:pt>
    <dgm:pt modelId="{88B4B8D4-F835-41E0-B010-E7ABE897EF7D}" type="pres">
      <dgm:prSet presAssocID="{E1DC108B-B89B-421A-882E-C3354901C37A}" presName="connTx" presStyleLbl="parChTrans1D4" presStyleIdx="68" presStyleCnt="76"/>
      <dgm:spPr/>
    </dgm:pt>
    <dgm:pt modelId="{48180527-CCB1-499F-ACB3-53DAA9E9BB65}" type="pres">
      <dgm:prSet presAssocID="{913A2DB0-64ED-4EC6-99E9-102A4C83260E}" presName="root2" presStyleCnt="0"/>
      <dgm:spPr/>
    </dgm:pt>
    <dgm:pt modelId="{C588E089-AA56-40E8-9654-62ECF603B2BB}" type="pres">
      <dgm:prSet presAssocID="{913A2DB0-64ED-4EC6-99E9-102A4C83260E}" presName="LevelTwoTextNode" presStyleLbl="node4" presStyleIdx="68" presStyleCnt="76">
        <dgm:presLayoutVars>
          <dgm:chPref val="3"/>
        </dgm:presLayoutVars>
      </dgm:prSet>
      <dgm:spPr/>
    </dgm:pt>
    <dgm:pt modelId="{C9AD4321-8C2D-46D3-B79E-6204E99645E6}" type="pres">
      <dgm:prSet presAssocID="{913A2DB0-64ED-4EC6-99E9-102A4C83260E}" presName="level3hierChild" presStyleCnt="0"/>
      <dgm:spPr/>
    </dgm:pt>
    <dgm:pt modelId="{C70C8673-7E59-4711-A1B4-5E54F2F79316}" type="pres">
      <dgm:prSet presAssocID="{2F506D52-88EB-426E-AE79-C208E1088EE6}" presName="conn2-1" presStyleLbl="parChTrans1D4" presStyleIdx="69" presStyleCnt="76"/>
      <dgm:spPr/>
    </dgm:pt>
    <dgm:pt modelId="{DA8EF96F-9DA8-4C31-871D-3FF72EA05740}" type="pres">
      <dgm:prSet presAssocID="{2F506D52-88EB-426E-AE79-C208E1088EE6}" presName="connTx" presStyleLbl="parChTrans1D4" presStyleIdx="69" presStyleCnt="76"/>
      <dgm:spPr/>
    </dgm:pt>
    <dgm:pt modelId="{CEA71160-5D59-437B-BD20-DF874693B629}" type="pres">
      <dgm:prSet presAssocID="{C849D1F5-C0EA-4449-880F-32B904D9870A}" presName="root2" presStyleCnt="0"/>
      <dgm:spPr/>
    </dgm:pt>
    <dgm:pt modelId="{6FF78341-1B6D-4A61-B30D-794E29C87A9B}" type="pres">
      <dgm:prSet presAssocID="{C849D1F5-C0EA-4449-880F-32B904D9870A}" presName="LevelTwoTextNode" presStyleLbl="node4" presStyleIdx="69" presStyleCnt="76">
        <dgm:presLayoutVars>
          <dgm:chPref val="3"/>
        </dgm:presLayoutVars>
      </dgm:prSet>
      <dgm:spPr/>
    </dgm:pt>
    <dgm:pt modelId="{54CF4F16-D3F0-4B3C-9399-20BEFE4E1F00}" type="pres">
      <dgm:prSet presAssocID="{C849D1F5-C0EA-4449-880F-32B904D9870A}" presName="level3hierChild" presStyleCnt="0"/>
      <dgm:spPr/>
    </dgm:pt>
    <dgm:pt modelId="{BC331464-CDDC-426F-982A-E9408DC87AF8}" type="pres">
      <dgm:prSet presAssocID="{4FD02980-7206-4FCA-A626-D07F854B42C5}" presName="conn2-1" presStyleLbl="parChTrans1D4" presStyleIdx="70" presStyleCnt="76"/>
      <dgm:spPr/>
    </dgm:pt>
    <dgm:pt modelId="{D632CF02-0305-4FC2-9F8F-F45DD23D5498}" type="pres">
      <dgm:prSet presAssocID="{4FD02980-7206-4FCA-A626-D07F854B42C5}" presName="connTx" presStyleLbl="parChTrans1D4" presStyleIdx="70" presStyleCnt="76"/>
      <dgm:spPr/>
    </dgm:pt>
    <dgm:pt modelId="{C7FC73B4-71BE-4DA9-8334-12C52742F7EB}" type="pres">
      <dgm:prSet presAssocID="{41E3ED1C-CB3C-47CD-8370-611AFBDCB4BB}" presName="root2" presStyleCnt="0"/>
      <dgm:spPr/>
    </dgm:pt>
    <dgm:pt modelId="{F5C00079-974F-4A8B-BD21-4AFB691B32A0}" type="pres">
      <dgm:prSet presAssocID="{41E3ED1C-CB3C-47CD-8370-611AFBDCB4BB}" presName="LevelTwoTextNode" presStyleLbl="node4" presStyleIdx="70" presStyleCnt="76">
        <dgm:presLayoutVars>
          <dgm:chPref val="3"/>
        </dgm:presLayoutVars>
      </dgm:prSet>
      <dgm:spPr/>
    </dgm:pt>
    <dgm:pt modelId="{B934DCC6-FA93-439A-B66D-801587412023}" type="pres">
      <dgm:prSet presAssocID="{41E3ED1C-CB3C-47CD-8370-611AFBDCB4BB}" presName="level3hierChild" presStyleCnt="0"/>
      <dgm:spPr/>
    </dgm:pt>
    <dgm:pt modelId="{0A7B5F60-05DE-4D32-817A-A39D17916A73}" type="pres">
      <dgm:prSet presAssocID="{11563BBD-4380-4FB2-A794-6EC215753A39}" presName="conn2-1" presStyleLbl="parChTrans1D4" presStyleIdx="71" presStyleCnt="76"/>
      <dgm:spPr/>
    </dgm:pt>
    <dgm:pt modelId="{0311F7E8-4AE5-4679-BC13-7F03B0112BA5}" type="pres">
      <dgm:prSet presAssocID="{11563BBD-4380-4FB2-A794-6EC215753A39}" presName="connTx" presStyleLbl="parChTrans1D4" presStyleIdx="71" presStyleCnt="76"/>
      <dgm:spPr/>
    </dgm:pt>
    <dgm:pt modelId="{51F48085-E4B7-4AF1-9EED-DFE32EDD62A6}" type="pres">
      <dgm:prSet presAssocID="{F1976BC8-6964-4FDD-B5D8-20DDC4BDCE93}" presName="root2" presStyleCnt="0"/>
      <dgm:spPr/>
    </dgm:pt>
    <dgm:pt modelId="{DF7E4E30-9F33-4E54-8DAC-34D06946FEAD}" type="pres">
      <dgm:prSet presAssocID="{F1976BC8-6964-4FDD-B5D8-20DDC4BDCE93}" presName="LevelTwoTextNode" presStyleLbl="node4" presStyleIdx="71" presStyleCnt="76">
        <dgm:presLayoutVars>
          <dgm:chPref val="3"/>
        </dgm:presLayoutVars>
      </dgm:prSet>
      <dgm:spPr/>
    </dgm:pt>
    <dgm:pt modelId="{804220C5-5BDE-4C53-8986-DD851D8D3A28}" type="pres">
      <dgm:prSet presAssocID="{F1976BC8-6964-4FDD-B5D8-20DDC4BDCE93}" presName="level3hierChild" presStyleCnt="0"/>
      <dgm:spPr/>
    </dgm:pt>
    <dgm:pt modelId="{E04E08AE-21F4-494C-8E94-9536B88193BE}" type="pres">
      <dgm:prSet presAssocID="{5CC76A71-B177-4F9F-9842-290C49FEE8BD}" presName="conn2-1" presStyleLbl="parChTrans1D4" presStyleIdx="72" presStyleCnt="76"/>
      <dgm:spPr/>
    </dgm:pt>
    <dgm:pt modelId="{98348C5F-DC54-43F0-B273-E6D73E01B5EE}" type="pres">
      <dgm:prSet presAssocID="{5CC76A71-B177-4F9F-9842-290C49FEE8BD}" presName="connTx" presStyleLbl="parChTrans1D4" presStyleIdx="72" presStyleCnt="76"/>
      <dgm:spPr/>
    </dgm:pt>
    <dgm:pt modelId="{FCF211C8-4D0E-4028-AC86-4C5B387FF6F9}" type="pres">
      <dgm:prSet presAssocID="{8D9DCCB6-EFCC-46AE-9422-301C43234003}" presName="root2" presStyleCnt="0"/>
      <dgm:spPr/>
    </dgm:pt>
    <dgm:pt modelId="{DC73BA58-4BC3-4AEE-8B42-29F7D3DF5327}" type="pres">
      <dgm:prSet presAssocID="{8D9DCCB6-EFCC-46AE-9422-301C43234003}" presName="LevelTwoTextNode" presStyleLbl="node4" presStyleIdx="72" presStyleCnt="76">
        <dgm:presLayoutVars>
          <dgm:chPref val="3"/>
        </dgm:presLayoutVars>
      </dgm:prSet>
      <dgm:spPr/>
    </dgm:pt>
    <dgm:pt modelId="{48291A40-684D-4356-A5F5-475BF0060C0A}" type="pres">
      <dgm:prSet presAssocID="{8D9DCCB6-EFCC-46AE-9422-301C43234003}" presName="level3hierChild" presStyleCnt="0"/>
      <dgm:spPr/>
    </dgm:pt>
    <dgm:pt modelId="{AA00CE5F-B06A-438B-A204-44899F7F433D}" type="pres">
      <dgm:prSet presAssocID="{64490254-8F69-45EB-9A8B-4AC1281F5C61}" presName="conn2-1" presStyleLbl="parChTrans1D4" presStyleIdx="73" presStyleCnt="76"/>
      <dgm:spPr/>
    </dgm:pt>
    <dgm:pt modelId="{F7A8EDB7-4704-4603-9083-19B245E5FCBB}" type="pres">
      <dgm:prSet presAssocID="{64490254-8F69-45EB-9A8B-4AC1281F5C61}" presName="connTx" presStyleLbl="parChTrans1D4" presStyleIdx="73" presStyleCnt="76"/>
      <dgm:spPr/>
    </dgm:pt>
    <dgm:pt modelId="{C2E3D309-6D9C-4A0E-A6C9-9B092902DAD6}" type="pres">
      <dgm:prSet presAssocID="{F6B18E9E-DCBB-4DCB-B495-AA150974F0D8}" presName="root2" presStyleCnt="0"/>
      <dgm:spPr/>
    </dgm:pt>
    <dgm:pt modelId="{712175C5-BF1B-4283-B8FE-31EC1249585C}" type="pres">
      <dgm:prSet presAssocID="{F6B18E9E-DCBB-4DCB-B495-AA150974F0D8}" presName="LevelTwoTextNode" presStyleLbl="node4" presStyleIdx="73" presStyleCnt="76">
        <dgm:presLayoutVars>
          <dgm:chPref val="3"/>
        </dgm:presLayoutVars>
      </dgm:prSet>
      <dgm:spPr/>
    </dgm:pt>
    <dgm:pt modelId="{D6FBDF51-D15E-4E48-9539-A617D2E0B6BE}" type="pres">
      <dgm:prSet presAssocID="{F6B18E9E-DCBB-4DCB-B495-AA150974F0D8}" presName="level3hierChild" presStyleCnt="0"/>
      <dgm:spPr/>
    </dgm:pt>
    <dgm:pt modelId="{D004409E-E2E7-4ACD-A696-65980A0F7E7C}" type="pres">
      <dgm:prSet presAssocID="{47C48ED1-D451-42F3-A9AF-62F6A4C8113E}" presName="conn2-1" presStyleLbl="parChTrans1D4" presStyleIdx="74" presStyleCnt="76"/>
      <dgm:spPr/>
    </dgm:pt>
    <dgm:pt modelId="{997F21E6-B53A-48A9-98B8-33DE2C8FFB40}" type="pres">
      <dgm:prSet presAssocID="{47C48ED1-D451-42F3-A9AF-62F6A4C8113E}" presName="connTx" presStyleLbl="parChTrans1D4" presStyleIdx="74" presStyleCnt="76"/>
      <dgm:spPr/>
    </dgm:pt>
    <dgm:pt modelId="{29916134-6FE0-43D3-84CA-8EB895F9EAC7}" type="pres">
      <dgm:prSet presAssocID="{D8B86579-1BE1-4E17-B6A6-D99FE602BEEA}" presName="root2" presStyleCnt="0"/>
      <dgm:spPr/>
    </dgm:pt>
    <dgm:pt modelId="{151FCCF4-9616-402F-8581-981DC270887B}" type="pres">
      <dgm:prSet presAssocID="{D8B86579-1BE1-4E17-B6A6-D99FE602BEEA}" presName="LevelTwoTextNode" presStyleLbl="node4" presStyleIdx="74" presStyleCnt="76">
        <dgm:presLayoutVars>
          <dgm:chPref val="3"/>
        </dgm:presLayoutVars>
      </dgm:prSet>
      <dgm:spPr/>
    </dgm:pt>
    <dgm:pt modelId="{BE9FBDD0-3123-48CF-88DE-A247F0842ADD}" type="pres">
      <dgm:prSet presAssocID="{D8B86579-1BE1-4E17-B6A6-D99FE602BEEA}" presName="level3hierChild" presStyleCnt="0"/>
      <dgm:spPr/>
    </dgm:pt>
    <dgm:pt modelId="{2AC473AC-5BDE-47A5-861B-8F7D4CCC4BF6}" type="pres">
      <dgm:prSet presAssocID="{17C76AB3-4369-429E-B042-35AE5979AFB4}" presName="conn2-1" presStyleLbl="parChTrans1D3" presStyleIdx="4" presStyleCnt="5"/>
      <dgm:spPr/>
    </dgm:pt>
    <dgm:pt modelId="{FEEB90B8-CF09-4013-A1DE-0AA093F7525D}" type="pres">
      <dgm:prSet presAssocID="{17C76AB3-4369-429E-B042-35AE5979AFB4}" presName="connTx" presStyleLbl="parChTrans1D3" presStyleIdx="4" presStyleCnt="5"/>
      <dgm:spPr/>
    </dgm:pt>
    <dgm:pt modelId="{50EAFB9F-6271-44F6-9517-CEBFF18C8C35}" type="pres">
      <dgm:prSet presAssocID="{9E3234AC-D87B-4669-85F7-5BB5A79AF172}" presName="root2" presStyleCnt="0"/>
      <dgm:spPr/>
    </dgm:pt>
    <dgm:pt modelId="{0A8B1590-562C-4F24-8E58-0A8A12DB9C9D}" type="pres">
      <dgm:prSet presAssocID="{9E3234AC-D87B-4669-85F7-5BB5A79AF172}" presName="LevelTwoTextNode" presStyleLbl="node3" presStyleIdx="4" presStyleCnt="5">
        <dgm:presLayoutVars>
          <dgm:chPref val="3"/>
        </dgm:presLayoutVars>
      </dgm:prSet>
      <dgm:spPr/>
    </dgm:pt>
    <dgm:pt modelId="{3FE76806-05DA-47DB-AB92-3124066B69F2}" type="pres">
      <dgm:prSet presAssocID="{9E3234AC-D87B-4669-85F7-5BB5A79AF172}" presName="level3hierChild" presStyleCnt="0"/>
      <dgm:spPr/>
    </dgm:pt>
    <dgm:pt modelId="{994F5DBD-7E9D-4209-863D-A6F5A9AD0CDC}" type="pres">
      <dgm:prSet presAssocID="{59503C2F-984D-4A72-BE25-8F679F50F4E6}" presName="conn2-1" presStyleLbl="parChTrans1D4" presStyleIdx="75" presStyleCnt="76"/>
      <dgm:spPr/>
    </dgm:pt>
    <dgm:pt modelId="{0155D115-A3FF-4DA7-9F1A-6BC857C2EE09}" type="pres">
      <dgm:prSet presAssocID="{59503C2F-984D-4A72-BE25-8F679F50F4E6}" presName="connTx" presStyleLbl="parChTrans1D4" presStyleIdx="75" presStyleCnt="76"/>
      <dgm:spPr/>
    </dgm:pt>
    <dgm:pt modelId="{7690A2CF-4281-4520-BF7E-0D2C9F9C5D23}" type="pres">
      <dgm:prSet presAssocID="{0A6A3C04-F7BE-4AC0-8892-AB2CA721666D}" presName="root2" presStyleCnt="0"/>
      <dgm:spPr/>
    </dgm:pt>
    <dgm:pt modelId="{A6798D2B-8008-44F9-A054-764E970CC125}" type="pres">
      <dgm:prSet presAssocID="{0A6A3C04-F7BE-4AC0-8892-AB2CA721666D}" presName="LevelTwoTextNode" presStyleLbl="node4" presStyleIdx="75" presStyleCnt="76">
        <dgm:presLayoutVars>
          <dgm:chPref val="3"/>
        </dgm:presLayoutVars>
      </dgm:prSet>
      <dgm:spPr/>
    </dgm:pt>
    <dgm:pt modelId="{4EF205F3-8BE7-434F-A844-8E179212822A}" type="pres">
      <dgm:prSet presAssocID="{0A6A3C04-F7BE-4AC0-8892-AB2CA721666D}" presName="level3hierChild" presStyleCnt="0"/>
      <dgm:spPr/>
    </dgm:pt>
  </dgm:ptLst>
  <dgm:cxnLst>
    <dgm:cxn modelId="{B8122500-0EEB-4371-BCF5-EDFBD3CA80AE}" type="presOf" srcId="{E278FA0D-6151-478C-8BD0-D5CBD0E3642B}" destId="{BCC57E43-9314-4D4D-8849-B40C1DD425DC}" srcOrd="1" destOrd="0" presId="urn:microsoft.com/office/officeart/2008/layout/HorizontalMultiLevelHierarchy"/>
    <dgm:cxn modelId="{A8ADCB00-4ABC-48D0-A0C0-908B968CC0BF}" type="presOf" srcId="{87055F3C-D78B-4C63-8685-7D6537C9AB2B}" destId="{8E9C1CDC-297F-4774-AAEE-273E7DD2691C}" srcOrd="0" destOrd="0" presId="urn:microsoft.com/office/officeart/2008/layout/HorizontalMultiLevelHierarchy"/>
    <dgm:cxn modelId="{D0FFCC00-DE25-43E1-875D-73D9AB6AF925}" srcId="{7B80C8AF-2855-4BF7-98E3-5BE9896D5446}" destId="{A18080F3-39CA-4C4E-9783-2119E2310377}" srcOrd="0" destOrd="0" parTransId="{32F71D42-3616-4F03-9997-E816E1E22FC6}" sibTransId="{5A2CA98E-6729-45F4-AD8A-A0DA131D2D4D}"/>
    <dgm:cxn modelId="{FDF1CE01-AB0D-4672-BD7E-BC6B5FDE4DAF}" type="presOf" srcId="{A50ECC7F-F082-48AD-95BE-7A99DAFA7247}" destId="{39ECC9FB-6E30-4164-9CCB-5EF7BFE769EF}" srcOrd="0" destOrd="0" presId="urn:microsoft.com/office/officeart/2008/layout/HorizontalMultiLevelHierarchy"/>
    <dgm:cxn modelId="{F578CE02-8F48-44A6-B9D9-4C9FB80FDF23}" type="presOf" srcId="{12FCB835-A148-461B-88AA-FDC9060306D7}" destId="{D318436A-2664-4936-B2B7-94A677B7D33A}" srcOrd="0" destOrd="0" presId="urn:microsoft.com/office/officeart/2008/layout/HorizontalMultiLevelHierarchy"/>
    <dgm:cxn modelId="{BC9D6C03-512F-46B7-A60A-FE3BF4C2F1BF}" type="presOf" srcId="{7E0FE22B-0A6A-4EFA-B26E-2750FC4D54DE}" destId="{609FE08B-1554-45E0-99C9-D6BFAE4A626F}" srcOrd="1" destOrd="0" presId="urn:microsoft.com/office/officeart/2008/layout/HorizontalMultiLevelHierarchy"/>
    <dgm:cxn modelId="{D9D0E203-5534-4457-B44E-C2F24122BB50}" srcId="{8D9DCCB6-EFCC-46AE-9422-301C43234003}" destId="{F6B18E9E-DCBB-4DCB-B495-AA150974F0D8}" srcOrd="0" destOrd="0" parTransId="{64490254-8F69-45EB-9A8B-4AC1281F5C61}" sibTransId="{16972DAC-810A-4499-8B3E-B75947E0BA84}"/>
    <dgm:cxn modelId="{0E06E803-2FBA-45A1-841F-883860AB371F}" type="presOf" srcId="{30217EB4-D888-443F-B5FB-A255B05FE476}" destId="{C86872D2-08C7-46A3-9B8A-1BD4B85AD1C9}" srcOrd="0" destOrd="0" presId="urn:microsoft.com/office/officeart/2008/layout/HorizontalMultiLevelHierarchy"/>
    <dgm:cxn modelId="{6398CC04-F23D-42CE-8391-1DBFC0F9CA5F}" type="presOf" srcId="{5AF2E384-309D-4D95-A2C9-E6F236CC88A2}" destId="{634AF929-D582-43B7-A338-C27B7E28E518}" srcOrd="0" destOrd="0" presId="urn:microsoft.com/office/officeart/2008/layout/HorizontalMultiLevelHierarchy"/>
    <dgm:cxn modelId="{84403207-C694-465C-912B-B326786FEE90}" type="presOf" srcId="{F6B18E9E-DCBB-4DCB-B495-AA150974F0D8}" destId="{712175C5-BF1B-4283-B8FE-31EC1249585C}" srcOrd="0" destOrd="0" presId="urn:microsoft.com/office/officeart/2008/layout/HorizontalMultiLevelHierarchy"/>
    <dgm:cxn modelId="{DC1B8007-017E-4C87-BBF0-6B837ED82CBC}" srcId="{84F53347-27F9-4D85-814D-1FE7026C7C55}" destId="{E08E71BE-0200-4FA8-B749-928F70BD4001}" srcOrd="0" destOrd="0" parTransId="{70599A2C-EE7C-4A2C-B6B8-15A6E8E952F4}" sibTransId="{1B30DC6F-BA08-42AE-940F-4EC5A1E3B839}"/>
    <dgm:cxn modelId="{86738B08-50A9-430F-9B3E-E9E9334E47EE}" srcId="{1C2CB421-29C9-44D3-9557-B1853F6D37A5}" destId="{BE8A961E-2DFB-418A-8A2D-F148FB466779}" srcOrd="1" destOrd="0" parTransId="{05F000D5-7C16-4BF8-8A06-6D954A8A378D}" sibTransId="{E411DAD2-466F-44DB-A900-111AF9A6460A}"/>
    <dgm:cxn modelId="{FF28C409-7979-4F9F-9F8F-A1D9F4556E2F}" type="presOf" srcId="{976BBC93-3990-4406-A805-ECBC1B58832D}" destId="{781828E7-65B1-4C8A-AF5B-B626CF2B611A}" srcOrd="0" destOrd="0" presId="urn:microsoft.com/office/officeart/2008/layout/HorizontalMultiLevelHierarchy"/>
    <dgm:cxn modelId="{DB7AA90A-9C7E-4956-87FC-EFAC90424B45}" type="presOf" srcId="{C2069357-9119-4184-BF12-4CF3FA2B84BB}" destId="{59DC8487-7C66-4D82-A00B-80A82798C55B}" srcOrd="1" destOrd="0" presId="urn:microsoft.com/office/officeart/2008/layout/HorizontalMultiLevelHierarchy"/>
    <dgm:cxn modelId="{E0C3B30A-2858-4B02-BC88-6B2BBDB4B829}" type="presOf" srcId="{251C7A9F-518E-415C-9A64-99221ED5D585}" destId="{876C16CA-C2EB-4CF9-A422-744417B08451}" srcOrd="0" destOrd="0" presId="urn:microsoft.com/office/officeart/2008/layout/HorizontalMultiLevelHierarchy"/>
    <dgm:cxn modelId="{B0A2C90A-7B0A-4B3E-8169-B2852F9EAC75}" type="presOf" srcId="{1EB12E60-7587-4445-9A16-F5F15BF50B1D}" destId="{9F8FAAD5-75BD-4265-A50B-D75E35704651}" srcOrd="0" destOrd="0" presId="urn:microsoft.com/office/officeart/2008/layout/HorizontalMultiLevelHierarchy"/>
    <dgm:cxn modelId="{82E6E20A-EAE0-4F98-A3D7-2A366901D3EF}" type="presOf" srcId="{4C956225-C6F0-4629-B31F-8704418E9EF5}" destId="{12DF6F47-2764-48FE-93BE-24AF1DFF1126}" srcOrd="1" destOrd="0" presId="urn:microsoft.com/office/officeart/2008/layout/HorizontalMultiLevelHierarchy"/>
    <dgm:cxn modelId="{98452F0B-595F-4FE3-9B86-2A53665FC5DC}" type="presOf" srcId="{41E3ED1C-CB3C-47CD-8370-611AFBDCB4BB}" destId="{F5C00079-974F-4A8B-BD21-4AFB691B32A0}" srcOrd="0" destOrd="0" presId="urn:microsoft.com/office/officeart/2008/layout/HorizontalMultiLevelHierarchy"/>
    <dgm:cxn modelId="{376D0E0C-2B57-4DA4-B589-1D74668BE57D}" type="presOf" srcId="{431730D2-1464-493E-9F0E-31AAA390FC6C}" destId="{BAE3E8A5-5C7B-4960-AB32-D71C11688B2C}" srcOrd="0" destOrd="0" presId="urn:microsoft.com/office/officeart/2008/layout/HorizontalMultiLevelHierarchy"/>
    <dgm:cxn modelId="{3BAE3C0C-B3D3-4415-B66A-D08985C0C9D9}" type="presOf" srcId="{258C7274-D936-4FD2-AB45-D5BBECC5288D}" destId="{26B5B700-C9D8-459A-9945-2D8011AA6047}" srcOrd="1" destOrd="0" presId="urn:microsoft.com/office/officeart/2008/layout/HorizontalMultiLevelHierarchy"/>
    <dgm:cxn modelId="{0029EF0C-086D-4885-B7A8-E912B548EA8B}" srcId="{F1976BC8-6964-4FDD-B5D8-20DDC4BDCE93}" destId="{8D9DCCB6-EFCC-46AE-9422-301C43234003}" srcOrd="0" destOrd="0" parTransId="{5CC76A71-B177-4F9F-9842-290C49FEE8BD}" sibTransId="{07B2A3BF-33E6-4314-9614-CB68271F02B8}"/>
    <dgm:cxn modelId="{53EDA40D-21F2-489E-ACFD-7CD868D714F3}" type="presOf" srcId="{98725C83-9825-4E9F-9C20-A918058BFA71}" destId="{B1389DBC-8263-4012-804E-F5B88D5FF5CE}" srcOrd="1" destOrd="0" presId="urn:microsoft.com/office/officeart/2008/layout/HorizontalMultiLevelHierarchy"/>
    <dgm:cxn modelId="{A776CD0D-2323-4D19-9993-DC95221AA626}" type="presOf" srcId="{3A8FC3A3-601B-4DC5-BC01-8D68E5DCC428}" destId="{AFB4F2E7-0D60-47CA-8F88-CC8AA76A3639}" srcOrd="0" destOrd="0" presId="urn:microsoft.com/office/officeart/2008/layout/HorizontalMultiLevelHierarchy"/>
    <dgm:cxn modelId="{E6E0D30D-CECA-40AC-9A31-A5BAE19189E4}" srcId="{72ACC820-DDFF-46F1-91E2-9DDAE725B916}" destId="{54D375AC-7039-484D-837C-5879E56E5F67}" srcOrd="0" destOrd="0" parTransId="{30217EB4-D888-443F-B5FB-A255B05FE476}" sibTransId="{5FAA4FCA-D91B-43B2-B7FF-6B487F93E96D}"/>
    <dgm:cxn modelId="{4BA3DD0E-E021-477E-AFE3-88F089CB9F53}" srcId="{534ACAD3-27A4-46BA-96E0-AD07FE60C92D}" destId="{1F086684-27E9-4CFA-8B6C-BBC25AE19650}" srcOrd="1" destOrd="0" parTransId="{5294DC28-C98F-478F-8C57-0D93C8BE72B2}" sibTransId="{B7E90CA8-8926-46A3-B79C-183C46DCA4E3}"/>
    <dgm:cxn modelId="{F48F7F11-200E-4359-B300-511F10553B06}" type="presOf" srcId="{36E65735-050D-4420-BD84-94952FEF954E}" destId="{BC7419B8-8DBA-4679-A6EF-A98B84B2D6AA}" srcOrd="0" destOrd="0" presId="urn:microsoft.com/office/officeart/2008/layout/HorizontalMultiLevelHierarchy"/>
    <dgm:cxn modelId="{CE0C4712-E63B-4311-93F7-84B7D8DDC05C}" type="presOf" srcId="{8FC191C6-79EE-4996-B3F3-7971A76DB53C}" destId="{A5885A76-BD3E-47C0-850F-0B84D0426E4A}" srcOrd="0" destOrd="0" presId="urn:microsoft.com/office/officeart/2008/layout/HorizontalMultiLevelHierarchy"/>
    <dgm:cxn modelId="{9955D212-9483-4658-8A35-E17050BEFB1B}" type="presOf" srcId="{9432E236-2C8F-477E-A018-785C4B6BA5F7}" destId="{04E15F46-BEDB-4DBE-A8F1-738C1F263F21}" srcOrd="1" destOrd="0" presId="urn:microsoft.com/office/officeart/2008/layout/HorizontalMultiLevelHierarchy"/>
    <dgm:cxn modelId="{59595413-8444-4064-AF14-309AEF5EF8BD}" srcId="{0F850AF8-1C33-471D-A61F-A701FBC81280}" destId="{C166959C-7CC3-43F3-932D-F60302FDC9C2}" srcOrd="1" destOrd="0" parTransId="{9432E236-2C8F-477E-A018-785C4B6BA5F7}" sibTransId="{93DE1F59-8FDA-4065-B43E-E6A3563E379E}"/>
    <dgm:cxn modelId="{4BA19F13-9494-4288-88EE-0EB54307A9C5}" type="presOf" srcId="{36E65735-050D-4420-BD84-94952FEF954E}" destId="{3A34C636-E50D-482D-A866-32298A53FAE7}" srcOrd="1" destOrd="0" presId="urn:microsoft.com/office/officeart/2008/layout/HorizontalMultiLevelHierarchy"/>
    <dgm:cxn modelId="{F65D7B14-B096-4164-82FC-58A4C66DE1A9}" srcId="{87055F3C-D78B-4C63-8685-7D6537C9AB2B}" destId="{9AC7C455-61F4-496B-BB73-DDB995BC9ECF}" srcOrd="0" destOrd="0" parTransId="{E278FA0D-6151-478C-8BD0-D5CBD0E3642B}" sibTransId="{F5522D7B-B108-48AF-881F-183195EA6484}"/>
    <dgm:cxn modelId="{324A3415-B74D-4AF2-9891-F77FBEACFE10}" srcId="{0C6F5C03-AE29-4B7A-AD44-2D21990BF01F}" destId="{CEB9EEE3-0DB7-4EB5-914A-33A87026F783}" srcOrd="0" destOrd="0" parTransId="{8CA01D95-87C2-4715-A81A-8B026A659A00}" sibTransId="{C5D4F54A-1AF2-4CA7-BA9E-922F5890743C}"/>
    <dgm:cxn modelId="{5B8C3C15-6B16-4DB7-8732-CE9FCBE75971}" type="presOf" srcId="{0E650592-BF7A-4C23-B5E8-C5EBFDC56C86}" destId="{0AFF26C5-369E-4ECC-8881-D90FF6009AD6}" srcOrd="1" destOrd="0" presId="urn:microsoft.com/office/officeart/2008/layout/HorizontalMultiLevelHierarchy"/>
    <dgm:cxn modelId="{5F18F416-5E9D-4F5A-A558-9095DCBEDB7F}" type="presOf" srcId="{2F506D52-88EB-426E-AE79-C208E1088EE6}" destId="{C70C8673-7E59-4711-A1B4-5E54F2F79316}" srcOrd="0" destOrd="0" presId="urn:microsoft.com/office/officeart/2008/layout/HorizontalMultiLevelHierarchy"/>
    <dgm:cxn modelId="{66203217-7B80-4CE1-9F56-3C2AD876A304}" srcId="{BBD7F936-4567-47BF-A1F5-053F7A74C3A0}" destId="{F87C74AE-4591-482B-89DE-26ADAC4E83E7}" srcOrd="0" destOrd="0" parTransId="{258C7274-D936-4FD2-AB45-D5BBECC5288D}" sibTransId="{8DF38E93-2EC7-4403-9CBB-7142DB6F1B1D}"/>
    <dgm:cxn modelId="{47ADD318-B286-45D0-95C3-A0FFCC439A67}" srcId="{A18080F3-39CA-4C4E-9783-2119E2310377}" destId="{0F850AF8-1C33-471D-A61F-A701FBC81280}" srcOrd="0" destOrd="0" parTransId="{153463DF-F67C-4DF7-985E-188339D3464C}" sibTransId="{EC08602A-AD11-4A2E-9B3D-95F5BCF6F1EB}"/>
    <dgm:cxn modelId="{5C00C319-272A-445E-8C4E-ADBF88FDC923}" type="presOf" srcId="{8ED51032-EC17-444C-BFA4-50C0BFD620EC}" destId="{B4AF9556-271A-478B-A007-CB8B80E87BC9}" srcOrd="0" destOrd="0" presId="urn:microsoft.com/office/officeart/2008/layout/HorizontalMultiLevelHierarchy"/>
    <dgm:cxn modelId="{3B45531A-9454-4B0A-BC73-64EBA30D7C4D}" type="presOf" srcId="{C70B04F4-F14D-4D39-9CAB-E34473A115A0}" destId="{20C8A092-E5BC-499C-B67C-EA9895A9036F}" srcOrd="0" destOrd="0" presId="urn:microsoft.com/office/officeart/2008/layout/HorizontalMultiLevelHierarchy"/>
    <dgm:cxn modelId="{4703061C-B965-4B80-ABA4-B39893C4DA60}" type="presOf" srcId="{B2BD0430-797B-4C71-B60E-F34693239D47}" destId="{E2D69D77-3FDB-4CE5-9A0C-B4F2F9CCCAC0}" srcOrd="0" destOrd="0" presId="urn:microsoft.com/office/officeart/2008/layout/HorizontalMultiLevelHierarchy"/>
    <dgm:cxn modelId="{9F65801C-BB67-4159-BCAE-0AF984978492}" type="presOf" srcId="{769CD5E5-8EF8-4B23-9BF1-DD352F5A9D78}" destId="{C2AACA57-F557-44D4-8C59-E3E513ABB447}" srcOrd="1" destOrd="0" presId="urn:microsoft.com/office/officeart/2008/layout/HorizontalMultiLevelHierarchy"/>
    <dgm:cxn modelId="{7736BE1C-6BEA-4B88-9A55-252CE829C42B}" type="presOf" srcId="{F1976BC8-6964-4FDD-B5D8-20DDC4BDCE93}" destId="{DF7E4E30-9F33-4E54-8DAC-34D06946FEAD}" srcOrd="0" destOrd="0" presId="urn:microsoft.com/office/officeart/2008/layout/HorizontalMultiLevelHierarchy"/>
    <dgm:cxn modelId="{1F3DF71D-E979-4BBD-8FC5-A713C63A48B1}" type="presOf" srcId="{635F8FFC-3206-41CA-9942-F53708A1A04A}" destId="{DF7CC7FD-777E-4EAE-9F64-08A7E13169D3}" srcOrd="0" destOrd="0" presId="urn:microsoft.com/office/officeart/2008/layout/HorizontalMultiLevelHierarchy"/>
    <dgm:cxn modelId="{14CB081E-A6BE-4AF3-931F-0AE68CC4331F}" srcId="{8D9DCCB6-EFCC-46AE-9422-301C43234003}" destId="{D8B86579-1BE1-4E17-B6A6-D99FE602BEEA}" srcOrd="1" destOrd="0" parTransId="{47C48ED1-D451-42F3-A9AF-62F6A4C8113E}" sibTransId="{A22FB67C-48FF-4C90-BF73-C312E8AD7C81}"/>
    <dgm:cxn modelId="{F4A35E1E-FC22-446E-8046-618F60704FFE}" type="presOf" srcId="{FBA810AF-C208-40B6-A2C4-82842D86BD61}" destId="{FB48AC59-8C5F-4B96-B0F5-3CFD4566CD6C}" srcOrd="0" destOrd="0" presId="urn:microsoft.com/office/officeart/2008/layout/HorizontalMultiLevelHierarchy"/>
    <dgm:cxn modelId="{747C571F-D93E-4BF9-9D19-685CDDDCBFED}" type="presOf" srcId="{75575511-0586-4CDC-BEB9-EB23B002F242}" destId="{87FCEBC8-0F3D-471B-99D6-556A67658037}" srcOrd="1" destOrd="0" presId="urn:microsoft.com/office/officeart/2008/layout/HorizontalMultiLevelHierarchy"/>
    <dgm:cxn modelId="{BDAEF41F-2986-4E17-A48D-536CD61B0645}" srcId="{CD1F4A6A-8990-40CB-86F6-CA1808953D4E}" destId="{162F46F2-F469-4EB6-9C48-3D0EF97B420E}" srcOrd="0" destOrd="0" parTransId="{6C01FD0B-8D9B-4AD7-9E45-BF6392DCA049}" sibTransId="{F6248823-2120-4E3B-AD3C-11755A728305}"/>
    <dgm:cxn modelId="{75547E21-D30E-4971-8A70-6720ED2AD093}" type="presOf" srcId="{885CA24D-F431-47C3-AF04-C7577D9BAA48}" destId="{109AABBB-E60A-4578-87D5-B19745E3E347}" srcOrd="0" destOrd="0" presId="urn:microsoft.com/office/officeart/2008/layout/HorizontalMultiLevelHierarchy"/>
    <dgm:cxn modelId="{D5C48A21-521A-4859-A234-0A62BE8129DD}" type="presOf" srcId="{E55BB7B8-BE7F-4E1B-8EE7-336B73A973F4}" destId="{FDE64530-8D6E-40B2-8BF6-CC6A66A44B7F}" srcOrd="0" destOrd="0" presId="urn:microsoft.com/office/officeart/2008/layout/HorizontalMultiLevelHierarchy"/>
    <dgm:cxn modelId="{BCA4E523-4C4E-4C32-8A26-1CE70AD521C0}" type="presOf" srcId="{440FBDA6-B639-4EDE-BBA1-11B534182D12}" destId="{EFE81196-CCD8-43A7-8370-1EBC0B05E8EC}" srcOrd="0" destOrd="0" presId="urn:microsoft.com/office/officeart/2008/layout/HorizontalMultiLevelHierarchy"/>
    <dgm:cxn modelId="{10E13E24-948B-4AD9-9BEA-3521677B30E6}" type="presOf" srcId="{769CD5E5-8EF8-4B23-9BF1-DD352F5A9D78}" destId="{F749927E-45CE-4087-A826-4A0B75D14CC8}" srcOrd="0" destOrd="0" presId="urn:microsoft.com/office/officeart/2008/layout/HorizontalMultiLevelHierarchy"/>
    <dgm:cxn modelId="{5710D524-E2F3-4EFE-B964-212F9D48E17B}" type="presOf" srcId="{64490254-8F69-45EB-9A8B-4AC1281F5C61}" destId="{AA00CE5F-B06A-438B-A204-44899F7F433D}" srcOrd="0" destOrd="0" presId="urn:microsoft.com/office/officeart/2008/layout/HorizontalMultiLevelHierarchy"/>
    <dgm:cxn modelId="{F8A1EB25-FB3B-4C01-9860-64233FFC71E9}" type="presOf" srcId="{47C48ED1-D451-42F3-A9AF-62F6A4C8113E}" destId="{997F21E6-B53A-48A9-98B8-33DE2C8FFB40}" srcOrd="1" destOrd="0" presId="urn:microsoft.com/office/officeart/2008/layout/HorizontalMultiLevelHierarchy"/>
    <dgm:cxn modelId="{DEA0F726-B639-4E6C-A8DB-C2A26E0167F0}" type="presOf" srcId="{11563BBD-4380-4FB2-A794-6EC215753A39}" destId="{0A7B5F60-05DE-4D32-817A-A39D17916A73}" srcOrd="0" destOrd="0" presId="urn:microsoft.com/office/officeart/2008/layout/HorizontalMultiLevelHierarchy"/>
    <dgm:cxn modelId="{24235C27-6DCD-4586-BAD3-B027E155D9D2}" srcId="{913A2DB0-64ED-4EC6-99E9-102A4C83260E}" destId="{C849D1F5-C0EA-4449-880F-32B904D9870A}" srcOrd="0" destOrd="0" parTransId="{2F506D52-88EB-426E-AE79-C208E1088EE6}" sibTransId="{6228D4C0-AD67-4BB4-B19F-ABB3738F3AF0}"/>
    <dgm:cxn modelId="{C2096627-681E-4F51-BB90-13E33740F33C}" type="presOf" srcId="{142A8C57-C720-4368-92BD-1FD39CB197E7}" destId="{DCD5A6CA-1366-4A49-93B3-3DFAE1809B06}" srcOrd="0" destOrd="0" presId="urn:microsoft.com/office/officeart/2008/layout/HorizontalMultiLevelHierarchy"/>
    <dgm:cxn modelId="{38769E28-538E-4B46-8E40-915E4D0FB5C0}" type="presOf" srcId="{8CA01D95-87C2-4715-A81A-8B026A659A00}" destId="{88A53AA3-714E-454E-BE28-43C58B6415A4}" srcOrd="1" destOrd="0" presId="urn:microsoft.com/office/officeart/2008/layout/HorizontalMultiLevelHierarchy"/>
    <dgm:cxn modelId="{457FE928-B519-418F-BA33-7680F75B176F}" type="presOf" srcId="{7A00E960-452A-4CB0-9AB5-6F41E3E03BB7}" destId="{2DFB2D27-2590-4D30-8436-5DCF53B870F4}" srcOrd="1" destOrd="0" presId="urn:microsoft.com/office/officeart/2008/layout/HorizontalMultiLevelHierarchy"/>
    <dgm:cxn modelId="{9ADB4429-F394-432B-B6FB-3C9429C7F867}" type="presOf" srcId="{0E650592-BF7A-4C23-B5E8-C5EBFDC56C86}" destId="{040A1CE8-79AB-42AE-8D5F-75C6EDA77FFC}" srcOrd="0" destOrd="0" presId="urn:microsoft.com/office/officeart/2008/layout/HorizontalMultiLevelHierarchy"/>
    <dgm:cxn modelId="{99112A2A-4F79-49FA-AA76-45E6E4BADE4A}" type="presOf" srcId="{6C01FD0B-8D9B-4AD7-9E45-BF6392DCA049}" destId="{A5DA03AB-B460-4142-887A-5C4240FB991D}" srcOrd="1" destOrd="0" presId="urn:microsoft.com/office/officeart/2008/layout/HorizontalMultiLevelHierarchy"/>
    <dgm:cxn modelId="{DFBC0D2C-D806-4F56-B141-FEE7582BEF16}" type="presOf" srcId="{9B2D71AE-E0F0-4D59-BC0F-F40225D9DC94}" destId="{112CDE75-8801-4360-AC51-6986D2BC7A3E}" srcOrd="1" destOrd="0" presId="urn:microsoft.com/office/officeart/2008/layout/HorizontalMultiLevelHierarchy"/>
    <dgm:cxn modelId="{0981932C-7BF2-46A5-9D0C-BF0645A334C8}" type="presOf" srcId="{D944B77A-E700-48AB-BA6A-F8585EFE9860}" destId="{96FD22AA-BCAE-4D73-BD52-F31BEFFF97BE}" srcOrd="0" destOrd="0" presId="urn:microsoft.com/office/officeart/2008/layout/HorizontalMultiLevelHierarchy"/>
    <dgm:cxn modelId="{378FDF2C-E01C-401F-85DE-1309CA713927}" type="presOf" srcId="{D4DFC5F1-C442-4735-89A3-4D08F7EDF0DE}" destId="{418E4922-7393-47F7-8739-4C83FF74D5A9}" srcOrd="0" destOrd="0" presId="urn:microsoft.com/office/officeart/2008/layout/HorizontalMultiLevelHierarchy"/>
    <dgm:cxn modelId="{CF03C62F-130A-4652-B7AA-7A8D357AF8ED}" type="presOf" srcId="{2268D4E2-3337-4AC4-91E0-0C944C36E5D9}" destId="{B20BB301-4E30-49B9-892A-07EB874D9668}" srcOrd="0" destOrd="0" presId="urn:microsoft.com/office/officeart/2008/layout/HorizontalMultiLevelHierarchy"/>
    <dgm:cxn modelId="{3ACA6630-4118-4509-9236-D7ED6EAA8338}" type="presOf" srcId="{D1425854-10DF-4EC9-9D24-555A424E33B4}" destId="{2732AD9E-769C-4265-9414-7D605E19C644}" srcOrd="0" destOrd="0" presId="urn:microsoft.com/office/officeart/2008/layout/HorizontalMultiLevelHierarchy"/>
    <dgm:cxn modelId="{07EB4E30-4450-4551-B4D1-FBA38640EABA}" type="presOf" srcId="{8C6DF3F3-5ECD-4897-809A-975B2803388D}" destId="{FDE79D68-709A-4BBA-B054-0334042F0401}" srcOrd="1" destOrd="0" presId="urn:microsoft.com/office/officeart/2008/layout/HorizontalMultiLevelHierarchy"/>
    <dgm:cxn modelId="{27029B30-DB0F-4AB2-9BFD-1A64FB7C8789}" type="presOf" srcId="{2DAF4D9A-37B9-4DD5-B03F-9E95A48BA766}" destId="{64CA5293-3BA3-42B6-8321-ADDF461032A4}" srcOrd="0" destOrd="0" presId="urn:microsoft.com/office/officeart/2008/layout/HorizontalMultiLevelHierarchy"/>
    <dgm:cxn modelId="{77EA1431-721A-4C0E-B9D4-6502968C21C8}" type="presOf" srcId="{07BDE030-307D-48B8-9858-2D8E5F9AEBAF}" destId="{9B60B1EB-0D56-4A17-8DCF-0B5B283E7CBB}" srcOrd="0" destOrd="0" presId="urn:microsoft.com/office/officeart/2008/layout/HorizontalMultiLevelHierarchy"/>
    <dgm:cxn modelId="{9F451E32-B453-41D7-B0EF-08232BA0A564}" type="presOf" srcId="{A917E045-B63D-4BAB-B513-81A18BD43B50}" destId="{DABDDCAC-0080-4976-8C11-603F8CC3316D}" srcOrd="0" destOrd="0" presId="urn:microsoft.com/office/officeart/2008/layout/HorizontalMultiLevelHierarchy"/>
    <dgm:cxn modelId="{12FB3136-C2AF-4B66-A653-7050FFC3FA53}" type="presOf" srcId="{DE81D0B0-C25A-438A-9005-659D91D1FD0B}" destId="{CACB4346-D887-4761-BD5B-AF142FC35C46}" srcOrd="1" destOrd="0" presId="urn:microsoft.com/office/officeart/2008/layout/HorizontalMultiLevelHierarchy"/>
    <dgm:cxn modelId="{938A4F36-277B-48A3-A9EB-0356289A6FC3}" type="presOf" srcId="{64490254-8F69-45EB-9A8B-4AC1281F5C61}" destId="{F7A8EDB7-4704-4603-9083-19B245E5FCBB}" srcOrd="1" destOrd="0" presId="urn:microsoft.com/office/officeart/2008/layout/HorizontalMultiLevelHierarchy"/>
    <dgm:cxn modelId="{D2A79138-D1D8-48E0-B508-D59F05490A59}" srcId="{CD1F4A6A-8990-40CB-86F6-CA1808953D4E}" destId="{44DBC31A-21FD-4DEE-B392-F7808176C946}" srcOrd="1" destOrd="0" parTransId="{41979DCC-6141-4034-93F5-06B8EB01193E}" sibTransId="{9C18C28D-8BD0-42D0-9E7D-3C45887930E2}"/>
    <dgm:cxn modelId="{0172B739-6193-482F-948F-290013CCDB17}" type="presOf" srcId="{207EE5DA-C725-4C29-B667-E1F151627784}" destId="{FB7F64DC-0E9B-4676-B402-E554ED282DD6}" srcOrd="1" destOrd="0" presId="urn:microsoft.com/office/officeart/2008/layout/HorizontalMultiLevelHierarchy"/>
    <dgm:cxn modelId="{9497363A-BB1A-477C-9AF7-0A8C79A3270A}" type="presOf" srcId="{162F46F2-F469-4EB6-9C48-3D0EF97B420E}" destId="{7AE5DA2B-308B-4CA5-8407-9A880030A0CD}" srcOrd="0" destOrd="0" presId="urn:microsoft.com/office/officeart/2008/layout/HorizontalMultiLevelHierarchy"/>
    <dgm:cxn modelId="{048B4D3A-1D82-4DBF-9C5A-473859F4D4D8}" srcId="{2268D4E2-3337-4AC4-91E0-0C944C36E5D9}" destId="{5AF2E384-309D-4D95-A2C9-E6F236CC88A2}" srcOrd="0" destOrd="0" parTransId="{B221B034-B101-4364-A99D-BB621DC3176F}" sibTransId="{2F45403C-07C3-416B-856C-84F3398D7513}"/>
    <dgm:cxn modelId="{8991D93A-E04A-4D4D-8AB8-CCF25653D6BD}" type="presOf" srcId="{6EA682D1-D1FC-4867-8B24-B35EEF5CE6F4}" destId="{C672F8BC-0464-416B-9966-6301034705F9}" srcOrd="1" destOrd="0" presId="urn:microsoft.com/office/officeart/2008/layout/HorizontalMultiLevelHierarchy"/>
    <dgm:cxn modelId="{518A713B-FAF4-464B-BE64-E508D98CCF06}" type="presOf" srcId="{9B0CE611-550E-442F-A1B7-A21417DBE3ED}" destId="{932E1040-9660-4993-BC4B-C26D5E5E0522}" srcOrd="1" destOrd="0" presId="urn:microsoft.com/office/officeart/2008/layout/HorizontalMultiLevelHierarchy"/>
    <dgm:cxn modelId="{FC67A33B-CF1E-42DA-9B5B-8E6D1DCA472C}" srcId="{885CA24D-F431-47C3-AF04-C7577D9BAA48}" destId="{19E0F379-9FAF-4253-ADC7-A6A3F1014D6D}" srcOrd="0" destOrd="0" parTransId="{3040C55A-21DD-4B8A-86C4-1BFC7961A6A0}" sibTransId="{6D80AF23-7AAC-4B38-B8EE-408B7B944E6B}"/>
    <dgm:cxn modelId="{1D40E43B-412C-4ECC-94C0-F14F3DEB8DCB}" type="presOf" srcId="{0B5B8A49-2F73-4DEE-9555-79FA2C9F8F9D}" destId="{388C44C4-C64B-4E2C-BCEA-793FFE782FDC}" srcOrd="1" destOrd="0" presId="urn:microsoft.com/office/officeart/2008/layout/HorizontalMultiLevelHierarchy"/>
    <dgm:cxn modelId="{EAF7E63E-49B1-4FDC-B747-1D701F36351B}" type="presOf" srcId="{44DBC31A-21FD-4DEE-B392-F7808176C946}" destId="{CB665CBD-EB53-465E-9342-0A07185D7F3C}" srcOrd="0" destOrd="0" presId="urn:microsoft.com/office/officeart/2008/layout/HorizontalMultiLevelHierarchy"/>
    <dgm:cxn modelId="{3A8DF840-4FCD-484B-A859-C10B851AC1C9}" type="presOf" srcId="{3A66835B-EBBF-4A26-85BF-E1809AB784B1}" destId="{BD929C19-3506-4F70-BF01-157065B49836}" srcOrd="0" destOrd="0" presId="urn:microsoft.com/office/officeart/2008/layout/HorizontalMultiLevelHierarchy"/>
    <dgm:cxn modelId="{56CA295B-89BF-4BB4-9EAC-651CCA549067}" type="presOf" srcId="{B221B034-B101-4364-A99D-BB621DC3176F}" destId="{181C7374-AA1E-4A1E-9589-1B7A64BD4575}" srcOrd="0" destOrd="0" presId="urn:microsoft.com/office/officeart/2008/layout/HorizontalMultiLevelHierarchy"/>
    <dgm:cxn modelId="{CD349D5C-BCBE-4314-9BF5-D40ABD2E8E8B}" type="presOf" srcId="{258C7274-D936-4FD2-AB45-D5BBECC5288D}" destId="{4E7503EB-2B7F-4A8E-BC7C-03331A376F01}" srcOrd="0" destOrd="0" presId="urn:microsoft.com/office/officeart/2008/layout/HorizontalMultiLevelHierarchy"/>
    <dgm:cxn modelId="{9161CF5D-48B2-42B6-B830-7F8800BCDEBD}" srcId="{1F086684-27E9-4CFA-8B6C-BBC25AE19650}" destId="{1C2CB421-29C9-44D3-9557-B1853F6D37A5}" srcOrd="0" destOrd="0" parTransId="{7A00E960-452A-4CB0-9AB5-6F41E3E03BB7}" sibTransId="{163983EE-D112-46C3-81E3-9354438B8092}"/>
    <dgm:cxn modelId="{14F0245E-97BB-4DE7-8D80-AD3355CAE405}" type="presOf" srcId="{7F55E47F-3B59-43BA-A4EE-C987876BA80E}" destId="{65989A29-8BC5-451C-99BF-14E7A52E6794}" srcOrd="0" destOrd="0" presId="urn:microsoft.com/office/officeart/2008/layout/HorizontalMultiLevelHierarchy"/>
    <dgm:cxn modelId="{EC912A5F-63B7-4226-AC48-01EAA66DB5BC}" type="presOf" srcId="{B454B912-C55B-4792-AFB3-1724AE311740}" destId="{D6869973-D5CE-481C-955D-BE7E4614DD85}" srcOrd="0" destOrd="0" presId="urn:microsoft.com/office/officeart/2008/layout/HorizontalMultiLevelHierarchy"/>
    <dgm:cxn modelId="{385E815F-9D12-4FD2-98BE-2F79EEC127E3}" srcId="{59531D23-83F2-4A21-9163-C39BCA42D1E7}" destId="{80AB7C5E-119A-4D7F-8531-3D2E2EEF2634}" srcOrd="1" destOrd="0" parTransId="{BFF3EE6A-B41D-42A3-8A21-4887FD388FBE}" sibTransId="{0516D6C0-DA2F-4334-A1E3-BA3B49068525}"/>
    <dgm:cxn modelId="{719BA15F-ECA2-4FA2-B59E-948F5D2625A8}" srcId="{E328C9ED-7E03-4C2E-86AF-6C608CB66764}" destId="{D1425854-10DF-4EC9-9D24-555A424E33B4}" srcOrd="0" destOrd="0" parTransId="{8FC191C6-79EE-4996-B3F3-7971A76DB53C}" sibTransId="{875F339D-8380-4CDC-950D-668F8FBE9442}"/>
    <dgm:cxn modelId="{4DFBAA5F-7B09-4D75-8064-1FC074D6D6A4}" type="presOf" srcId="{E08E71BE-0200-4FA8-B749-928F70BD4001}" destId="{BE568C46-4768-489B-9756-C892E97552F5}" srcOrd="0" destOrd="0" presId="urn:microsoft.com/office/officeart/2008/layout/HorizontalMultiLevelHierarchy"/>
    <dgm:cxn modelId="{F1CEF15F-0457-411C-ADC7-E7112A06FF2E}" type="presOf" srcId="{369E570B-853D-48A1-8083-AD70E7ECCA2A}" destId="{08B761A3-12DC-4A6B-83F1-EE137576BC03}" srcOrd="0" destOrd="0" presId="urn:microsoft.com/office/officeart/2008/layout/HorizontalMultiLevelHierarchy"/>
    <dgm:cxn modelId="{52464760-8F19-4906-997C-274E437C691F}" type="presOf" srcId="{5E286412-2F61-4A14-9221-CD755B5462B3}" destId="{1FE7BE54-6AE8-41B7-B2F5-4F33F6069240}" srcOrd="1" destOrd="0" presId="urn:microsoft.com/office/officeart/2008/layout/HorizontalMultiLevelHierarchy"/>
    <dgm:cxn modelId="{DBD28560-B1C5-40AF-A55D-E16D5507212E}" type="presOf" srcId="{431730D2-1464-493E-9F0E-31AAA390FC6C}" destId="{B35D94F0-53E5-4AB6-B1E6-164735A09C53}" srcOrd="1" destOrd="0" presId="urn:microsoft.com/office/officeart/2008/layout/HorizontalMultiLevelHierarchy"/>
    <dgm:cxn modelId="{93F41261-184B-49C7-9992-B4D307EFAE6F}" type="presOf" srcId="{49870E61-3A83-48F5-8EAC-01846909DAF1}" destId="{33E09201-AE67-4028-99BC-55AC26DBEB8B}" srcOrd="0" destOrd="0" presId="urn:microsoft.com/office/officeart/2008/layout/HorizontalMultiLevelHierarchy"/>
    <dgm:cxn modelId="{DE5E3841-8F21-4C55-AF9B-0957E5911ECB}" type="presOf" srcId="{F6E38B7D-D604-4244-9623-3F6FE8272B30}" destId="{ECEEB5E6-7E99-4BA1-9754-78879E404C89}" srcOrd="0" destOrd="0" presId="urn:microsoft.com/office/officeart/2008/layout/HorizontalMultiLevelHierarchy"/>
    <dgm:cxn modelId="{7C694E41-773A-4E86-9AC8-4E0C8507E8D9}" type="presOf" srcId="{83205A31-52C4-4D47-BC4C-BE5E24EB8DA0}" destId="{AABE0D5E-B1B9-4C10-84EE-AA8E8534B2B4}" srcOrd="0" destOrd="0" presId="urn:microsoft.com/office/officeart/2008/layout/HorizontalMultiLevelHierarchy"/>
    <dgm:cxn modelId="{498A5661-6BDB-454A-913A-52544DE2EBC3}" type="presOf" srcId="{153463DF-F67C-4DF7-985E-188339D3464C}" destId="{3D4668D5-B54D-4A09-A331-F7C48ECC3D72}" srcOrd="1" destOrd="0" presId="urn:microsoft.com/office/officeart/2008/layout/HorizontalMultiLevelHierarchy"/>
    <dgm:cxn modelId="{5E742442-0F58-47A0-A1B1-5ED877E412A7}" srcId="{0F8BDC03-898D-4853-9885-57C5AE78B0D7}" destId="{AA8F48B2-BA49-483D-9F71-88386136173F}" srcOrd="0" destOrd="0" parTransId="{5FEF30DC-52BB-4100-BDC1-1E65C0A1E455}" sibTransId="{D39ADB0F-4D46-4B3A-A6EB-5D2A646DBEF5}"/>
    <dgm:cxn modelId="{350D3442-FFB2-4A81-A151-3FA3B33882A4}" type="presOf" srcId="{0F850AF8-1C33-471D-A61F-A701FBC81280}" destId="{22CAC938-52FF-49C9-9080-C6390E59D2B9}" srcOrd="0" destOrd="0" presId="urn:microsoft.com/office/officeart/2008/layout/HorizontalMultiLevelHierarchy"/>
    <dgm:cxn modelId="{9381C442-F609-4792-99FB-1D618FCDF33F}" type="presOf" srcId="{07C76642-39A8-48AD-9433-8C450ECF76C8}" destId="{864568BB-211C-4D2E-8539-04E12204B935}" srcOrd="1" destOrd="0" presId="urn:microsoft.com/office/officeart/2008/layout/HorizontalMultiLevelHierarchy"/>
    <dgm:cxn modelId="{DB69DF62-361B-4147-9A21-2158EB2DE35C}" type="presOf" srcId="{03224D0E-9765-4ACC-8762-456DDC5EBC57}" destId="{D0DD006D-85F0-4DCE-BA71-F5AE76632241}" srcOrd="1" destOrd="0" presId="urn:microsoft.com/office/officeart/2008/layout/HorizontalMultiLevelHierarchy"/>
    <dgm:cxn modelId="{6069F842-2E6B-421E-9DCE-00F3E84DF0E3}" type="presOf" srcId="{316D770B-B446-44A3-B369-626D90EDA3C3}" destId="{98D2F9A7-7B4A-4FDA-9176-40FBC76B0FC0}" srcOrd="1" destOrd="0" presId="urn:microsoft.com/office/officeart/2008/layout/HorizontalMultiLevelHierarchy"/>
    <dgm:cxn modelId="{772B2B43-3331-4D84-8381-7D2A064C0C42}" srcId="{C1729BFA-C073-4F6F-83BF-4EA061BBCC3E}" destId="{F2D3C520-4C76-46DE-B208-E694BB4F9DCF}" srcOrd="1" destOrd="0" parTransId="{8C6DF3F3-5ECD-4897-809A-975B2803388D}" sibTransId="{EA6A6988-C888-4ADD-A999-960C2C7C30C5}"/>
    <dgm:cxn modelId="{FAC6B863-389A-4ECE-A87F-62F944FFACD3}" type="presOf" srcId="{C849D1F5-C0EA-4449-880F-32B904D9870A}" destId="{6FF78341-1B6D-4A61-B30D-794E29C87A9B}" srcOrd="0" destOrd="0" presId="urn:microsoft.com/office/officeart/2008/layout/HorizontalMultiLevelHierarchy"/>
    <dgm:cxn modelId="{9D93EC64-9A17-4435-AE7D-E10B51BE0945}" srcId="{814EA40A-13C0-41DD-BF95-2D62251EFA6C}" destId="{C6032DE0-A07C-4F58-97E0-9DCCD92142B1}" srcOrd="1" destOrd="0" parTransId="{312C7B05-8D0D-4241-AFD3-2F58A2CB263C}" sibTransId="{864A7219-E651-4CB8-BBA5-4A845B9DA1D0}"/>
    <dgm:cxn modelId="{D43FF644-22AF-4003-8631-116478120068}" type="presOf" srcId="{7862787A-A77E-4B42-A23A-91B6A7FFE331}" destId="{955FDB63-D727-4B87-9F0B-018CFC4BDA2F}" srcOrd="0" destOrd="0" presId="urn:microsoft.com/office/officeart/2008/layout/HorizontalMultiLevelHierarchy"/>
    <dgm:cxn modelId="{B1CF7465-28E5-492A-A5FF-6F19151B08D6}" type="presOf" srcId="{D8B86579-1BE1-4E17-B6A6-D99FE602BEEA}" destId="{151FCCF4-9616-402F-8581-981DC270887B}" srcOrd="0" destOrd="0" presId="urn:microsoft.com/office/officeart/2008/layout/HorizontalMultiLevelHierarchy"/>
    <dgm:cxn modelId="{05D88465-2B1D-4AE6-AEFA-B2CC86BBFBD4}" type="presOf" srcId="{59503C2F-984D-4A72-BE25-8F679F50F4E6}" destId="{994F5DBD-7E9D-4209-863D-A6F5A9AD0CDC}" srcOrd="0" destOrd="0" presId="urn:microsoft.com/office/officeart/2008/layout/HorizontalMultiLevelHierarchy"/>
    <dgm:cxn modelId="{205EE465-97A5-435E-BB3B-11F9A02C9E0E}" srcId="{0F850AF8-1C33-471D-A61F-A701FBC81280}" destId="{369E570B-853D-48A1-8083-AD70E7ECCA2A}" srcOrd="0" destOrd="0" parTransId="{6EA682D1-D1FC-4867-8B24-B35EEF5CE6F4}" sibTransId="{89EBFD07-9DE9-4FAA-B526-BFAF9906D5E7}"/>
    <dgm:cxn modelId="{B4788C66-D90D-4F71-BD87-C51D9172A72B}" type="presOf" srcId="{11563BBD-4380-4FB2-A794-6EC215753A39}" destId="{0311F7E8-4AE5-4679-BC13-7F03B0112BA5}" srcOrd="1" destOrd="0" presId="urn:microsoft.com/office/officeart/2008/layout/HorizontalMultiLevelHierarchy"/>
    <dgm:cxn modelId="{A2171447-95CA-4041-AA34-EA13511CAF96}" type="presOf" srcId="{9311BD07-AC22-445C-B920-ED4C11DB3961}" destId="{C5E9F795-AF31-4C65-BFD7-C3F1004F39B1}" srcOrd="0" destOrd="0" presId="urn:microsoft.com/office/officeart/2008/layout/HorizontalMultiLevelHierarchy"/>
    <dgm:cxn modelId="{57332867-D5AA-458B-9423-81E4474D8C56}" srcId="{80AB7C5E-119A-4D7F-8531-3D2E2EEF2634}" destId="{635F8FFC-3206-41CA-9942-F53708A1A04A}" srcOrd="0" destOrd="0" parTransId="{4FB8797C-9715-4EDF-ADD4-5D41A643A4F3}" sibTransId="{5DC62963-D1A9-46C6-B00B-E475E2DE96E6}"/>
    <dgm:cxn modelId="{93A5A147-B878-42F8-BEB7-2066526CD83B}" srcId="{9311BD07-AC22-445C-B920-ED4C11DB3961}" destId="{72ACC820-DDFF-46F1-91E2-9DDAE725B916}" srcOrd="0" destOrd="0" parTransId="{98725C83-9825-4E9F-9C20-A918058BFA71}" sibTransId="{3D48F896-A3E3-4F31-8EF9-0FE97CB0281B}"/>
    <dgm:cxn modelId="{3DB8A647-A6E7-4AFF-9833-2C4D34DF9D64}" srcId="{CEDCA276-BD4E-40EC-80E8-35C8CB8546CB}" destId="{28F889FA-8962-40D1-BC65-A71444B0AD26}" srcOrd="0" destOrd="0" parTransId="{440FBDA6-B639-4EDE-BBA1-11B534182D12}" sibTransId="{C9A0FC34-36C6-4DF2-8E0C-F2C102F48F42}"/>
    <dgm:cxn modelId="{8791FF67-935F-48EA-83CC-E98EC32394B6}" type="presOf" srcId="{CEB9EEE3-0DB7-4EB5-914A-33A87026F783}" destId="{DF72AFFB-0D20-4446-85D0-4AF7A28F0F41}" srcOrd="0" destOrd="0" presId="urn:microsoft.com/office/officeart/2008/layout/HorizontalMultiLevelHierarchy"/>
    <dgm:cxn modelId="{4BD80E68-1390-48B3-AF2A-CC0816FE8BED}" srcId="{B2BD0430-797B-4C71-B60E-F34693239D47}" destId="{0F8BDC03-898D-4853-9885-57C5AE78B0D7}" srcOrd="0" destOrd="0" parTransId="{9B0CE611-550E-442F-A1B7-A21417DBE3ED}" sibTransId="{A9886B16-3CB4-4A8D-93E2-A42E50403FB0}"/>
    <dgm:cxn modelId="{9B4C3168-93F3-4DDB-82BD-2E94E212B949}" type="presOf" srcId="{5E634DF5-7FA0-450A-9A32-65C6784F31B3}" destId="{6A38651E-E3C1-4F28-9F76-39B924F3C1BE}" srcOrd="0" destOrd="0" presId="urn:microsoft.com/office/officeart/2008/layout/HorizontalMultiLevelHierarchy"/>
    <dgm:cxn modelId="{71D57F68-7B8A-4AF6-8D08-4EFBDC81C438}" type="presOf" srcId="{7C815B6C-D094-49DC-A2EB-611A9EB6EF91}" destId="{879BDB64-F9A3-4BE2-8D75-603B6070C32E}" srcOrd="1" destOrd="0" presId="urn:microsoft.com/office/officeart/2008/layout/HorizontalMultiLevelHierarchy"/>
    <dgm:cxn modelId="{C7A5204A-92AD-4B5D-B989-B4A3B54519C3}" type="presOf" srcId="{5294DC28-C98F-478F-8C57-0D93C8BE72B2}" destId="{7326C732-F8F9-42C9-B475-8DD36D10DD24}" srcOrd="0" destOrd="0" presId="urn:microsoft.com/office/officeart/2008/layout/HorizontalMultiLevelHierarchy"/>
    <dgm:cxn modelId="{5B68566A-FC50-4165-B6BF-C4FAFD7291EB}" type="presOf" srcId="{F293B739-3D16-4FCA-8506-F991F636E859}" destId="{6FDCE9CB-8D68-40F5-B8CD-BEF211C4BCFE}" srcOrd="0" destOrd="0" presId="urn:microsoft.com/office/officeart/2008/layout/HorizontalMultiLevelHierarchy"/>
    <dgm:cxn modelId="{C17F8B4A-1F3B-47FC-93DC-5F8FC9CA5564}" srcId="{59463C9D-6BEF-4422-BCB2-C1F7139F3556}" destId="{84F53347-27F9-4D85-814D-1FE7026C7C55}" srcOrd="1" destOrd="0" parTransId="{7C815B6C-D094-49DC-A2EB-611A9EB6EF91}" sibTransId="{9013482C-9744-4B03-8C57-D328D770463F}"/>
    <dgm:cxn modelId="{6F22D04A-0D9B-4A32-930D-99939EFC6839}" type="presOf" srcId="{CEDCA276-BD4E-40EC-80E8-35C8CB8546CB}" destId="{743D2609-03A2-4F18-BA8C-E4D9A78EE630}" srcOrd="0" destOrd="0" presId="urn:microsoft.com/office/officeart/2008/layout/HorizontalMultiLevelHierarchy"/>
    <dgm:cxn modelId="{7A12396B-28BA-4E8A-9CCA-FA0DB826D0A6}" type="presOf" srcId="{8ED51032-EC17-444C-BFA4-50C0BFD620EC}" destId="{7CCC356F-9D0D-4B99-BEED-0EF4D0EA2B04}" srcOrd="1" destOrd="0" presId="urn:microsoft.com/office/officeart/2008/layout/HorizontalMultiLevelHierarchy"/>
    <dgm:cxn modelId="{8EE7ED6B-D656-4360-B8F9-DBC307954BEF}" type="presOf" srcId="{E1E9BEB6-55C9-4032-BF4A-C91401A543A1}" destId="{C3F0E2DB-C201-4BA4-8F68-6C477C2C59CC}" srcOrd="0" destOrd="0" presId="urn:microsoft.com/office/officeart/2008/layout/HorizontalMultiLevelHierarchy"/>
    <dgm:cxn modelId="{5D77366C-632C-426D-9221-1BE9EE3312BA}" type="presOf" srcId="{4FD02980-7206-4FCA-A626-D07F854B42C5}" destId="{BC331464-CDDC-426F-982A-E9408DC87AF8}" srcOrd="0" destOrd="0" presId="urn:microsoft.com/office/officeart/2008/layout/HorizontalMultiLevelHierarchy"/>
    <dgm:cxn modelId="{72CC964C-2FD9-460B-B285-D6867166A142}" type="presOf" srcId="{2F506D52-88EB-426E-AE79-C208E1088EE6}" destId="{DA8EF96F-9DA8-4C31-871D-3FF72EA05740}" srcOrd="1" destOrd="0" presId="urn:microsoft.com/office/officeart/2008/layout/HorizontalMultiLevelHierarchy"/>
    <dgm:cxn modelId="{7A69BE4C-B272-4282-A2D6-DD09216A31C4}" type="presOf" srcId="{B94774D8-50F5-4A1D-822B-102410C5B3D4}" destId="{BE3748D9-4237-4CE0-846D-3F96F8CA25EB}" srcOrd="1" destOrd="0" presId="urn:microsoft.com/office/officeart/2008/layout/HorizontalMultiLevelHierarchy"/>
    <dgm:cxn modelId="{69C4D04C-2DBD-4313-9BF4-FF4D1579225D}" srcId="{635F8FFC-3206-41CA-9942-F53708A1A04A}" destId="{6372AFFD-304C-4AF9-82D8-A78B05B0C67D}" srcOrd="1" destOrd="0" parTransId="{03224D0E-9765-4ACC-8762-456DDC5EBC57}" sibTransId="{A19418EB-C423-4602-A223-E6064C0F90B3}"/>
    <dgm:cxn modelId="{ED89A26D-2AF2-4DDD-BB6F-A528021081C3}" type="presOf" srcId="{312C7B05-8D0D-4241-AFD3-2F58A2CB263C}" destId="{DDD2B36F-CDCE-4B74-9C35-4AF160DD88DD}" srcOrd="1" destOrd="0" presId="urn:microsoft.com/office/officeart/2008/layout/HorizontalMultiLevelHierarchy"/>
    <dgm:cxn modelId="{B8662F4E-54E0-4C0F-9825-FA8A2C026FCF}" type="presOf" srcId="{5CC76A71-B177-4F9F-9842-290C49FEE8BD}" destId="{98348C5F-DC54-43F0-B273-E6D73E01B5EE}" srcOrd="1" destOrd="0" presId="urn:microsoft.com/office/officeart/2008/layout/HorizontalMultiLevelHierarchy"/>
    <dgm:cxn modelId="{82DF6C6E-9050-4BA9-A260-4160A89E8827}" srcId="{41E3ED1C-CB3C-47CD-8370-611AFBDCB4BB}" destId="{F1976BC8-6964-4FDD-B5D8-20DDC4BDCE93}" srcOrd="0" destOrd="0" parTransId="{11563BBD-4380-4FB2-A794-6EC215753A39}" sibTransId="{13C54701-BBB8-408F-9EFB-DFA99542C541}"/>
    <dgm:cxn modelId="{6746786E-19ED-4FAB-B7E1-42FC45112512}" type="presOf" srcId="{30217EB4-D888-443F-B5FB-A255B05FE476}" destId="{6FD8B483-1F9F-48A7-98F9-AF05DAD98F13}" srcOrd="1" destOrd="0" presId="urn:microsoft.com/office/officeart/2008/layout/HorizontalMultiLevelHierarchy"/>
    <dgm:cxn modelId="{51597E6E-2EF5-446D-8B5C-5D31C677DC4A}" srcId="{F2D3C520-4C76-46DE-B208-E694BB4F9DCF}" destId="{CEDCA276-BD4E-40EC-80E8-35C8CB8546CB}" srcOrd="0" destOrd="0" parTransId="{C2069357-9119-4184-BF12-4CF3FA2B84BB}" sibTransId="{10F4A4BA-1C45-453D-BCF6-29C1AE926580}"/>
    <dgm:cxn modelId="{87BAEA4E-1E16-4517-A21C-E6762CB62EC5}" type="presOf" srcId="{9AC7C455-61F4-496B-BB73-DDB995BC9ECF}" destId="{A2BEBB3A-8AED-4E93-AC19-BB0C5F00A554}" srcOrd="0" destOrd="0" presId="urn:microsoft.com/office/officeart/2008/layout/HorizontalMultiLevelHierarchy"/>
    <dgm:cxn modelId="{4B32096F-2EA1-43B1-9C7B-FA9E6842F6E4}" srcId="{F4F73E1C-BE6A-4C2A-A949-E9426F79D2D0}" destId="{69195BF8-4D4A-413A-9757-F352F1A28FFC}" srcOrd="0" destOrd="0" parTransId="{3A66835B-EBBF-4A26-85BF-E1809AB784B1}" sibTransId="{785FF278-A7F1-4BB7-A65E-A520D0A7BB5E}"/>
    <dgm:cxn modelId="{D420434F-0F85-4D71-B4DB-A96883553D30}" type="presOf" srcId="{B94774D8-50F5-4A1D-822B-102410C5B3D4}" destId="{773F3BFA-B4BA-4F0F-B37A-8EFB355C2E23}" srcOrd="0" destOrd="0" presId="urn:microsoft.com/office/officeart/2008/layout/HorizontalMultiLevelHierarchy"/>
    <dgm:cxn modelId="{8A225A4F-23EA-4D9A-A927-5CAAFB70FC15}" type="presOf" srcId="{642E43F4-65B9-415B-983E-CA5C7D75D801}" destId="{DE83DC1B-A600-45F8-A1D1-C5070CEFC75F}" srcOrd="0" destOrd="0" presId="urn:microsoft.com/office/officeart/2008/layout/HorizontalMultiLevelHierarchy"/>
    <dgm:cxn modelId="{733BE84F-B518-4E11-8861-FFEF2CFB1AC4}" type="presOf" srcId="{FA317454-8966-4A39-ABE1-067B33BF42FA}" destId="{7D82D2CA-6082-484C-A253-2E53456FB04E}" srcOrd="1" destOrd="0" presId="urn:microsoft.com/office/officeart/2008/layout/HorizontalMultiLevelHierarchy"/>
    <dgm:cxn modelId="{8354F86F-E40A-4BE7-BB1F-2466476B5991}" type="presOf" srcId="{3A66835B-EBBF-4A26-85BF-E1809AB784B1}" destId="{7E6F1178-A0ED-40A4-80C2-D665DE3CA3DE}" srcOrd="1" destOrd="0" presId="urn:microsoft.com/office/officeart/2008/layout/HorizontalMultiLevelHierarchy"/>
    <dgm:cxn modelId="{ED283F70-B760-445C-BDBF-E3FD3F77A442}" srcId="{BBD7F936-4567-47BF-A1F5-053F7A74C3A0}" destId="{F4F73E1C-BE6A-4C2A-A949-E9426F79D2D0}" srcOrd="1" destOrd="0" parTransId="{24AB32D6-1157-40E7-B834-0E6DBE980708}" sibTransId="{CBEE669D-DF28-4862-AEC2-C07189771CB7}"/>
    <dgm:cxn modelId="{7C498370-BC5F-4B08-AC6A-6BB76EE7C6E8}" type="presOf" srcId="{FE150378-8AE0-41D5-A9D0-183EAEC28591}" destId="{91585094-837F-4F52-9453-36A4634D1BC8}" srcOrd="0" destOrd="0" presId="urn:microsoft.com/office/officeart/2008/layout/HorizontalMultiLevelHierarchy"/>
    <dgm:cxn modelId="{8BC9AE70-E82B-4CF7-BF61-02B1C9F530C1}" srcId="{0C6F5C03-AE29-4B7A-AD44-2D21990BF01F}" destId="{913A2DB0-64ED-4EC6-99E9-102A4C83260E}" srcOrd="1" destOrd="0" parTransId="{E1DC108B-B89B-421A-882E-C3354901C37A}" sibTransId="{DA62E81C-E95D-488A-B467-77A85239D978}"/>
    <dgm:cxn modelId="{5F97EB70-9029-4146-AC15-08B39AF73F90}" srcId="{B2BD0430-797B-4C71-B60E-F34693239D47}" destId="{4B99ACDB-45E4-45C8-9BF0-519551F1AE41}" srcOrd="1" destOrd="0" parTransId="{B94774D8-50F5-4A1D-822B-102410C5B3D4}" sibTransId="{63D386C3-E625-4279-9FE3-03DC77DF7554}"/>
    <dgm:cxn modelId="{7BA10251-0040-4049-85A8-8BBAC9283D40}" type="presOf" srcId="{C6032DE0-A07C-4F58-97E0-9DCCD92142B1}" destId="{AFA673E4-44D0-4FC5-B7CD-3D58DED763A5}" srcOrd="0" destOrd="0" presId="urn:microsoft.com/office/officeart/2008/layout/HorizontalMultiLevelHierarchy"/>
    <dgm:cxn modelId="{1E476051-AEDD-428F-989A-02C0A2664B53}" type="presOf" srcId="{3CF32039-CE22-42C5-9120-D786A459153D}" destId="{9DD49D0E-5736-497A-A40C-6DF96C4E7BB7}" srcOrd="0" destOrd="0" presId="urn:microsoft.com/office/officeart/2008/layout/HorizontalMultiLevelHierarchy"/>
    <dgm:cxn modelId="{B6089071-281C-4737-8073-07BB845F988D}" srcId="{A445E6B8-3C72-4D94-98AC-2E4A27E20D90}" destId="{9311BD07-AC22-445C-B920-ED4C11DB3961}" srcOrd="0" destOrd="0" parTransId="{017DD49E-B2FD-4A9D-9066-007FCCC94F29}" sibTransId="{F66F461F-2F9E-4CAB-80AE-9CB7B62F6CEB}"/>
    <dgm:cxn modelId="{D60CCD51-CCF1-4643-88B6-603C0D6DE3F5}" srcId="{6372AFFD-304C-4AF9-82D8-A78B05B0C67D}" destId="{49870E61-3A83-48F5-8EAC-01846909DAF1}" srcOrd="0" destOrd="0" parTransId="{C66A3338-FFE2-404B-8814-72A91F4C1C91}" sibTransId="{EDA5E340-1F28-46ED-9965-A2227227FAC5}"/>
    <dgm:cxn modelId="{5E502452-6A1A-40F9-9AA3-4F75C3DB77B8}" type="presOf" srcId="{1C2CB421-29C9-44D3-9557-B1853F6D37A5}" destId="{776461AE-5412-45FF-A6D5-8A9FB83F578D}" srcOrd="0" destOrd="0" presId="urn:microsoft.com/office/officeart/2008/layout/HorizontalMultiLevelHierarchy"/>
    <dgm:cxn modelId="{3219F572-819D-44E8-86B1-AFBC72557AAC}" type="presOf" srcId="{C2069357-9119-4184-BF12-4CF3FA2B84BB}" destId="{88B83AB6-9B9C-43C6-8A71-2C2D933CBB33}" srcOrd="0" destOrd="0" presId="urn:microsoft.com/office/officeart/2008/layout/HorizontalMultiLevelHierarchy"/>
    <dgm:cxn modelId="{C5F62C73-CDD0-4A25-9D46-380E29CA55D7}" type="presOf" srcId="{05F000D5-7C16-4BF8-8A06-6D954A8A378D}" destId="{A4DF1F9B-2996-4CBF-9B1A-37893E0C2A56}" srcOrd="0" destOrd="0" presId="urn:microsoft.com/office/officeart/2008/layout/HorizontalMultiLevelHierarchy"/>
    <dgm:cxn modelId="{F3EB4053-C31B-4833-BCD6-7F194BE74E79}" srcId="{59531D23-83F2-4A21-9163-C39BCA42D1E7}" destId="{369FF36E-E32E-4813-9413-84BD713D3029}" srcOrd="0" destOrd="0" parTransId="{0BDA0D83-F5C6-44DD-B01C-52C7480E2C1A}" sibTransId="{1EDEEA7C-B7F5-419E-9902-D1E1D78F59FC}"/>
    <dgm:cxn modelId="{85B24C53-2222-4485-B8AF-D49B371FA908}" srcId="{19E0F379-9FAF-4253-ADC7-A6A3F1014D6D}" destId="{7862787A-A77E-4B42-A23A-91B6A7FFE331}" srcOrd="1" destOrd="0" parTransId="{7E0FE22B-0A6A-4EFA-B26E-2750FC4D54DE}" sibTransId="{D95AC601-9D72-49E4-A671-D8D58EE9EFDD}"/>
    <dgm:cxn modelId="{9C00CF73-252F-4B6D-9A97-6FF1A9E252DE}" type="presOf" srcId="{4B99ACDB-45E4-45C8-9BF0-519551F1AE41}" destId="{B1A3D01D-5D83-4E4F-91F7-25A9CE022DB4}" srcOrd="0" destOrd="0" presId="urn:microsoft.com/office/officeart/2008/layout/HorizontalMultiLevelHierarchy"/>
    <dgm:cxn modelId="{3BD83B54-F6F3-4109-8081-E45FDCCF3703}" type="presOf" srcId="{24AB32D6-1157-40E7-B834-0E6DBE980708}" destId="{FAB837DE-E87A-4FD7-8508-04E6FE66BA27}" srcOrd="0" destOrd="0" presId="urn:microsoft.com/office/officeart/2008/layout/HorizontalMultiLevelHierarchy"/>
    <dgm:cxn modelId="{262B6754-0132-421E-8926-B08459BF4014}" type="presOf" srcId="{80AB7C5E-119A-4D7F-8531-3D2E2EEF2634}" destId="{6A332753-4974-4E88-A4F6-6FA392DCE72C}" srcOrd="0" destOrd="0" presId="urn:microsoft.com/office/officeart/2008/layout/HorizontalMultiLevelHierarchy"/>
    <dgm:cxn modelId="{55006B54-3A60-40A2-8BF2-538452BC9918}" type="presOf" srcId="{DCF6C51D-CAD2-4ACA-9475-C7E2044622DA}" destId="{690FD209-E181-4A9E-B043-5240FB8473C1}" srcOrd="1" destOrd="0" presId="urn:microsoft.com/office/officeart/2008/layout/HorizontalMultiLevelHierarchy"/>
    <dgm:cxn modelId="{B99CDF75-DF5E-423C-918E-FB300B59379B}" type="presOf" srcId="{E1DC108B-B89B-421A-882E-C3354901C37A}" destId="{88B4B8D4-F835-41E0-B010-E7ABE897EF7D}" srcOrd="1" destOrd="0" presId="urn:microsoft.com/office/officeart/2008/layout/HorizontalMultiLevelHierarchy"/>
    <dgm:cxn modelId="{E360FB55-D788-4286-91A2-025FE97042CB}" type="presOf" srcId="{D98B3002-2D95-4024-B2B9-236CE3E580B3}" destId="{73399A1C-AE93-49E5-9FAE-4BFC19565A8E}" srcOrd="1" destOrd="0" presId="urn:microsoft.com/office/officeart/2008/layout/HorizontalMultiLevelHierarchy"/>
    <dgm:cxn modelId="{18F23258-4F6D-40C9-B7D4-B640D0DCF582}" type="presOf" srcId="{0E987D8E-C729-459E-8708-7AB85279BC88}" destId="{C2ECD8AF-5575-4262-9A37-BE07DD290A9B}" srcOrd="0" destOrd="0" presId="urn:microsoft.com/office/officeart/2008/layout/HorizontalMultiLevelHierarchy"/>
    <dgm:cxn modelId="{C2254978-777E-427A-B07B-332266E64F9C}" type="presOf" srcId="{D40B372D-2E74-4F61-8CDC-08BF73DF977C}" destId="{C5D29312-419D-4D6C-9F69-CCF482F637FC}" srcOrd="0" destOrd="0" presId="urn:microsoft.com/office/officeart/2008/layout/HorizontalMultiLevelHierarchy"/>
    <dgm:cxn modelId="{E4AE5158-C6F8-437D-814E-1125F6596A3A}" type="presOf" srcId="{50E84A30-4CE1-4003-BAAA-929BDF0B3572}" destId="{030705FC-3D97-4EBC-9909-0E2CCD421282}" srcOrd="0" destOrd="0" presId="urn:microsoft.com/office/officeart/2008/layout/HorizontalMultiLevelHierarchy"/>
    <dgm:cxn modelId="{B0B69C58-A7D9-4443-AF56-4C0D01490BD0}" type="presOf" srcId="{47C48ED1-D451-42F3-A9AF-62F6A4C8113E}" destId="{D004409E-E2E7-4ACD-A696-65980A0F7E7C}" srcOrd="0" destOrd="0" presId="urn:microsoft.com/office/officeart/2008/layout/HorizontalMultiLevelHierarchy"/>
    <dgm:cxn modelId="{98B83A59-E0CC-47CD-AFF0-54D3EAAE5D13}" type="presOf" srcId="{9B0CE611-550E-442F-A1B7-A21417DBE3ED}" destId="{9D2603AF-16DF-408E-BD33-E1961223128C}" srcOrd="0" destOrd="0" presId="urn:microsoft.com/office/officeart/2008/layout/HorizontalMultiLevelHierarchy"/>
    <dgm:cxn modelId="{1E2A7359-E249-4337-BA1A-9F7349A011FD}" srcId="{D40B372D-2E74-4F61-8CDC-08BF73DF977C}" destId="{D944B77A-E700-48AB-BA6A-F8585EFE9860}" srcOrd="1" destOrd="0" parTransId="{1EB12E60-7587-4445-9A16-F5F15BF50B1D}" sibTransId="{3113239D-2314-4A9A-AA68-72F3BE5B9BF2}"/>
    <dgm:cxn modelId="{7074E25A-2D54-42E9-8979-C7C5C5456B6D}" type="presOf" srcId="{C7CAC2AC-E589-4F8F-89B8-F80EE4F440B8}" destId="{81B71E9A-A88A-4A72-AC96-3EF81EFD9747}" srcOrd="0" destOrd="0" presId="urn:microsoft.com/office/officeart/2008/layout/HorizontalMultiLevelHierarchy"/>
    <dgm:cxn modelId="{4DA3787D-F181-4732-AF2C-B38F72B64C59}" type="presOf" srcId="{03224D0E-9765-4ACC-8762-456DDC5EBC57}" destId="{52D1175D-0D8F-45B3-BB1D-8591E51AB3BE}" srcOrd="0" destOrd="0" presId="urn:microsoft.com/office/officeart/2008/layout/HorizontalMultiLevelHierarchy"/>
    <dgm:cxn modelId="{CC3D977D-C047-42AB-8443-ADBC0F1A0AB9}" type="presOf" srcId="{B6D94716-102C-4C3B-9B88-D9F19A060348}" destId="{CB752406-FDDA-494A-B48E-BA2740977EEE}" srcOrd="0" destOrd="0" presId="urn:microsoft.com/office/officeart/2008/layout/HorizontalMultiLevelHierarchy"/>
    <dgm:cxn modelId="{44CCE180-3E4F-41D0-9DE4-79E0E697BFF1}" srcId="{3384259D-DD74-47A0-84EB-8CFB83B1EF2D}" destId="{0C6F5C03-AE29-4B7A-AD44-2D21990BF01F}" srcOrd="0" destOrd="0" parTransId="{D98B3002-2D95-4024-B2B9-236CE3E580B3}" sibTransId="{43A94474-0613-4EAB-83D1-F8D748EC67A8}"/>
    <dgm:cxn modelId="{2A815D81-955C-4980-B404-7B0920D7B7C2}" srcId="{E08E71BE-0200-4FA8-B749-928F70BD4001}" destId="{E328C9ED-7E03-4C2E-86AF-6C608CB66764}" srcOrd="0" destOrd="0" parTransId="{0E987D8E-C729-459E-8708-7AB85279BC88}" sibTransId="{7021EB3E-79DA-44A5-91C6-B3DF76038153}"/>
    <dgm:cxn modelId="{93164781-84AA-4571-9512-BF90D01B2AA3}" srcId="{3384259D-DD74-47A0-84EB-8CFB83B1EF2D}" destId="{9E3234AC-D87B-4669-85F7-5BB5A79AF172}" srcOrd="1" destOrd="0" parTransId="{17C76AB3-4369-429E-B042-35AE5979AFB4}" sibTransId="{E56B9213-C368-45F0-98FA-7B563638E80C}"/>
    <dgm:cxn modelId="{FA18AE81-12F2-4410-B224-92D991258F75}" type="presOf" srcId="{07C76642-39A8-48AD-9433-8C450ECF76C8}" destId="{EB1DFF0D-F5E9-4BA6-A8E4-F79AA1120067}" srcOrd="0" destOrd="0" presId="urn:microsoft.com/office/officeart/2008/layout/HorizontalMultiLevelHierarchy"/>
    <dgm:cxn modelId="{8797CE81-3216-4D84-A7A4-FD79886B3433}" type="presOf" srcId="{59463C9D-6BEF-4422-BCB2-C1F7139F3556}" destId="{5E9BC8E9-0240-4A9D-ADE3-69918359AE04}" srcOrd="0" destOrd="0" presId="urn:microsoft.com/office/officeart/2008/layout/HorizontalMultiLevelHierarchy"/>
    <dgm:cxn modelId="{08DC2482-C399-4FEC-A8B7-D553B0902061}" type="presOf" srcId="{976BBC93-3990-4406-A805-ECBC1B58832D}" destId="{D516F39F-40D8-406E-99CD-3F761AB20E14}" srcOrd="1" destOrd="0" presId="urn:microsoft.com/office/officeart/2008/layout/HorizontalMultiLevelHierarchy"/>
    <dgm:cxn modelId="{15B34682-2AFC-4327-A5F2-4C3AC6D98B99}" srcId="{1A3FF236-9A95-41DC-A331-81E65E28AF80}" destId="{3384259D-DD74-47A0-84EB-8CFB83B1EF2D}" srcOrd="0" destOrd="0" parTransId="{DCF6C51D-CAD2-4ACA-9475-C7E2044622DA}" sibTransId="{046A702A-AFF3-4E8A-896B-FCA66F084EC9}"/>
    <dgm:cxn modelId="{FD0A9782-1AD0-4522-842C-AA54FBE40784}" type="presOf" srcId="{F87C74AE-4591-482B-89DE-26ADAC4E83E7}" destId="{CF6909CC-5F61-4CBB-9116-28462080F3B6}" srcOrd="0" destOrd="0" presId="urn:microsoft.com/office/officeart/2008/layout/HorizontalMultiLevelHierarchy"/>
    <dgm:cxn modelId="{D772F183-1E4D-4384-B909-A29CBA99C309}" type="presOf" srcId="{5E286412-2F61-4A14-9221-CD755B5462B3}" destId="{19BC94CB-2263-4628-AC76-E5DE9E8B3A17}" srcOrd="0" destOrd="0" presId="urn:microsoft.com/office/officeart/2008/layout/HorizontalMultiLevelHierarchy"/>
    <dgm:cxn modelId="{DCEC8184-2080-40B5-8D96-F92F883B8FB6}" srcId="{12FCB835-A148-461B-88AA-FDC9060306D7}" destId="{1A3FF236-9A95-41DC-A331-81E65E28AF80}" srcOrd="1" destOrd="0" parTransId="{BD66CEFF-F094-42BD-B514-12FA8B522DA4}" sibTransId="{62A69D98-7B48-49ED-9B59-8D66ABFA7026}"/>
    <dgm:cxn modelId="{32F82985-7D38-494A-BD75-FEF073DE426C}" type="presOf" srcId="{9E3234AC-D87B-4669-85F7-5BB5A79AF172}" destId="{0A8B1590-562C-4F24-8E58-0A8A12DB9C9D}" srcOrd="0" destOrd="0" presId="urn:microsoft.com/office/officeart/2008/layout/HorizontalMultiLevelHierarchy"/>
    <dgm:cxn modelId="{6F672486-A540-4B91-B1B4-86B0DA8C7BC2}" type="presOf" srcId="{32F71D42-3616-4F03-9997-E816E1E22FC6}" destId="{6E4F4CCC-D468-475E-945D-90F694E4EE07}" srcOrd="0" destOrd="0" presId="urn:microsoft.com/office/officeart/2008/layout/HorizontalMultiLevelHierarchy"/>
    <dgm:cxn modelId="{F1777186-9C0B-468A-86AF-CA07E2F744B2}" srcId="{E08E71BE-0200-4FA8-B749-928F70BD4001}" destId="{D40B372D-2E74-4F61-8CDC-08BF73DF977C}" srcOrd="1" destOrd="0" parTransId="{DE81D0B0-C25A-438A-9005-659D91D1FD0B}" sibTransId="{37A7288B-BFCA-4578-9488-D14684A36803}"/>
    <dgm:cxn modelId="{390FAF89-3D81-48AB-8337-5BC6611DFE88}" type="presOf" srcId="{241658DD-FEE4-49C9-A97D-8333EA7384A7}" destId="{5E789571-F673-4348-8EB9-BA721675B9EC}" srcOrd="0" destOrd="0" presId="urn:microsoft.com/office/officeart/2008/layout/HorizontalMultiLevelHierarchy"/>
    <dgm:cxn modelId="{2539D389-375C-4B30-B555-D48B8C5CCC38}" type="presOf" srcId="{C9E27238-AEF5-4EB1-B2FF-8D4E0668AF6D}" destId="{81828A41-836D-47CA-8DA5-053F54A35B42}" srcOrd="0" destOrd="0" presId="urn:microsoft.com/office/officeart/2008/layout/HorizontalMultiLevelHierarchy"/>
    <dgm:cxn modelId="{CE44EA89-6F0A-4975-94AE-0220E7813208}" srcId="{12FCB835-A148-461B-88AA-FDC9060306D7}" destId="{59463C9D-6BEF-4422-BCB2-C1F7139F3556}" srcOrd="0" destOrd="0" parTransId="{28AD2B1C-C4A8-4095-9665-997A79ED04FC}" sibTransId="{6002142D-F7F1-43F0-8CD9-73879198C6D4}"/>
    <dgm:cxn modelId="{37E70C8A-FD39-443A-B67E-1CA9DFE5856C}" srcId="{CEDCA276-BD4E-40EC-80E8-35C8CB8546CB}" destId="{2268D4E2-3337-4AC4-91E0-0C944C36E5D9}" srcOrd="1" destOrd="0" parTransId="{241658DD-FEE4-49C9-A97D-8333EA7384A7}" sibTransId="{CC0BB646-DDDA-41F3-A8B3-7EE5CF2A299A}"/>
    <dgm:cxn modelId="{A97CAF8A-FDC6-40C9-95B9-EFB82071E9FA}" type="presOf" srcId="{642E43F4-65B9-415B-983E-CA5C7D75D801}" destId="{DBCA19F4-0425-45B8-8BEB-56218D8E6535}" srcOrd="1" destOrd="0" presId="urn:microsoft.com/office/officeart/2008/layout/HorizontalMultiLevelHierarchy"/>
    <dgm:cxn modelId="{57736F8C-E6BE-4EE9-A2EA-CE154CA558E0}" type="presOf" srcId="{1F086684-27E9-4CFA-8B6C-BBC25AE19650}" destId="{823379AE-2D3E-4AAB-BDFD-D68B918D172B}" srcOrd="0" destOrd="0" presId="urn:microsoft.com/office/officeart/2008/layout/HorizontalMultiLevelHierarchy"/>
    <dgm:cxn modelId="{26AB9D8C-0630-404D-9329-AE77C094DBE4}" type="presOf" srcId="{B221B034-B101-4364-A99D-BB621DC3176F}" destId="{39467E77-003F-4EA2-93C4-142B9D4C1532}" srcOrd="1" destOrd="0" presId="urn:microsoft.com/office/officeart/2008/layout/HorizontalMultiLevelHierarchy"/>
    <dgm:cxn modelId="{61FD7E8D-3CBC-49B0-86E6-51ADDFF5E377}" type="presOf" srcId="{6372AFFD-304C-4AF9-82D8-A78B05B0C67D}" destId="{0E262E9C-A2BC-4819-9654-FEE996810B88}" srcOrd="0" destOrd="0" presId="urn:microsoft.com/office/officeart/2008/layout/HorizontalMultiLevelHierarchy"/>
    <dgm:cxn modelId="{57F4858D-490F-4710-A7BE-93C79B803025}" srcId="{1C2CB421-29C9-44D3-9557-B1853F6D37A5}" destId="{297F27A9-AF24-47A7-8FB2-3AE7708D36D9}" srcOrd="0" destOrd="0" parTransId="{28662B82-91FE-4464-B470-88C38CDA71B8}" sibTransId="{5BF3EA12-F53A-41C6-BE42-9C4B174CE6F8}"/>
    <dgm:cxn modelId="{2FE72B8E-30B5-4DED-8EF5-189BA52D65A4}" type="presOf" srcId="{BFF3EE6A-B41D-42A3-8A21-4887FD388FBE}" destId="{719791DA-E3C5-48F1-B609-5307CAB17B58}" srcOrd="0" destOrd="0" presId="urn:microsoft.com/office/officeart/2008/layout/HorizontalMultiLevelHierarchy"/>
    <dgm:cxn modelId="{F73D738E-70F9-4BA9-9A73-FE965DE53A5B}" type="presOf" srcId="{0BDA0D83-F5C6-44DD-B01C-52C7480E2C1A}" destId="{E7B2D9D8-C48C-47F5-A7DA-C6F7827E6DFE}" srcOrd="0" destOrd="0" presId="urn:microsoft.com/office/officeart/2008/layout/HorizontalMultiLevelHierarchy"/>
    <dgm:cxn modelId="{CB85BB8E-FC9E-4681-A253-ACB34422852E}" type="presOf" srcId="{BE8A961E-2DFB-418A-8A2D-F148FB466779}" destId="{196DCC81-37D2-46DF-B9D8-C521E0997145}" srcOrd="0" destOrd="0" presId="urn:microsoft.com/office/officeart/2008/layout/HorizontalMultiLevelHierarchy"/>
    <dgm:cxn modelId="{589D6691-A58C-425E-BFCE-B1053F0FFB27}" srcId="{3A8FC3A3-601B-4DC5-BC01-8D68E5DCC428}" destId="{EE1A4162-F24A-4818-87C0-0D072532234A}" srcOrd="0" destOrd="0" parTransId="{F6E38B7D-D604-4244-9623-3F6FE8272B30}" sibTransId="{E1CFFDE7-9404-424E-B32F-D662DFC73F92}"/>
    <dgm:cxn modelId="{B2CCD992-17E4-49E7-A24A-0338DC4E2061}" type="presOf" srcId="{D98B3002-2D95-4024-B2B9-236CE3E580B3}" destId="{8F7273BC-E7FB-4729-BDCB-2ACCB51DFB29}" srcOrd="0" destOrd="0" presId="urn:microsoft.com/office/officeart/2008/layout/HorizontalMultiLevelHierarchy"/>
    <dgm:cxn modelId="{8D594393-0378-4825-81D0-BFD22A9E403F}" type="presOf" srcId="{6C01FD0B-8D9B-4AD7-9E45-BF6392DCA049}" destId="{145EE429-FF65-467F-8146-D3F2F2DDA1D1}" srcOrd="0" destOrd="0" presId="urn:microsoft.com/office/officeart/2008/layout/HorizontalMultiLevelHierarchy"/>
    <dgm:cxn modelId="{091C4D94-55BC-42BD-823B-B73C642C2B2C}" type="presOf" srcId="{E328C9ED-7E03-4C2E-86AF-6C608CB66764}" destId="{B6EF273E-42B9-4BDF-87E4-57DF659F408B}" srcOrd="0" destOrd="0" presId="urn:microsoft.com/office/officeart/2008/layout/HorizontalMultiLevelHierarchy"/>
    <dgm:cxn modelId="{DA268A94-2594-4641-A1E1-752DD62F9C62}" type="presOf" srcId="{3040C55A-21DD-4B8A-86C4-1BFC7961A6A0}" destId="{4C031C7A-2EE9-48C0-9711-6D378E4154F0}" srcOrd="1" destOrd="0" presId="urn:microsoft.com/office/officeart/2008/layout/HorizontalMultiLevelHierarchy"/>
    <dgm:cxn modelId="{15B61B97-0A0F-43FE-ABAA-B9F86339CE35}" type="presOf" srcId="{4FB8797C-9715-4EDF-ADD4-5D41A643A4F3}" destId="{922928B4-E0DE-4739-83BD-92B2416EE5BA}" srcOrd="0" destOrd="0" presId="urn:microsoft.com/office/officeart/2008/layout/HorizontalMultiLevelHierarchy"/>
    <dgm:cxn modelId="{49F2C797-A9C4-4D01-83EC-35E3AA780FE0}" type="presOf" srcId="{3384259D-DD74-47A0-84EB-8CFB83B1EF2D}" destId="{FCE2A0C5-5DE9-449D-92E1-3C97D4EED906}" srcOrd="0" destOrd="0" presId="urn:microsoft.com/office/officeart/2008/layout/HorizontalMultiLevelHierarchy"/>
    <dgm:cxn modelId="{9153C997-2A16-454C-9269-797C349FCC55}" type="presOf" srcId="{41979DCC-6141-4034-93F5-06B8EB01193E}" destId="{F4AFE74F-E552-4BF2-9CAB-9B496EFB4C2A}" srcOrd="1" destOrd="0" presId="urn:microsoft.com/office/officeart/2008/layout/HorizontalMultiLevelHierarchy"/>
    <dgm:cxn modelId="{50198B98-FDDB-4062-95D1-755956626A9F}" type="presOf" srcId="{8C6DF3F3-5ECD-4897-809A-975B2803388D}" destId="{70963B69-08BB-4D6F-B45B-0CD3EFF40D6C}" srcOrd="0" destOrd="0" presId="urn:microsoft.com/office/officeart/2008/layout/HorizontalMultiLevelHierarchy"/>
    <dgm:cxn modelId="{FD821699-E809-41E7-A10B-8F5093AC3C1F}" type="presOf" srcId="{50A524DF-4E2C-4B41-826D-3791FA45D8D6}" destId="{CFF3BB5D-6787-4B65-A44B-DD761A5D63AB}" srcOrd="1" destOrd="0" presId="urn:microsoft.com/office/officeart/2008/layout/HorizontalMultiLevelHierarchy"/>
    <dgm:cxn modelId="{5440FE9A-701B-413B-BC36-8A51E25CB59C}" type="presOf" srcId="{19E0F379-9FAF-4253-ADC7-A6A3F1014D6D}" destId="{CD43BFDA-080E-4AB4-8607-2A07729FFB80}" srcOrd="0" destOrd="0" presId="urn:microsoft.com/office/officeart/2008/layout/HorizontalMultiLevelHierarchy"/>
    <dgm:cxn modelId="{5D59DF9B-6E35-4F29-A6BE-76A2DB4B8A34}" type="presOf" srcId="{D3970B7E-B262-470E-A670-B7108A2AA607}" destId="{014FFA41-E461-4541-8FFF-1CA597ABF41A}" srcOrd="1" destOrd="0" presId="urn:microsoft.com/office/officeart/2008/layout/HorizontalMultiLevelHierarchy"/>
    <dgm:cxn modelId="{8C4B4A9C-2AC5-4652-AA1C-B9A6F1700364}" type="presOf" srcId="{F293B739-3D16-4FCA-8506-F991F636E859}" destId="{AD79D32F-4823-475A-BB5D-F167B00549DF}" srcOrd="1" destOrd="0" presId="urn:microsoft.com/office/officeart/2008/layout/HorizontalMultiLevelHierarchy"/>
    <dgm:cxn modelId="{6B6E949D-D2C8-4700-AC17-ABF3D97BCE66}" type="presOf" srcId="{FA317454-8966-4A39-ABE1-067B33BF42FA}" destId="{7F27EE02-D6F8-4CF9-A7FD-072D87AA11DA}" srcOrd="0" destOrd="0" presId="urn:microsoft.com/office/officeart/2008/layout/HorizontalMultiLevelHierarchy"/>
    <dgm:cxn modelId="{06C4BF9D-F3C2-441A-999F-E02F8CD696C5}" type="presOf" srcId="{7E6D0A34-B675-4D30-92FF-5C260A1A507E}" destId="{5879E911-2F4B-45C7-AE3A-E08FD7A19BD2}" srcOrd="0" destOrd="0" presId="urn:microsoft.com/office/officeart/2008/layout/HorizontalMultiLevelHierarchy"/>
    <dgm:cxn modelId="{09AD729E-C87F-48B3-95FE-CE50CFF01246}" srcId="{162F46F2-F469-4EB6-9C48-3D0EF97B420E}" destId="{EE2DE24E-D607-4218-82ED-DC126255C680}" srcOrd="0" destOrd="0" parTransId="{142A8C57-C720-4368-92BD-1FD39CB197E7}" sibTransId="{D4777D10-FF7A-4C9B-BDC2-F877A1A0180D}"/>
    <dgm:cxn modelId="{8432949E-7A7D-4AEA-87AA-4D614E4CB102}" type="presOf" srcId="{297F27A9-AF24-47A7-8FB2-3AE7708D36D9}" destId="{6A6FC957-BF10-4DBA-9F16-3E31A4541C91}" srcOrd="0" destOrd="0" presId="urn:microsoft.com/office/officeart/2008/layout/HorizontalMultiLevelHierarchy"/>
    <dgm:cxn modelId="{578AA29F-5519-4F78-BC21-605411933970}" type="presOf" srcId="{7B80C8AF-2855-4BF7-98E3-5BE9896D5446}" destId="{31B686EE-70EE-4BEC-890F-29897C770DE7}" srcOrd="0" destOrd="0" presId="urn:microsoft.com/office/officeart/2008/layout/HorizontalMultiLevelHierarchy"/>
    <dgm:cxn modelId="{C7ED84A0-0A3B-4869-82BE-F5FBFB75F2D2}" type="presOf" srcId="{70599A2C-EE7C-4A2C-B6B8-15A6E8E952F4}" destId="{1910E3FD-9A95-414C-A1FE-78AC32060DB6}" srcOrd="1" destOrd="0" presId="urn:microsoft.com/office/officeart/2008/layout/HorizontalMultiLevelHierarchy"/>
    <dgm:cxn modelId="{2C3EEAA0-507E-460E-A225-8307863FD3CD}" type="presOf" srcId="{5CC76A71-B177-4F9F-9842-290C49FEE8BD}" destId="{E04E08AE-21F4-494C-8E94-9536B88193BE}" srcOrd="0" destOrd="0" presId="urn:microsoft.com/office/officeart/2008/layout/HorizontalMultiLevelHierarchy"/>
    <dgm:cxn modelId="{DC72A9A1-0FD2-4F26-A403-FA125C12E1AA}" type="presOf" srcId="{6EA682D1-D1FC-4867-8B24-B35EEF5CE6F4}" destId="{0510F77E-5529-4BA9-8043-98F7A928DD18}" srcOrd="0" destOrd="0" presId="urn:microsoft.com/office/officeart/2008/layout/HorizontalMultiLevelHierarchy"/>
    <dgm:cxn modelId="{6A285DA2-D2C9-4BE2-B6A6-A0000F71DA2C}" type="presOf" srcId="{28662B82-91FE-4464-B470-88C38CDA71B8}" destId="{7E27029E-DC03-4AF1-BAB0-E89492087063}" srcOrd="0" destOrd="0" presId="urn:microsoft.com/office/officeart/2008/layout/HorizontalMultiLevelHierarchy"/>
    <dgm:cxn modelId="{61B529A4-F986-49C1-B41A-D5D2DA5794D4}" type="presOf" srcId="{89EA8B19-F077-44F8-8940-CBFAF1365198}" destId="{0533C393-E4FD-4C9E-99F2-69D455CE0B9F}" srcOrd="0" destOrd="0" presId="urn:microsoft.com/office/officeart/2008/layout/HorizontalMultiLevelHierarchy"/>
    <dgm:cxn modelId="{9F6E42A5-B5F7-49BA-BAE0-7F43D68F99D9}" srcId="{AEE9E864-5F22-4A6E-A4E1-757AE1F4C3BD}" destId="{885CA24D-F431-47C3-AF04-C7577D9BAA48}" srcOrd="0" destOrd="0" parTransId="{83205A31-52C4-4D47-BC4C-BE5E24EB8DA0}" sibTransId="{469B0935-5728-4F84-B7F4-1ABDAB917D78}"/>
    <dgm:cxn modelId="{F85A9CA5-8275-49B1-9481-B01AF6FE1081}" type="presOf" srcId="{9B2D71AE-E0F0-4D59-BC0F-F40225D9DC94}" destId="{B1DB1953-27BD-43BE-B295-518AC3812341}" srcOrd="0" destOrd="0" presId="urn:microsoft.com/office/officeart/2008/layout/HorizontalMultiLevelHierarchy"/>
    <dgm:cxn modelId="{0D9374A6-EDA7-4874-BA2D-2BC4ED166A46}" type="presOf" srcId="{4CB2AE48-20C4-42C6-8FC0-F5329AA4CD25}" destId="{785EAA22-A0F7-46A7-B7A9-BC61C25E7D14}" srcOrd="0" destOrd="0" presId="urn:microsoft.com/office/officeart/2008/layout/HorizontalMultiLevelHierarchy"/>
    <dgm:cxn modelId="{5A7D94A6-6BCE-4B40-926F-311DBD36E3F4}" srcId="{5E634DF5-7FA0-450A-9A32-65C6784F31B3}" destId="{B6D94716-102C-4C3B-9B88-D9F19A060348}" srcOrd="0" destOrd="0" parTransId="{8ED51032-EC17-444C-BFA4-50C0BFD620EC}" sibTransId="{772E9ADC-7BA3-44DB-BC53-041AD681D9B6}"/>
    <dgm:cxn modelId="{2B89DBA6-07EB-49ED-A8AB-5416281A552E}" type="presOf" srcId="{28662B82-91FE-4464-B470-88C38CDA71B8}" destId="{3168EAF9-4C8F-47FC-A46A-DD275F4178F3}" srcOrd="1" destOrd="0" presId="urn:microsoft.com/office/officeart/2008/layout/HorizontalMultiLevelHierarchy"/>
    <dgm:cxn modelId="{8BA316A7-867F-4CD3-A880-A059A061FE21}" srcId="{19E0F379-9FAF-4253-ADC7-A6A3F1014D6D}" destId="{C9E27238-AEF5-4EB1-B2FF-8D4E0668AF6D}" srcOrd="0" destOrd="0" parTransId="{75575511-0586-4CDC-BEB9-EB23B002F242}" sibTransId="{841950CC-0B87-45EA-9695-83E9D97D83C4}"/>
    <dgm:cxn modelId="{C574B1A7-EF40-4F0D-9888-F18A1BE31D7F}" type="presOf" srcId="{207EE5DA-C725-4C29-B667-E1F151627784}" destId="{D832059A-A2C6-4344-9BBC-4876E486EC40}" srcOrd="0" destOrd="0" presId="urn:microsoft.com/office/officeart/2008/layout/HorizontalMultiLevelHierarchy"/>
    <dgm:cxn modelId="{E6F3DDA7-1D6D-4012-AE86-F078542261EA}" type="presOf" srcId="{E1DC108B-B89B-421A-882E-C3354901C37A}" destId="{5C7A560B-2F3C-4741-A271-CB1DCE164347}" srcOrd="0" destOrd="0" presId="urn:microsoft.com/office/officeart/2008/layout/HorizontalMultiLevelHierarchy"/>
    <dgm:cxn modelId="{0EFFEDA7-85F1-4B5E-9D1C-6CCBD58B3063}" type="presOf" srcId="{24AB32D6-1157-40E7-B834-0E6DBE980708}" destId="{344428A8-8C54-44CE-8988-C37EFD9736E5}" srcOrd="1" destOrd="0" presId="urn:microsoft.com/office/officeart/2008/layout/HorizontalMultiLevelHierarchy"/>
    <dgm:cxn modelId="{6934EEA7-1F0E-4BAA-8C23-88EC12EB4915}" type="presOf" srcId="{F4F73E1C-BE6A-4C2A-A949-E9426F79D2D0}" destId="{F8BA739B-1F9D-4C7D-98BE-DC4943BB01A8}" srcOrd="0" destOrd="0" presId="urn:microsoft.com/office/officeart/2008/layout/HorizontalMultiLevelHierarchy"/>
    <dgm:cxn modelId="{410EF1A7-3D75-4820-8CD7-705DCB627B9B}" srcId="{9E3234AC-D87B-4669-85F7-5BB5A79AF172}" destId="{0A6A3C04-F7BE-4AC0-8892-AB2CA721666D}" srcOrd="0" destOrd="0" parTransId="{59503C2F-984D-4A72-BE25-8F679F50F4E6}" sibTransId="{EA0CDAA3-EF68-4F16-A6ED-3C959BF3E09D}"/>
    <dgm:cxn modelId="{2DA341AA-EECC-4C9F-B6E3-99440FB113F0}" type="presOf" srcId="{DCF6C51D-CAD2-4ACA-9475-C7E2044622DA}" destId="{D1849742-9FAF-4D61-853D-1204E4628A67}" srcOrd="0" destOrd="0" presId="urn:microsoft.com/office/officeart/2008/layout/HorizontalMultiLevelHierarchy"/>
    <dgm:cxn modelId="{F87E93AA-9D7E-4120-8A18-CF50B4920B17}" srcId="{297F27A9-AF24-47A7-8FB2-3AE7708D36D9}" destId="{FE150378-8AE0-41D5-A9D0-183EAEC28591}" srcOrd="0" destOrd="0" parTransId="{431730D2-1464-493E-9F0E-31AAA390FC6C}" sibTransId="{7B804749-A1F4-46F7-A679-A07052721F33}"/>
    <dgm:cxn modelId="{A4E175AB-7E6A-43C6-85C6-9CD6E54AEF2C}" type="presOf" srcId="{369FF36E-E32E-4813-9413-84BD713D3029}" destId="{D8F269C6-6AA4-4ADF-9601-1AD29DFABECF}" srcOrd="0" destOrd="0" presId="urn:microsoft.com/office/officeart/2008/layout/HorizontalMultiLevelHierarchy"/>
    <dgm:cxn modelId="{4AB7CBAB-7034-4F26-9D84-E0096BBE5008}" type="presOf" srcId="{7C815B6C-D094-49DC-A2EB-611A9EB6EF91}" destId="{DA20C5CB-76DF-4E98-A091-42296A15B67E}" srcOrd="0" destOrd="0" presId="urn:microsoft.com/office/officeart/2008/layout/HorizontalMultiLevelHierarchy"/>
    <dgm:cxn modelId="{D7DD69AC-A4A8-4CCB-9869-22B3CF0B888B}" type="presOf" srcId="{4C956225-C6F0-4629-B31F-8704418E9EF5}" destId="{15740A67-424D-47D3-A97D-D18540D2E09C}" srcOrd="0" destOrd="0" presId="urn:microsoft.com/office/officeart/2008/layout/HorizontalMultiLevelHierarchy"/>
    <dgm:cxn modelId="{0E990DAD-F3C7-4FFA-8FD8-465713A13EF5}" type="presOf" srcId="{3040C55A-21DD-4B8A-86C4-1BFC7961A6A0}" destId="{07DAA9A9-A564-46FB-9D40-4FA673E94180}" srcOrd="0" destOrd="0" presId="urn:microsoft.com/office/officeart/2008/layout/HorizontalMultiLevelHierarchy"/>
    <dgm:cxn modelId="{CED89EAF-05CC-48DE-8F5C-860719612BB4}" srcId="{B454B912-C55B-4792-AFB3-1724AE311740}" destId="{3A8FC3A3-601B-4DC5-BC01-8D68E5DCC428}" srcOrd="0" destOrd="0" parTransId="{D4DFC5F1-C442-4735-89A3-4D08F7EDF0DE}" sibTransId="{E0988D69-A233-46A7-8144-10CAA9F24018}"/>
    <dgm:cxn modelId="{71860CB0-8899-4296-91A4-EE7DC5E71DF8}" srcId="{D40B372D-2E74-4F61-8CDC-08BF73DF977C}" destId="{59531D23-83F2-4A21-9163-C39BCA42D1E7}" srcOrd="0" destOrd="0" parTransId="{976BBC93-3990-4406-A805-ECBC1B58832D}" sibTransId="{ABB890EB-79EA-49DA-9620-2FF9D7ADD5F8}"/>
    <dgm:cxn modelId="{620D2DB0-3CD5-461E-AE1A-4E3959AA3528}" type="presOf" srcId="{BFF3EE6A-B41D-42A3-8A21-4887FD388FBE}" destId="{4052D614-35A4-4CB5-9691-D60CFB0C595E}" srcOrd="1" destOrd="0" presId="urn:microsoft.com/office/officeart/2008/layout/HorizontalMultiLevelHierarchy"/>
    <dgm:cxn modelId="{3A6E36B0-3FD2-475F-A9FC-CA66E7B1FBC6}" srcId="{369FF36E-E32E-4813-9413-84BD713D3029}" destId="{251C7A9F-518E-415C-9A64-99221ED5D585}" srcOrd="0" destOrd="0" parTransId="{FA317454-8966-4A39-ABE1-067B33BF42FA}" sibTransId="{84103801-E4C0-4048-BE01-8D56E32C98C8}"/>
    <dgm:cxn modelId="{6EDB0DB4-909D-48CC-BBFA-D4A6E9A6DF2F}" type="presOf" srcId="{2DAF4D9A-37B9-4DD5-B03F-9E95A48BA766}" destId="{82888D39-C233-412C-A953-9435993092E5}" srcOrd="1" destOrd="0" presId="urn:microsoft.com/office/officeart/2008/layout/HorizontalMultiLevelHierarchy"/>
    <dgm:cxn modelId="{121BB3B5-BB6B-4809-B76E-E287F5A7F6D8}" type="presOf" srcId="{CD1F4A6A-8990-40CB-86F6-CA1808953D4E}" destId="{3E32C7D1-0190-4DD0-865B-FA56291B61E2}" srcOrd="0" destOrd="0" presId="urn:microsoft.com/office/officeart/2008/layout/HorizontalMultiLevelHierarchy"/>
    <dgm:cxn modelId="{63A8F9B6-583C-497B-B14B-FAFE9ECF8212}" srcId="{C849D1F5-C0EA-4449-880F-32B904D9870A}" destId="{41E3ED1C-CB3C-47CD-8370-611AFBDCB4BB}" srcOrd="0" destOrd="0" parTransId="{4FD02980-7206-4FCA-A626-D07F854B42C5}" sibTransId="{DBEE0790-2118-4750-9696-5E6D7D9C34E4}"/>
    <dgm:cxn modelId="{11F876B7-634F-4FEB-BFC2-7D87848EF52B}" type="presOf" srcId="{41979DCC-6141-4034-93F5-06B8EB01193E}" destId="{7D9544C0-9FF8-41E3-8D9C-140AB83BE7EF}" srcOrd="0" destOrd="0" presId="urn:microsoft.com/office/officeart/2008/layout/HorizontalMultiLevelHierarchy"/>
    <dgm:cxn modelId="{DBDAA4B8-E5E3-46C8-8DC1-5C3BC9093CF1}" type="presOf" srcId="{C66A3338-FFE2-404B-8814-72A91F4C1C91}" destId="{289DC876-FE87-4420-AA37-E5A4CBA4FB71}" srcOrd="1" destOrd="0" presId="urn:microsoft.com/office/officeart/2008/layout/HorizontalMultiLevelHierarchy"/>
    <dgm:cxn modelId="{96ACFFB8-E907-416F-9B42-DFB17EC56022}" type="presOf" srcId="{0C6F5C03-AE29-4B7A-AD44-2D21990BF01F}" destId="{EB2C0FE4-5449-41B7-8290-2A8BFEFAD304}" srcOrd="0" destOrd="0" presId="urn:microsoft.com/office/officeart/2008/layout/HorizontalMultiLevelHierarchy"/>
    <dgm:cxn modelId="{979B42B9-B749-4384-8BA8-8E24D0242309}" type="presOf" srcId="{3247DFE6-DD7F-4076-81FC-150BBA981666}" destId="{6160FAF1-F52E-4838-89A6-3B1FA37BD7F1}" srcOrd="0" destOrd="0" presId="urn:microsoft.com/office/officeart/2008/layout/HorizontalMultiLevelHierarchy"/>
    <dgm:cxn modelId="{D992D0B9-B771-49F0-BA3B-3DAA9FE3BB32}" srcId="{7862787A-A77E-4B42-A23A-91B6A7FFE331}" destId="{814EA40A-13C0-41DD-BF95-2D62251EFA6C}" srcOrd="0" destOrd="0" parTransId="{2DAF4D9A-37B9-4DD5-B03F-9E95A48BA766}" sibTransId="{5B827164-FF61-4390-A598-8FE92B0EE741}"/>
    <dgm:cxn modelId="{26FABCBA-2AAE-4822-9A68-98B07C1C4ECD}" type="presOf" srcId="{84F53347-27F9-4D85-814D-1FE7026C7C55}" destId="{9CEEE332-A537-4D59-ACA7-3CE1A3825D8E}" srcOrd="0" destOrd="0" presId="urn:microsoft.com/office/officeart/2008/layout/HorizontalMultiLevelHierarchy"/>
    <dgm:cxn modelId="{8D8DFDBA-C7F5-401D-9CF4-D06A8AE43A0C}" type="presOf" srcId="{316D770B-B446-44A3-B369-626D90EDA3C3}" destId="{C1753E0C-79F8-4F61-B7C0-1D4DBAC15B46}" srcOrd="0" destOrd="0" presId="urn:microsoft.com/office/officeart/2008/layout/HorizontalMultiLevelHierarchy"/>
    <dgm:cxn modelId="{D17B1EBB-4A10-4044-893E-13395F24F17F}" type="presOf" srcId="{2BE7BA4A-C95C-4BE7-9DD1-CD84EDF1A70C}" destId="{25C01BD5-DB6A-4934-9CDB-6A21691D6556}" srcOrd="0" destOrd="0" presId="urn:microsoft.com/office/officeart/2008/layout/HorizontalMultiLevelHierarchy"/>
    <dgm:cxn modelId="{7019D5BB-8434-44F6-838F-80BAFD5C9FD7}" srcId="{C6032DE0-A07C-4F58-97E0-9DCCD92142B1}" destId="{50E84A30-4CE1-4003-BAAA-929BDF0B3572}" srcOrd="0" destOrd="0" parTransId="{9B2D71AE-E0F0-4D59-BC0F-F40225D9DC94}" sibTransId="{D4A3E501-3BB0-40DF-A0E8-19EB6D489DA4}"/>
    <dgm:cxn modelId="{D330F9BB-427D-472E-8A3C-6D723D752545}" type="presOf" srcId="{E278FA0D-6151-478C-8BD0-D5CBD0E3642B}" destId="{2FCA7815-8D76-4883-B5D9-1DC1473A3EE7}" srcOrd="0" destOrd="0" presId="urn:microsoft.com/office/officeart/2008/layout/HorizontalMultiLevelHierarchy"/>
    <dgm:cxn modelId="{2EA832BC-DD0B-4CE5-B0F1-10BB41205B00}" type="presOf" srcId="{440FBDA6-B639-4EDE-BBA1-11B534182D12}" destId="{2B92A701-D06E-4107-A3C5-B706EB47541B}" srcOrd="1" destOrd="0" presId="urn:microsoft.com/office/officeart/2008/layout/HorizontalMultiLevelHierarchy"/>
    <dgm:cxn modelId="{9E2CF6BC-7CC7-443A-B787-6F009CB7BBBF}" type="presOf" srcId="{59503C2F-984D-4A72-BE25-8F679F50F4E6}" destId="{0155D115-A3FF-4DA7-9F1A-6BC857C2EE09}" srcOrd="1" destOrd="0" presId="urn:microsoft.com/office/officeart/2008/layout/HorizontalMultiLevelHierarchy"/>
    <dgm:cxn modelId="{5258F8BC-9148-4F47-A39A-D0CC23C1E052}" type="presOf" srcId="{241658DD-FEE4-49C9-A97D-8333EA7384A7}" destId="{6F3D22EC-9AC9-4135-8796-F1AEA4ABF95B}" srcOrd="1" destOrd="0" presId="urn:microsoft.com/office/officeart/2008/layout/HorizontalMultiLevelHierarchy"/>
    <dgm:cxn modelId="{16E172BD-4FBE-4E96-B66E-D17356418DB5}" type="presOf" srcId="{0E987D8E-C729-459E-8708-7AB85279BC88}" destId="{73953F89-5740-4FE7-9A10-E169F9BFE01A}" srcOrd="1" destOrd="0" presId="urn:microsoft.com/office/officeart/2008/layout/HorizontalMultiLevelHierarchy"/>
    <dgm:cxn modelId="{96CA72BE-7039-415F-AC39-38EEE69ECFC5}" type="presOf" srcId="{BAF946B6-4C57-4D87-B6B8-E45E8A4A37F6}" destId="{95408C3E-2AC7-4646-BBB7-7EBA5748228A}" srcOrd="0" destOrd="0" presId="urn:microsoft.com/office/officeart/2008/layout/HorizontalMultiLevelHierarchy"/>
    <dgm:cxn modelId="{F38BDDBE-F5D4-4E6B-9882-CA05458085DF}" type="presOf" srcId="{312C7B05-8D0D-4241-AFD3-2F58A2CB263C}" destId="{1FFF8CC0-B5E5-4704-A8E8-FF19315F36BD}" srcOrd="0" destOrd="0" presId="urn:microsoft.com/office/officeart/2008/layout/HorizontalMultiLevelHierarchy"/>
    <dgm:cxn modelId="{D28024BF-C6F0-4C5F-868B-3251ECAEA3E6}" type="presOf" srcId="{0F8BDC03-898D-4853-9885-57C5AE78B0D7}" destId="{332CD6FD-F514-4913-8487-34CBAC4401DB}" srcOrd="0" destOrd="0" presId="urn:microsoft.com/office/officeart/2008/layout/HorizontalMultiLevelHierarchy"/>
    <dgm:cxn modelId="{01D0B4BF-2F21-4B7F-B7D9-739308C99AC8}" srcId="{E55BB7B8-BE7F-4E1B-8EE7-336B73A973F4}" destId="{A50ECC7F-F082-48AD-95BE-7A99DAFA7247}" srcOrd="1" destOrd="0" parTransId="{04E71C4E-9225-4496-9789-C05A689A0111}" sibTransId="{11D7CE56-FDE2-4A15-959C-AF7DD6719BA1}"/>
    <dgm:cxn modelId="{4A13F8BF-0245-4716-8948-D618D8E46A62}" srcId="{814EA40A-13C0-41DD-BF95-2D62251EFA6C}" destId="{A445E6B8-3C72-4D94-98AC-2E4A27E20D90}" srcOrd="0" destOrd="0" parTransId="{07BDE030-307D-48B8-9858-2D8E5F9AEBAF}" sibTransId="{2B9F4D88-014A-490C-89E5-C9F74975C2A2}"/>
    <dgm:cxn modelId="{8DCC0AC0-2469-4796-A1DD-7CEDFBBF2A71}" type="presOf" srcId="{5FEF30DC-52BB-4100-BDC1-1E65C0A1E455}" destId="{E0A77623-9018-4D55-A72F-2BC81879F6BD}" srcOrd="0" destOrd="0" presId="urn:microsoft.com/office/officeart/2008/layout/HorizontalMultiLevelHierarchy"/>
    <dgm:cxn modelId="{5ACE65C0-49D2-4756-A783-314489EB7DA7}" type="presOf" srcId="{AEE9E864-5F22-4A6E-A4E1-757AE1F4C3BD}" destId="{83E89F32-08B9-435D-A6AC-54C22BF70489}" srcOrd="0" destOrd="0" presId="urn:microsoft.com/office/officeart/2008/layout/HorizontalMultiLevelHierarchy"/>
    <dgm:cxn modelId="{EC11D7C0-6239-41E3-A959-DD00B4C668FA}" type="presOf" srcId="{814EA40A-13C0-41DD-BF95-2D62251EFA6C}" destId="{3E2B58FE-CD0E-4D20-B3E3-F75FB0A3B180}" srcOrd="0" destOrd="0" presId="urn:microsoft.com/office/officeart/2008/layout/HorizontalMultiLevelHierarchy"/>
    <dgm:cxn modelId="{C970ADC1-046D-47F2-9A6D-3F78054EFA8E}" type="presOf" srcId="{8CA01D95-87C2-4715-A81A-8B026A659A00}" destId="{10C0587D-DAAE-4DBC-884B-BB3BC19BEB96}" srcOrd="0" destOrd="0" presId="urn:microsoft.com/office/officeart/2008/layout/HorizontalMultiLevelHierarchy"/>
    <dgm:cxn modelId="{6A74D1C1-854A-48A1-BB58-14EEDD28E527}" type="presOf" srcId="{534ACAD3-27A4-46BA-96E0-AD07FE60C92D}" destId="{472207FC-D0A8-48CA-ADDE-1CAF5F431036}" srcOrd="0" destOrd="0" presId="urn:microsoft.com/office/officeart/2008/layout/HorizontalMultiLevelHierarchy"/>
    <dgm:cxn modelId="{E03502C2-8DB6-474B-92D0-F7023B88A61B}" type="presOf" srcId="{69195BF8-4D4A-413A-9757-F352F1A28FFC}" destId="{002D3A82-2A4F-4A25-94E5-26278E2E0F1B}" srcOrd="0" destOrd="0" presId="urn:microsoft.com/office/officeart/2008/layout/HorizontalMultiLevelHierarchy"/>
    <dgm:cxn modelId="{FA92C4C2-219C-48D6-9DB8-0D76E815E587}" srcId="{BE8A961E-2DFB-418A-8A2D-F148FB466779}" destId="{2BE7BA4A-C95C-4BE7-9DD1-CD84EDF1A70C}" srcOrd="0" destOrd="0" parTransId="{3CF32039-CE22-42C5-9120-D786A459153D}" sibTransId="{EB09B4A9-28C5-461A-893A-BBDEC7D058EE}"/>
    <dgm:cxn modelId="{ED41C8C2-AAD0-46F7-8A2A-9C84634AF0D5}" type="presOf" srcId="{98725C83-9825-4E9F-9C20-A918058BFA71}" destId="{21BAB84D-F567-4AAC-AA79-C4C95FE23E11}" srcOrd="0" destOrd="0" presId="urn:microsoft.com/office/officeart/2008/layout/HorizontalMultiLevelHierarchy"/>
    <dgm:cxn modelId="{42BB06C3-A86B-4C58-B4E3-3071E7E5D88B}" srcId="{E328C9ED-7E03-4C2E-86AF-6C608CB66764}" destId="{05DE15FA-EFCE-40C7-B05D-EB4ACCC751FC}" srcOrd="1" destOrd="0" parTransId="{F293B739-3D16-4FCA-8506-F991F636E859}" sibTransId="{62976E29-88D1-438F-9425-576D4158ABC2}"/>
    <dgm:cxn modelId="{F06546C3-F286-404E-A7FE-C154247122C4}" type="presOf" srcId="{CB982235-7B8D-4656-9AA6-9C8AA5486430}" destId="{4EE34AC7-A417-4B77-A712-4355EB3E2DD6}" srcOrd="1" destOrd="0" presId="urn:microsoft.com/office/officeart/2008/layout/HorizontalMultiLevelHierarchy"/>
    <dgm:cxn modelId="{5AB62EC4-6A75-4FD4-B112-ECA4F56601BC}" srcId="{F87C74AE-4591-482B-89DE-26ADAC4E83E7}" destId="{7E6D0A34-B675-4D30-92FF-5C260A1A507E}" srcOrd="0" destOrd="0" parTransId="{CB982235-7B8D-4656-9AA6-9C8AA5486430}" sibTransId="{F6A6CC52-7EE2-4A75-B7E4-56173B0CD85C}"/>
    <dgm:cxn modelId="{DF66D2C4-D5E1-4D6B-8947-AEDC768D7FEE}" type="presOf" srcId="{DE81D0B0-C25A-438A-9005-659D91D1FD0B}" destId="{6CB9CB94-0B34-4C2F-A68F-3946C38DD501}" srcOrd="0" destOrd="0" presId="urn:microsoft.com/office/officeart/2008/layout/HorizontalMultiLevelHierarchy"/>
    <dgm:cxn modelId="{F87632C5-B7F1-4586-840C-51C36D616EAE}" type="presOf" srcId="{7A00E960-452A-4CB0-9AB5-6F41E3E03BB7}" destId="{B6A329B0-9945-4E55-BDD8-A281BC6D5282}" srcOrd="0" destOrd="0" presId="urn:microsoft.com/office/officeart/2008/layout/HorizontalMultiLevelHierarchy"/>
    <dgm:cxn modelId="{EA1440C5-3A1F-4DA5-8A25-A36E1910245D}" type="presOf" srcId="{4FD02980-7206-4FCA-A626-D07F854B42C5}" destId="{D632CF02-0305-4FC2-9F8F-F45DD23D5498}" srcOrd="1" destOrd="0" presId="urn:microsoft.com/office/officeart/2008/layout/HorizontalMultiLevelHierarchy"/>
    <dgm:cxn modelId="{B9E1BFC5-FC7F-4E0C-9B30-B1294DE91E6B}" type="presOf" srcId="{05F000D5-7C16-4BF8-8A06-6D954A8A378D}" destId="{09B83C37-2AA7-4DA1-A30B-C763CA5F183A}" srcOrd="1" destOrd="0" presId="urn:microsoft.com/office/officeart/2008/layout/HorizontalMultiLevelHierarchy"/>
    <dgm:cxn modelId="{D161D5C5-91F1-4BEB-B631-563C1E4E8C7D}" type="presOf" srcId="{17C76AB3-4369-429E-B042-35AE5979AFB4}" destId="{FEEB90B8-CF09-4013-A1DE-0AA093F7525D}" srcOrd="1" destOrd="0" presId="urn:microsoft.com/office/officeart/2008/layout/HorizontalMultiLevelHierarchy"/>
    <dgm:cxn modelId="{00D7E8C6-5300-4BAF-A68D-D98827622738}" srcId="{28F889FA-8962-40D1-BC65-A71444B0AD26}" destId="{A917E045-B63D-4BAB-B513-81A18BD43B50}" srcOrd="0" destOrd="0" parTransId="{769CD5E5-8EF8-4B23-9BF1-DD352F5A9D78}" sibTransId="{93D451D3-FAA5-4B06-9249-10B2836A4FF3}"/>
    <dgm:cxn modelId="{67A194C7-EC32-492E-9702-7AB677CA4490}" type="presOf" srcId="{0BDA0D83-F5C6-44DD-B01C-52C7480E2C1A}" destId="{6C130A71-489E-47B6-822F-41686E498304}" srcOrd="1" destOrd="0" presId="urn:microsoft.com/office/officeart/2008/layout/HorizontalMultiLevelHierarchy"/>
    <dgm:cxn modelId="{9176D5C7-9903-434B-B072-950F7FBA9EEB}" srcId="{C1729BFA-C073-4F6F-83BF-4EA061BBCC3E}" destId="{E1E9BEB6-55C9-4032-BF4A-C91401A543A1}" srcOrd="0" destOrd="0" parTransId="{0E650592-BF7A-4C23-B5E8-C5EBFDC56C86}" sibTransId="{5CEC3A58-6925-4A3C-A51F-7F5B0E81677E}"/>
    <dgm:cxn modelId="{340285C9-C734-48DE-8F94-A9F0FDFE77D6}" type="presOf" srcId="{017DD49E-B2FD-4A9D-9066-007FCCC94F29}" destId="{89600F72-9F68-41B1-9BE3-675233F3977A}" srcOrd="1" destOrd="0" presId="urn:microsoft.com/office/officeart/2008/layout/HorizontalMultiLevelHierarchy"/>
    <dgm:cxn modelId="{2B19B6C9-267A-4DDD-B63F-B7DFDB982117}" type="presOf" srcId="{C1729BFA-C073-4F6F-83BF-4EA061BBCC3E}" destId="{819C5C5A-EA00-4BEF-9898-0DF5F076F405}" srcOrd="0" destOrd="0" presId="urn:microsoft.com/office/officeart/2008/layout/HorizontalMultiLevelHierarchy"/>
    <dgm:cxn modelId="{9D3EC8C9-8279-4BC1-9D7A-826FDEAED4E2}" type="presOf" srcId="{28F889FA-8962-40D1-BC65-A71444B0AD26}" destId="{BF1A134C-0B47-4824-B640-DF711560FDE7}" srcOrd="0" destOrd="0" presId="urn:microsoft.com/office/officeart/2008/layout/HorizontalMultiLevelHierarchy"/>
    <dgm:cxn modelId="{ABFBAACA-091E-45B6-A210-8F5FFC2293DC}" type="presOf" srcId="{CB982235-7B8D-4656-9AA6-9C8AA5486430}" destId="{D269972C-5B2E-477C-880B-8955590B9B93}" srcOrd="0" destOrd="0" presId="urn:microsoft.com/office/officeart/2008/layout/HorizontalMultiLevelHierarchy"/>
    <dgm:cxn modelId="{C39501CC-E0B0-41F6-B82C-A1A349A48660}" type="presOf" srcId="{913A2DB0-64ED-4EC6-99E9-102A4C83260E}" destId="{C588E089-AA56-40E8-9654-62ECF603B2BB}" srcOrd="0" destOrd="0" presId="urn:microsoft.com/office/officeart/2008/layout/HorizontalMultiLevelHierarchy"/>
    <dgm:cxn modelId="{76B57DCC-6911-4ACE-8B7C-CC23D7A00609}" type="presOf" srcId="{59531D23-83F2-4A21-9163-C39BCA42D1E7}" destId="{8428A713-31AC-4A50-8A54-4946516CD6D5}" srcOrd="0" destOrd="0" presId="urn:microsoft.com/office/officeart/2008/layout/HorizontalMultiLevelHierarchy"/>
    <dgm:cxn modelId="{5244D6CC-6D87-424C-91A3-A930CD6A4FDC}" type="presOf" srcId="{F2D3C520-4C76-46DE-B208-E694BB4F9DCF}" destId="{28C436FE-84D7-4BED-A57A-056331A792E4}" srcOrd="0" destOrd="0" presId="urn:microsoft.com/office/officeart/2008/layout/HorizontalMultiLevelHierarchy"/>
    <dgm:cxn modelId="{091ABDD0-FFEB-44AA-B3F4-D94AC5E80E9C}" type="presOf" srcId="{D4DFC5F1-C442-4735-89A3-4D08F7EDF0DE}" destId="{EB6279B8-9ED7-4C7E-AAE4-7DA3FCEE2F3A}" srcOrd="1" destOrd="0" presId="urn:microsoft.com/office/officeart/2008/layout/HorizontalMultiLevelHierarchy"/>
    <dgm:cxn modelId="{E53374D1-D76D-4AF7-8D2F-2C2B6A2699D0}" srcId="{E55BB7B8-BE7F-4E1B-8EE7-336B73A973F4}" destId="{C1729BFA-C073-4F6F-83BF-4EA061BBCC3E}" srcOrd="0" destOrd="0" parTransId="{207EE5DA-C725-4C29-B667-E1F151627784}" sibTransId="{46C6064F-1157-4EF4-B325-C99C8EC375B2}"/>
    <dgm:cxn modelId="{AB3CBFD2-A202-4882-BB02-AE77358572A4}" type="presOf" srcId="{F6E38B7D-D604-4244-9623-3F6FE8272B30}" destId="{888A8B98-AB82-4D54-946B-58EB2425B375}" srcOrd="1" destOrd="0" presId="urn:microsoft.com/office/officeart/2008/layout/HorizontalMultiLevelHierarchy"/>
    <dgm:cxn modelId="{AA69FDD2-1556-482A-B314-A0E0EFC2FA24}" srcId="{59463C9D-6BEF-4422-BCB2-C1F7139F3556}" destId="{AEE9E864-5F22-4A6E-A4E1-757AE1F4C3BD}" srcOrd="0" destOrd="0" parTransId="{07C76642-39A8-48AD-9433-8C450ECF76C8}" sibTransId="{14136975-13D4-41B1-8795-7844E2733071}"/>
    <dgm:cxn modelId="{9D083BD4-245A-49BB-A9D7-6949BB8C761F}" type="presOf" srcId="{0A6A3C04-F7BE-4AC0-8892-AB2CA721666D}" destId="{A6798D2B-8008-44F9-A054-764E970CC125}" srcOrd="0" destOrd="0" presId="urn:microsoft.com/office/officeart/2008/layout/HorizontalMultiLevelHierarchy"/>
    <dgm:cxn modelId="{681D94D4-1557-44BA-AFFB-18DDEBFEDDDF}" srcId="{05DE15FA-EFCE-40C7-B05D-EB4ACCC751FC}" destId="{B454B912-C55B-4792-AFB3-1724AE311740}" srcOrd="0" destOrd="0" parTransId="{5E286412-2F61-4A14-9221-CD755B5462B3}" sibTransId="{CB7B6000-C270-4EDD-A4F2-86E6D7D0344C}"/>
    <dgm:cxn modelId="{95A5FAD5-BEEA-4896-B74C-EB6BCECD6491}" type="presOf" srcId="{50A524DF-4E2C-4B41-826D-3791FA45D8D6}" destId="{5B6491E9-2C27-4B90-A2E1-04724995B4AE}" srcOrd="0" destOrd="0" presId="urn:microsoft.com/office/officeart/2008/layout/HorizontalMultiLevelHierarchy"/>
    <dgm:cxn modelId="{4E5161D7-17D5-49F2-9D9F-A2FD4A960FD3}" type="presOf" srcId="{FBA810AF-C208-40B6-A2C4-82842D86BD61}" destId="{3ADAF7E5-F18F-4A4E-98A0-93132C6244AA}" srcOrd="1" destOrd="0" presId="urn:microsoft.com/office/officeart/2008/layout/HorizontalMultiLevelHierarchy"/>
    <dgm:cxn modelId="{2C138AD8-C4E2-4DD4-BF5F-F447C88505FD}" srcId="{D944B77A-E700-48AB-BA6A-F8585EFE9860}" destId="{B2BD0430-797B-4C71-B60E-F34693239D47}" srcOrd="0" destOrd="0" parTransId="{4C956225-C6F0-4629-B31F-8704418E9EF5}" sibTransId="{640AB4C1-E0DC-486F-B2EA-FAF0AFBB5FB4}"/>
    <dgm:cxn modelId="{EB6094D8-9C1F-4674-A0DC-6AD60E7715E3}" srcId="{885CA24D-F431-47C3-AF04-C7577D9BAA48}" destId="{534ACAD3-27A4-46BA-96E0-AD07FE60C92D}" srcOrd="1" destOrd="0" parTransId="{642E43F4-65B9-415B-983E-CA5C7D75D801}" sibTransId="{44B781FF-F483-4D2B-ADF7-FDA503EACE72}"/>
    <dgm:cxn modelId="{2E789FD8-5670-427F-BB82-1848AE3A3B54}" type="presOf" srcId="{EE2DE24E-D607-4218-82ED-DC126255C680}" destId="{54618DBF-0D8C-4B5E-93E7-4C37FCFC0C69}" srcOrd="0" destOrd="0" presId="urn:microsoft.com/office/officeart/2008/layout/HorizontalMultiLevelHierarchy"/>
    <dgm:cxn modelId="{ED6CF0D8-8AFA-41D4-934F-9EE3E6EB10ED}" type="presOf" srcId="{9432E236-2C8F-477E-A018-785C4B6BA5F7}" destId="{DD660567-14CD-4E83-84E6-689616DBA23C}" srcOrd="0" destOrd="0" presId="urn:microsoft.com/office/officeart/2008/layout/HorizontalMultiLevelHierarchy"/>
    <dgm:cxn modelId="{FAB1C1D9-6765-4E7B-89FE-F4183A9FD9C0}" type="presOf" srcId="{83205A31-52C4-4D47-BC4C-BE5E24EB8DA0}" destId="{BF76B1FB-A651-41FA-B4BD-2D07CA623CD7}" srcOrd="1" destOrd="0" presId="urn:microsoft.com/office/officeart/2008/layout/HorizontalMultiLevelHierarchy"/>
    <dgm:cxn modelId="{6E0B47DA-D7DB-432B-8AA0-84F72ECAE049}" srcId="{B454B912-C55B-4792-AFB3-1724AE311740}" destId="{4CB2AE48-20C4-42C6-8FC0-F5329AA4CD25}" srcOrd="1" destOrd="0" parTransId="{3247DFE6-DD7F-4076-81FC-150BBA981666}" sibTransId="{EA103C32-0DAB-43E7-8135-811CF8CDE15D}"/>
    <dgm:cxn modelId="{C639B8DA-05FF-4985-BE71-4DE0B421CAFA}" type="presOf" srcId="{07BDE030-307D-48B8-9858-2D8E5F9AEBAF}" destId="{301223DC-CB0B-49DC-B39C-9238B11C99D1}" srcOrd="1" destOrd="0" presId="urn:microsoft.com/office/officeart/2008/layout/HorizontalMultiLevelHierarchy"/>
    <dgm:cxn modelId="{612BDCDA-31B2-4BC4-B59C-7014B5C14351}" type="presOf" srcId="{8FC191C6-79EE-4996-B3F3-7971A76DB53C}" destId="{3E36FE68-F76F-45C7-91C1-51A67D596B69}" srcOrd="1" destOrd="0" presId="urn:microsoft.com/office/officeart/2008/layout/HorizontalMultiLevelHierarchy"/>
    <dgm:cxn modelId="{9DA2C4DC-91D7-49C8-8D53-3E3C94B65FC9}" type="presOf" srcId="{70599A2C-EE7C-4A2C-B6B8-15A6E8E952F4}" destId="{68DEB65C-7FE5-4C7A-BDBA-6C7733EFE797}" srcOrd="0" destOrd="0" presId="urn:microsoft.com/office/officeart/2008/layout/HorizontalMultiLevelHierarchy"/>
    <dgm:cxn modelId="{149006DD-4E4A-4CB6-A369-9BB1952F8111}" type="presOf" srcId="{D3970B7E-B262-470E-A670-B7108A2AA607}" destId="{0A1B0DAF-12AA-4E2E-A92A-BF4A9813019A}" srcOrd="0" destOrd="0" presId="urn:microsoft.com/office/officeart/2008/layout/HorizontalMultiLevelHierarchy"/>
    <dgm:cxn modelId="{A80444DE-8086-403A-9416-7265A02C4475}" srcId="{4CB2AE48-20C4-42C6-8FC0-F5329AA4CD25}" destId="{89EA8B19-F077-44F8-8940-CBFAF1365198}" srcOrd="0" destOrd="0" parTransId="{BAF946B6-4C57-4D87-B6B8-E45E8A4A37F6}" sibTransId="{8688985E-708F-4160-BE1C-3D37FC356FDE}"/>
    <dgm:cxn modelId="{36A64BDE-C944-424A-A877-C13945239AA5}" type="presOf" srcId="{C66A3338-FFE2-404B-8814-72A91F4C1C91}" destId="{3825E75C-E3DE-414F-B678-702B83328E8C}" srcOrd="0" destOrd="0" presId="urn:microsoft.com/office/officeart/2008/layout/HorizontalMultiLevelHierarchy"/>
    <dgm:cxn modelId="{57FEABDE-B736-4B0C-9636-2E2BD4BC54EE}" type="presOf" srcId="{8D9DCCB6-EFCC-46AE-9422-301C43234003}" destId="{DC73BA58-4BC3-4AEE-8B42-29F7D3DF5327}" srcOrd="0" destOrd="0" presId="urn:microsoft.com/office/officeart/2008/layout/HorizontalMultiLevelHierarchy"/>
    <dgm:cxn modelId="{0AB845DF-97C0-4620-9CE1-D1D637D4E5AA}" type="presOf" srcId="{C166959C-7CC3-43F3-932D-F60302FDC9C2}" destId="{1289F5E7-1221-4107-9DD4-A0DF23B72F2A}" srcOrd="0" destOrd="0" presId="urn:microsoft.com/office/officeart/2008/layout/HorizontalMultiLevelHierarchy"/>
    <dgm:cxn modelId="{5A27FDDF-80EF-49E7-85E5-5F4CC11B7338}" type="presOf" srcId="{017DD49E-B2FD-4A9D-9066-007FCCC94F29}" destId="{769DB68C-9C10-406B-84DF-ABF7226B3A35}" srcOrd="0" destOrd="0" presId="urn:microsoft.com/office/officeart/2008/layout/HorizontalMultiLevelHierarchy"/>
    <dgm:cxn modelId="{CB3A5CE0-6FEF-4C9B-B120-50ECC492EFE2}" type="presOf" srcId="{1A3FF236-9A95-41DC-A331-81E65E28AF80}" destId="{1B980CCE-73AC-4C98-8E53-6EFDC60F2072}" srcOrd="0" destOrd="0" presId="urn:microsoft.com/office/officeart/2008/layout/HorizontalMultiLevelHierarchy"/>
    <dgm:cxn modelId="{A76FB0E0-2942-4A98-A3FC-AAF7E040949D}" type="presOf" srcId="{341B89A7-3524-44FD-8847-19D0306AC5E1}" destId="{034E29E0-943A-4634-9E82-22E2A9D60EDC}" srcOrd="1" destOrd="0" presId="urn:microsoft.com/office/officeart/2008/layout/HorizontalMultiLevelHierarchy"/>
    <dgm:cxn modelId="{FF6336E1-1A8A-42B5-91C7-DF2830791C73}" type="presOf" srcId="{4FB8797C-9715-4EDF-ADD4-5D41A643A4F3}" destId="{75A18499-330F-49CE-808A-E666E8481958}" srcOrd="1" destOrd="0" presId="urn:microsoft.com/office/officeart/2008/layout/HorizontalMultiLevelHierarchy"/>
    <dgm:cxn modelId="{543729E3-94CF-417C-97D9-E4AA88F0CE09}" type="presOf" srcId="{EE1A4162-F24A-4818-87C0-0D072532234A}" destId="{5DEF6F17-9C20-4A70-B3A6-C756C9CDEE6D}" srcOrd="0" destOrd="0" presId="urn:microsoft.com/office/officeart/2008/layout/HorizontalMultiLevelHierarchy"/>
    <dgm:cxn modelId="{BA4F32E3-9327-4014-8148-49A90B7B7CF3}" type="presOf" srcId="{142A8C57-C720-4368-92BD-1FD39CB197E7}" destId="{C5E99819-5C9D-47E3-A414-1C19C6057EAA}" srcOrd="1" destOrd="0" presId="urn:microsoft.com/office/officeart/2008/layout/HorizontalMultiLevelHierarchy"/>
    <dgm:cxn modelId="{E0B0E5E3-848F-4BD8-BCDB-78BA346464B8}" type="presOf" srcId="{153463DF-F67C-4DF7-985E-188339D3464C}" destId="{309EF94E-6B8E-43D7-914B-AD99793F8E6C}" srcOrd="0" destOrd="0" presId="urn:microsoft.com/office/officeart/2008/layout/HorizontalMultiLevelHierarchy"/>
    <dgm:cxn modelId="{5892DAE4-E1B0-406F-973E-4BD821F6354C}" type="presOf" srcId="{5294DC28-C98F-478F-8C57-0D93C8BE72B2}" destId="{53F68BCB-5B16-4F88-B0CC-45F4C778FF52}" srcOrd="1" destOrd="0" presId="urn:microsoft.com/office/officeart/2008/layout/HorizontalMultiLevelHierarchy"/>
    <dgm:cxn modelId="{35A55FE7-1900-47DD-8E47-8D1A1F7FE594}" type="presOf" srcId="{7F55E47F-3B59-43BA-A4EE-C987876BA80E}" destId="{1445AA94-F90F-4818-A6EB-505EDF1C875C}" srcOrd="1" destOrd="0" presId="urn:microsoft.com/office/officeart/2008/layout/HorizontalMultiLevelHierarchy"/>
    <dgm:cxn modelId="{3C5866E7-8B45-451D-9764-2AC772B6CC3D}" type="presOf" srcId="{A445E6B8-3C72-4D94-98AC-2E4A27E20D90}" destId="{52445238-EE07-4143-A240-FBC66E24B05D}" srcOrd="0" destOrd="0" presId="urn:microsoft.com/office/officeart/2008/layout/HorizontalMultiLevelHierarchy"/>
    <dgm:cxn modelId="{913DCEE7-F85C-4238-8612-B45757A3A2E1}" type="presOf" srcId="{54D375AC-7039-484D-837C-5879E56E5F67}" destId="{921583A4-A83D-4748-BDDA-AED0690D348A}" srcOrd="0" destOrd="0" presId="urn:microsoft.com/office/officeart/2008/layout/HorizontalMultiLevelHierarchy"/>
    <dgm:cxn modelId="{831F14E8-965A-45A9-A6CE-0129469B1943}" type="presOf" srcId="{72ACC820-DDFF-46F1-91E2-9DDAE725B916}" destId="{21694B9B-94C0-4F2A-BFD2-128C0036A2F3}" srcOrd="0" destOrd="0" presId="urn:microsoft.com/office/officeart/2008/layout/HorizontalMultiLevelHierarchy"/>
    <dgm:cxn modelId="{2D0F89E8-084D-44A5-8E03-A8A5A91ABFF0}" srcId="{84F53347-27F9-4D85-814D-1FE7026C7C55}" destId="{87055F3C-D78B-4C63-8685-7D6537C9AB2B}" srcOrd="1" destOrd="0" parTransId="{36E65735-050D-4420-BD84-94952FEF954E}" sibTransId="{5E418DED-F720-4446-8E7A-A2DF576CD2FE}"/>
    <dgm:cxn modelId="{DF73B6EA-2344-4B57-8CA2-39BE3D28C094}" type="presOf" srcId="{75575511-0586-4CDC-BEB9-EB23B002F242}" destId="{9A95687D-AD60-4BA7-A4CC-AA171296B73A}" srcOrd="0" destOrd="0" presId="urn:microsoft.com/office/officeart/2008/layout/HorizontalMultiLevelHierarchy"/>
    <dgm:cxn modelId="{5FF6C4EC-24AF-43AE-870B-608494837387}" type="presOf" srcId="{BAF946B6-4C57-4D87-B6B8-E45E8A4A37F6}" destId="{39CF690C-195F-4750-8148-B33650617E9E}" srcOrd="1" destOrd="0" presId="urn:microsoft.com/office/officeart/2008/layout/HorizontalMultiLevelHierarchy"/>
    <dgm:cxn modelId="{495776EF-3F55-479E-9F67-7F525BFF5419}" srcId="{534ACAD3-27A4-46BA-96E0-AD07FE60C92D}" destId="{CD1F4A6A-8990-40CB-86F6-CA1808953D4E}" srcOrd="0" destOrd="0" parTransId="{341B89A7-3524-44FD-8847-19D0306AC5E1}" sibTransId="{35EEAF92-F982-427C-9946-B044B658E69A}"/>
    <dgm:cxn modelId="{190AA4EF-0925-4A7E-AD24-B99DE65D5F68}" type="presOf" srcId="{05DE15FA-EFCE-40C7-B05D-EB4ACCC751FC}" destId="{ACB1779F-AE89-4844-9D7E-40E7B0DC58FC}" srcOrd="0" destOrd="0" presId="urn:microsoft.com/office/officeart/2008/layout/HorizontalMultiLevelHierarchy"/>
    <dgm:cxn modelId="{9AC7D8EF-D43C-41EB-9F59-342D0FC1E72D}" srcId="{4B99ACDB-45E4-45C8-9BF0-519551F1AE41}" destId="{C70B04F4-F14D-4D39-9CAB-E34473A115A0}" srcOrd="0" destOrd="0" parTransId="{FBA810AF-C208-40B6-A2C4-82842D86BD61}" sibTransId="{B86B0EB6-4089-49E8-9C43-08302C29D36E}"/>
    <dgm:cxn modelId="{0D3D2EF0-2237-4BAB-950D-5CFFF676567B}" type="presOf" srcId="{7E0FE22B-0A6A-4EFA-B26E-2750FC4D54DE}" destId="{4CBC13DF-B892-4AF1-98DF-F8ECED14B01E}" srcOrd="0" destOrd="0" presId="urn:microsoft.com/office/officeart/2008/layout/HorizontalMultiLevelHierarchy"/>
    <dgm:cxn modelId="{792FE4F0-C261-4910-BFCD-5B2451047A7D}" srcId="{635F8FFC-3206-41CA-9942-F53708A1A04A}" destId="{5E634DF5-7FA0-450A-9A32-65C6784F31B3}" srcOrd="0" destOrd="0" parTransId="{316D770B-B446-44A3-B369-626D90EDA3C3}" sibTransId="{B397AC2E-4E68-4D3F-AE11-C59853471ADA}"/>
    <dgm:cxn modelId="{9649F1F0-8B97-4BDB-B876-D022724ACDAD}" srcId="{CEB9EEE3-0DB7-4EB5-914A-33A87026F783}" destId="{E55BB7B8-BE7F-4E1B-8EE7-336B73A973F4}" srcOrd="0" destOrd="0" parTransId="{0B5B8A49-2F73-4DEE-9555-79FA2C9F8F9D}" sibTransId="{1DC5A89B-4217-444A-A178-2ACD28A335CE}"/>
    <dgm:cxn modelId="{44C9C3F1-56FA-4E9F-A913-A5E4BA4DE419}" type="presOf" srcId="{04E71C4E-9225-4496-9789-C05A689A0111}" destId="{5994E621-2924-40EB-9D1E-49040ED745C3}" srcOrd="0" destOrd="0" presId="urn:microsoft.com/office/officeart/2008/layout/HorizontalMultiLevelHierarchy"/>
    <dgm:cxn modelId="{CB5C39F3-1028-4E70-A69C-D100A6937FB0}" type="presOf" srcId="{17C76AB3-4369-429E-B042-35AE5979AFB4}" destId="{2AC473AC-5BDE-47A5-861B-8F7D4CCC4BF6}" srcOrd="0" destOrd="0" presId="urn:microsoft.com/office/officeart/2008/layout/HorizontalMultiLevelHierarchy"/>
    <dgm:cxn modelId="{1AAB5CF3-9FBC-4678-B2F8-15C21750B37E}" srcId="{C166959C-7CC3-43F3-932D-F60302FDC9C2}" destId="{C7CAC2AC-E589-4F8F-89B8-F80EE4F440B8}" srcOrd="0" destOrd="0" parTransId="{7F55E47F-3B59-43BA-A4EE-C987876BA80E}" sibTransId="{20D40165-705B-458B-B8B4-277A14029FA7}"/>
    <dgm:cxn modelId="{C9FF05F4-6374-4D2C-B008-44DB8D01C824}" type="presOf" srcId="{3CF32039-CE22-42C5-9120-D786A459153D}" destId="{F626DADC-5587-4188-9F25-A357A8DB15F6}" srcOrd="1" destOrd="0" presId="urn:microsoft.com/office/officeart/2008/layout/HorizontalMultiLevelHierarchy"/>
    <dgm:cxn modelId="{397B49F5-871C-45FD-8377-A8A470285F8E}" srcId="{A50ECC7F-F082-48AD-95BE-7A99DAFA7247}" destId="{7B80C8AF-2855-4BF7-98E3-5BE9896D5446}" srcOrd="0" destOrd="0" parTransId="{50A524DF-4E2C-4B41-826D-3791FA45D8D6}" sibTransId="{173A1D93-B9F7-4EF1-9973-1CA301AD473A}"/>
    <dgm:cxn modelId="{F14E52F5-57DE-4930-A9DA-9C86CAB55FB7}" type="presOf" srcId="{341B89A7-3524-44FD-8847-19D0306AC5E1}" destId="{3B721418-ED9E-469A-882F-A042AA9EC3B6}" srcOrd="0" destOrd="0" presId="urn:microsoft.com/office/officeart/2008/layout/HorizontalMultiLevelHierarchy"/>
    <dgm:cxn modelId="{24D343F7-6263-490D-8784-FE671A487017}" srcId="{44DBC31A-21FD-4DEE-B392-F7808176C946}" destId="{BBD7F936-4567-47BF-A1F5-053F7A74C3A0}" srcOrd="0" destOrd="0" parTransId="{D3970B7E-B262-470E-A670-B7108A2AA607}" sibTransId="{C19735D7-C738-4665-A3C7-FD0A9484E034}"/>
    <dgm:cxn modelId="{279B56F7-2ADC-47CA-8AC0-813B54539C00}" type="presOf" srcId="{BBD7F936-4567-47BF-A1F5-053F7A74C3A0}" destId="{FE00E1CB-9BF1-4CC0-A5E7-C558D42D7CCF}" srcOrd="0" destOrd="0" presId="urn:microsoft.com/office/officeart/2008/layout/HorizontalMultiLevelHierarchy"/>
    <dgm:cxn modelId="{79C2EBF7-A09B-4446-B6D5-FD3FFFA2657C}" type="presOf" srcId="{3247DFE6-DD7F-4076-81FC-150BBA981666}" destId="{DF3ED316-9A1D-44B7-B021-02D15D1B781F}" srcOrd="1" destOrd="0" presId="urn:microsoft.com/office/officeart/2008/layout/HorizontalMultiLevelHierarchy"/>
    <dgm:cxn modelId="{AB3818F8-F174-40C1-BF77-40C611FCDBDD}" type="presOf" srcId="{32F71D42-3616-4F03-9997-E816E1E22FC6}" destId="{245D5B02-BDED-4691-BE25-E4462F7700F0}" srcOrd="1" destOrd="0" presId="urn:microsoft.com/office/officeart/2008/layout/HorizontalMultiLevelHierarchy"/>
    <dgm:cxn modelId="{8C9DB8F8-0FED-40BD-9FE6-4E370A105922}" type="presOf" srcId="{AA8F48B2-BA49-483D-9F71-88386136173F}" destId="{ED598474-17B0-4A45-AB93-1FA81B28DE65}" srcOrd="0" destOrd="0" presId="urn:microsoft.com/office/officeart/2008/layout/HorizontalMultiLevelHierarchy"/>
    <dgm:cxn modelId="{E969D0F8-220C-4387-AB60-F826514B5453}" type="presOf" srcId="{0B5B8A49-2F73-4DEE-9555-79FA2C9F8F9D}" destId="{15852B67-18C2-4A0A-BF10-6F3FCB3AC9E0}" srcOrd="0" destOrd="0" presId="urn:microsoft.com/office/officeart/2008/layout/HorizontalMultiLevelHierarchy"/>
    <dgm:cxn modelId="{01AAB6FB-7BBC-4EE2-B679-6C5D1D28CC42}" type="presOf" srcId="{5FEF30DC-52BB-4100-BDC1-1E65C0A1E455}" destId="{E7484E0D-0263-451E-920D-3041ADB784A7}" srcOrd="1" destOrd="0" presId="urn:microsoft.com/office/officeart/2008/layout/HorizontalMultiLevelHierarchy"/>
    <dgm:cxn modelId="{CAF5E9FE-0E19-48EE-9F2D-07EA7D884B47}" type="presOf" srcId="{1EB12E60-7587-4445-9A16-F5F15BF50B1D}" destId="{1041FCD6-00DA-4C4C-B87E-C8903B95DE89}" srcOrd="1" destOrd="0" presId="urn:microsoft.com/office/officeart/2008/layout/HorizontalMultiLevelHierarchy"/>
    <dgm:cxn modelId="{E7E629FF-71F7-4720-A77E-1FEE88BD0A53}" type="presOf" srcId="{04E71C4E-9225-4496-9789-C05A689A0111}" destId="{58D55649-DBCF-4888-AD7E-2ED7A3E3907D}" srcOrd="1" destOrd="0" presId="urn:microsoft.com/office/officeart/2008/layout/HorizontalMultiLevelHierarchy"/>
    <dgm:cxn modelId="{8858FBFF-D0BC-4505-94C6-7345532BBE44}" type="presOf" srcId="{A18080F3-39CA-4C4E-9783-2119E2310377}" destId="{2E41BC43-9124-4497-8B56-DD18D0F02FA2}" srcOrd="0" destOrd="0" presId="urn:microsoft.com/office/officeart/2008/layout/HorizontalMultiLevelHierarchy"/>
    <dgm:cxn modelId="{D9BBA721-3DF7-4C06-AA1B-BFB2F25DEFF3}" type="presParOf" srcId="{D318436A-2664-4936-B2B7-94A677B7D33A}" destId="{AB3EF145-0509-4D06-9322-084897ABD238}" srcOrd="0" destOrd="0" presId="urn:microsoft.com/office/officeart/2008/layout/HorizontalMultiLevelHierarchy"/>
    <dgm:cxn modelId="{67B0F6CA-D9F7-42A5-BC5A-10FEA9CDE0F2}" type="presParOf" srcId="{AB3EF145-0509-4D06-9322-084897ABD238}" destId="{5E9BC8E9-0240-4A9D-ADE3-69918359AE04}" srcOrd="0" destOrd="0" presId="urn:microsoft.com/office/officeart/2008/layout/HorizontalMultiLevelHierarchy"/>
    <dgm:cxn modelId="{463EAE78-FDE6-4654-BD42-98BAF2C2B66A}" type="presParOf" srcId="{AB3EF145-0509-4D06-9322-084897ABD238}" destId="{88A800E6-2A63-43C1-B48B-BF305B98C68B}" srcOrd="1" destOrd="0" presId="urn:microsoft.com/office/officeart/2008/layout/HorizontalMultiLevelHierarchy"/>
    <dgm:cxn modelId="{630713F3-C7B3-4428-ADF1-C01544F9448F}" type="presParOf" srcId="{88A800E6-2A63-43C1-B48B-BF305B98C68B}" destId="{EB1DFF0D-F5E9-4BA6-A8E4-F79AA1120067}" srcOrd="0" destOrd="0" presId="urn:microsoft.com/office/officeart/2008/layout/HorizontalMultiLevelHierarchy"/>
    <dgm:cxn modelId="{919E31D4-6F76-452D-8477-DBDC51F425E6}" type="presParOf" srcId="{EB1DFF0D-F5E9-4BA6-A8E4-F79AA1120067}" destId="{864568BB-211C-4D2E-8539-04E12204B935}" srcOrd="0" destOrd="0" presId="urn:microsoft.com/office/officeart/2008/layout/HorizontalMultiLevelHierarchy"/>
    <dgm:cxn modelId="{31495B18-EB02-4B05-A0F0-1080016811B8}" type="presParOf" srcId="{88A800E6-2A63-43C1-B48B-BF305B98C68B}" destId="{B091C49A-6BA2-4061-9FB8-6DEA1438813E}" srcOrd="1" destOrd="0" presId="urn:microsoft.com/office/officeart/2008/layout/HorizontalMultiLevelHierarchy"/>
    <dgm:cxn modelId="{084F6EC5-3666-4E59-A374-86BD96C965C2}" type="presParOf" srcId="{B091C49A-6BA2-4061-9FB8-6DEA1438813E}" destId="{83E89F32-08B9-435D-A6AC-54C22BF70489}" srcOrd="0" destOrd="0" presId="urn:microsoft.com/office/officeart/2008/layout/HorizontalMultiLevelHierarchy"/>
    <dgm:cxn modelId="{E52B7D9F-6BDC-4698-AF6E-916629F98643}" type="presParOf" srcId="{B091C49A-6BA2-4061-9FB8-6DEA1438813E}" destId="{CDE33C99-8037-448F-9486-59C9F011A545}" srcOrd="1" destOrd="0" presId="urn:microsoft.com/office/officeart/2008/layout/HorizontalMultiLevelHierarchy"/>
    <dgm:cxn modelId="{98D93535-79D6-4C95-BE8A-D4ADB3EFD33A}" type="presParOf" srcId="{CDE33C99-8037-448F-9486-59C9F011A545}" destId="{AABE0D5E-B1B9-4C10-84EE-AA8E8534B2B4}" srcOrd="0" destOrd="0" presId="urn:microsoft.com/office/officeart/2008/layout/HorizontalMultiLevelHierarchy"/>
    <dgm:cxn modelId="{E9517AA3-09B9-4897-9F76-0EA5200A4173}" type="presParOf" srcId="{AABE0D5E-B1B9-4C10-84EE-AA8E8534B2B4}" destId="{BF76B1FB-A651-41FA-B4BD-2D07CA623CD7}" srcOrd="0" destOrd="0" presId="urn:microsoft.com/office/officeart/2008/layout/HorizontalMultiLevelHierarchy"/>
    <dgm:cxn modelId="{D48A9964-F3D1-40BF-9EA1-7ABA1E7A80EC}" type="presParOf" srcId="{CDE33C99-8037-448F-9486-59C9F011A545}" destId="{F13F05BD-6312-451C-943D-C7D996D4A826}" srcOrd="1" destOrd="0" presId="urn:microsoft.com/office/officeart/2008/layout/HorizontalMultiLevelHierarchy"/>
    <dgm:cxn modelId="{09527D99-0555-425C-B37B-F2FC094B7669}" type="presParOf" srcId="{F13F05BD-6312-451C-943D-C7D996D4A826}" destId="{109AABBB-E60A-4578-87D5-B19745E3E347}" srcOrd="0" destOrd="0" presId="urn:microsoft.com/office/officeart/2008/layout/HorizontalMultiLevelHierarchy"/>
    <dgm:cxn modelId="{0C4F010E-1024-430E-96B6-09BC6B01EB93}" type="presParOf" srcId="{F13F05BD-6312-451C-943D-C7D996D4A826}" destId="{D4EB3C7C-936B-4667-9800-2DA4FBF54041}" srcOrd="1" destOrd="0" presId="urn:microsoft.com/office/officeart/2008/layout/HorizontalMultiLevelHierarchy"/>
    <dgm:cxn modelId="{05D5E3A4-F740-4438-AD79-76D6E63D1E1A}" type="presParOf" srcId="{D4EB3C7C-936B-4667-9800-2DA4FBF54041}" destId="{07DAA9A9-A564-46FB-9D40-4FA673E94180}" srcOrd="0" destOrd="0" presId="urn:microsoft.com/office/officeart/2008/layout/HorizontalMultiLevelHierarchy"/>
    <dgm:cxn modelId="{43A751AF-E31A-4971-AE33-AD773A88E0F3}" type="presParOf" srcId="{07DAA9A9-A564-46FB-9D40-4FA673E94180}" destId="{4C031C7A-2EE9-48C0-9711-6D378E4154F0}" srcOrd="0" destOrd="0" presId="urn:microsoft.com/office/officeart/2008/layout/HorizontalMultiLevelHierarchy"/>
    <dgm:cxn modelId="{77433305-CCE4-4FA4-8924-A0A376CC0A6F}" type="presParOf" srcId="{D4EB3C7C-936B-4667-9800-2DA4FBF54041}" destId="{3618E5EE-E52D-44A1-83BB-E9675230A43A}" srcOrd="1" destOrd="0" presId="urn:microsoft.com/office/officeart/2008/layout/HorizontalMultiLevelHierarchy"/>
    <dgm:cxn modelId="{AFEBB679-E49B-46C1-BB1D-339E282608C7}" type="presParOf" srcId="{3618E5EE-E52D-44A1-83BB-E9675230A43A}" destId="{CD43BFDA-080E-4AB4-8607-2A07729FFB80}" srcOrd="0" destOrd="0" presId="urn:microsoft.com/office/officeart/2008/layout/HorizontalMultiLevelHierarchy"/>
    <dgm:cxn modelId="{A0A0A6A4-1C85-4DFA-BD53-CCC1938C8D9E}" type="presParOf" srcId="{3618E5EE-E52D-44A1-83BB-E9675230A43A}" destId="{8A269286-00A7-4314-9CBE-55AC3BB2A595}" srcOrd="1" destOrd="0" presId="urn:microsoft.com/office/officeart/2008/layout/HorizontalMultiLevelHierarchy"/>
    <dgm:cxn modelId="{FAB753E8-27FA-4F7A-86B8-F6C08C5439B8}" type="presParOf" srcId="{8A269286-00A7-4314-9CBE-55AC3BB2A595}" destId="{9A95687D-AD60-4BA7-A4CC-AA171296B73A}" srcOrd="0" destOrd="0" presId="urn:microsoft.com/office/officeart/2008/layout/HorizontalMultiLevelHierarchy"/>
    <dgm:cxn modelId="{3FE19652-6C44-4DC9-9AC7-6D31DCB340FA}" type="presParOf" srcId="{9A95687D-AD60-4BA7-A4CC-AA171296B73A}" destId="{87FCEBC8-0F3D-471B-99D6-556A67658037}" srcOrd="0" destOrd="0" presId="urn:microsoft.com/office/officeart/2008/layout/HorizontalMultiLevelHierarchy"/>
    <dgm:cxn modelId="{1E2B104F-C89E-4895-90D2-35D542893A49}" type="presParOf" srcId="{8A269286-00A7-4314-9CBE-55AC3BB2A595}" destId="{BF691E1F-3BEE-4148-B336-267EEC18E38A}" srcOrd="1" destOrd="0" presId="urn:microsoft.com/office/officeart/2008/layout/HorizontalMultiLevelHierarchy"/>
    <dgm:cxn modelId="{EE0E2960-1C4B-4981-B86B-AF269129F708}" type="presParOf" srcId="{BF691E1F-3BEE-4148-B336-267EEC18E38A}" destId="{81828A41-836D-47CA-8DA5-053F54A35B42}" srcOrd="0" destOrd="0" presId="urn:microsoft.com/office/officeart/2008/layout/HorizontalMultiLevelHierarchy"/>
    <dgm:cxn modelId="{62EC9603-AB0B-48ED-B0C8-4C7B3F6BCBD7}" type="presParOf" srcId="{BF691E1F-3BEE-4148-B336-267EEC18E38A}" destId="{8D12C269-FF18-44A6-86E0-E9F32A5F1072}" srcOrd="1" destOrd="0" presId="urn:microsoft.com/office/officeart/2008/layout/HorizontalMultiLevelHierarchy"/>
    <dgm:cxn modelId="{E2040CE2-C431-4920-8726-B7171C381B34}" type="presParOf" srcId="{8A269286-00A7-4314-9CBE-55AC3BB2A595}" destId="{4CBC13DF-B892-4AF1-98DF-F8ECED14B01E}" srcOrd="2" destOrd="0" presId="urn:microsoft.com/office/officeart/2008/layout/HorizontalMultiLevelHierarchy"/>
    <dgm:cxn modelId="{ED6870D9-7D3F-42BA-B87D-9A8DABAA1819}" type="presParOf" srcId="{4CBC13DF-B892-4AF1-98DF-F8ECED14B01E}" destId="{609FE08B-1554-45E0-99C9-D6BFAE4A626F}" srcOrd="0" destOrd="0" presId="urn:microsoft.com/office/officeart/2008/layout/HorizontalMultiLevelHierarchy"/>
    <dgm:cxn modelId="{44519BC7-CF57-4F23-AE5D-C4523111D39C}" type="presParOf" srcId="{8A269286-00A7-4314-9CBE-55AC3BB2A595}" destId="{DDFD5EDA-FF07-4430-9D0C-33494AF8A639}" srcOrd="3" destOrd="0" presId="urn:microsoft.com/office/officeart/2008/layout/HorizontalMultiLevelHierarchy"/>
    <dgm:cxn modelId="{0DCCB239-945B-47FD-B947-AD3DC51BA3E8}" type="presParOf" srcId="{DDFD5EDA-FF07-4430-9D0C-33494AF8A639}" destId="{955FDB63-D727-4B87-9F0B-018CFC4BDA2F}" srcOrd="0" destOrd="0" presId="urn:microsoft.com/office/officeart/2008/layout/HorizontalMultiLevelHierarchy"/>
    <dgm:cxn modelId="{4A164B69-A8A8-4CB4-BAA9-555B6DABDEA8}" type="presParOf" srcId="{DDFD5EDA-FF07-4430-9D0C-33494AF8A639}" destId="{475F435D-4851-46AD-B9DE-F61E446FCB25}" srcOrd="1" destOrd="0" presId="urn:microsoft.com/office/officeart/2008/layout/HorizontalMultiLevelHierarchy"/>
    <dgm:cxn modelId="{309136EE-1F7F-4309-B838-B593C2F97655}" type="presParOf" srcId="{475F435D-4851-46AD-B9DE-F61E446FCB25}" destId="{64CA5293-3BA3-42B6-8321-ADDF461032A4}" srcOrd="0" destOrd="0" presId="urn:microsoft.com/office/officeart/2008/layout/HorizontalMultiLevelHierarchy"/>
    <dgm:cxn modelId="{BED9F8BA-A411-4DBF-A837-F4701F97D2CE}" type="presParOf" srcId="{64CA5293-3BA3-42B6-8321-ADDF461032A4}" destId="{82888D39-C233-412C-A953-9435993092E5}" srcOrd="0" destOrd="0" presId="urn:microsoft.com/office/officeart/2008/layout/HorizontalMultiLevelHierarchy"/>
    <dgm:cxn modelId="{DF78B3D1-2399-462D-86B0-7A44207F22B1}" type="presParOf" srcId="{475F435D-4851-46AD-B9DE-F61E446FCB25}" destId="{B19F6BB5-9C8D-49ED-987A-22B33826E9B4}" srcOrd="1" destOrd="0" presId="urn:microsoft.com/office/officeart/2008/layout/HorizontalMultiLevelHierarchy"/>
    <dgm:cxn modelId="{B4273E5F-B1C2-4DF3-9724-221ED1DCAFD0}" type="presParOf" srcId="{B19F6BB5-9C8D-49ED-987A-22B33826E9B4}" destId="{3E2B58FE-CD0E-4D20-B3E3-F75FB0A3B180}" srcOrd="0" destOrd="0" presId="urn:microsoft.com/office/officeart/2008/layout/HorizontalMultiLevelHierarchy"/>
    <dgm:cxn modelId="{6AF9C44C-3D32-4E3E-9BA2-E29F1CF97421}" type="presParOf" srcId="{B19F6BB5-9C8D-49ED-987A-22B33826E9B4}" destId="{CFC2ADA5-BCA7-4CDC-8E58-CFC9E65834E7}" srcOrd="1" destOrd="0" presId="urn:microsoft.com/office/officeart/2008/layout/HorizontalMultiLevelHierarchy"/>
    <dgm:cxn modelId="{68AAB396-AA08-46F6-B776-5021FE16650D}" type="presParOf" srcId="{CFC2ADA5-BCA7-4CDC-8E58-CFC9E65834E7}" destId="{9B60B1EB-0D56-4A17-8DCF-0B5B283E7CBB}" srcOrd="0" destOrd="0" presId="urn:microsoft.com/office/officeart/2008/layout/HorizontalMultiLevelHierarchy"/>
    <dgm:cxn modelId="{9608857F-8816-41A3-B406-FEE6BF897527}" type="presParOf" srcId="{9B60B1EB-0D56-4A17-8DCF-0B5B283E7CBB}" destId="{301223DC-CB0B-49DC-B39C-9238B11C99D1}" srcOrd="0" destOrd="0" presId="urn:microsoft.com/office/officeart/2008/layout/HorizontalMultiLevelHierarchy"/>
    <dgm:cxn modelId="{2A45C048-5074-451E-A68B-69E826B4FD84}" type="presParOf" srcId="{CFC2ADA5-BCA7-4CDC-8E58-CFC9E65834E7}" destId="{36D03D90-4850-4E9C-A11E-3F22E3CCCBF3}" srcOrd="1" destOrd="0" presId="urn:microsoft.com/office/officeart/2008/layout/HorizontalMultiLevelHierarchy"/>
    <dgm:cxn modelId="{93D9F685-EFFA-46CB-BDB6-4FAB6063978E}" type="presParOf" srcId="{36D03D90-4850-4E9C-A11E-3F22E3CCCBF3}" destId="{52445238-EE07-4143-A240-FBC66E24B05D}" srcOrd="0" destOrd="0" presId="urn:microsoft.com/office/officeart/2008/layout/HorizontalMultiLevelHierarchy"/>
    <dgm:cxn modelId="{07CC8F42-5471-4996-A799-96212E61B1E0}" type="presParOf" srcId="{36D03D90-4850-4E9C-A11E-3F22E3CCCBF3}" destId="{AA9540CD-FADE-41DD-8D0E-32A445C8F4DA}" srcOrd="1" destOrd="0" presId="urn:microsoft.com/office/officeart/2008/layout/HorizontalMultiLevelHierarchy"/>
    <dgm:cxn modelId="{0ABD20BE-4914-423C-B013-690E2E93404B}" type="presParOf" srcId="{AA9540CD-FADE-41DD-8D0E-32A445C8F4DA}" destId="{769DB68C-9C10-406B-84DF-ABF7226B3A35}" srcOrd="0" destOrd="0" presId="urn:microsoft.com/office/officeart/2008/layout/HorizontalMultiLevelHierarchy"/>
    <dgm:cxn modelId="{D12BD05B-41C8-44F4-A00B-90ACD1CA0DF0}" type="presParOf" srcId="{769DB68C-9C10-406B-84DF-ABF7226B3A35}" destId="{89600F72-9F68-41B1-9BE3-675233F3977A}" srcOrd="0" destOrd="0" presId="urn:microsoft.com/office/officeart/2008/layout/HorizontalMultiLevelHierarchy"/>
    <dgm:cxn modelId="{414BB44A-A34D-4E41-9A63-76D8899A0A28}" type="presParOf" srcId="{AA9540CD-FADE-41DD-8D0E-32A445C8F4DA}" destId="{09AC3CEA-C4DB-481D-A78A-AA339F883A8D}" srcOrd="1" destOrd="0" presId="urn:microsoft.com/office/officeart/2008/layout/HorizontalMultiLevelHierarchy"/>
    <dgm:cxn modelId="{60803C27-7445-4F7C-9D3B-4C3576F2EE39}" type="presParOf" srcId="{09AC3CEA-C4DB-481D-A78A-AA339F883A8D}" destId="{C5E9F795-AF31-4C65-BFD7-C3F1004F39B1}" srcOrd="0" destOrd="0" presId="urn:microsoft.com/office/officeart/2008/layout/HorizontalMultiLevelHierarchy"/>
    <dgm:cxn modelId="{9A1CC781-F1AA-474D-A243-D1999B9B47CF}" type="presParOf" srcId="{09AC3CEA-C4DB-481D-A78A-AA339F883A8D}" destId="{2F041991-870D-47EC-80CC-3756364DFAB1}" srcOrd="1" destOrd="0" presId="urn:microsoft.com/office/officeart/2008/layout/HorizontalMultiLevelHierarchy"/>
    <dgm:cxn modelId="{51BF9887-D50B-4AB7-B216-1E5F6129AD4E}" type="presParOf" srcId="{2F041991-870D-47EC-80CC-3756364DFAB1}" destId="{21BAB84D-F567-4AAC-AA79-C4C95FE23E11}" srcOrd="0" destOrd="0" presId="urn:microsoft.com/office/officeart/2008/layout/HorizontalMultiLevelHierarchy"/>
    <dgm:cxn modelId="{A6F3EB58-0B8D-4BC9-82AC-31FCE95FA989}" type="presParOf" srcId="{21BAB84D-F567-4AAC-AA79-C4C95FE23E11}" destId="{B1389DBC-8263-4012-804E-F5B88D5FF5CE}" srcOrd="0" destOrd="0" presId="urn:microsoft.com/office/officeart/2008/layout/HorizontalMultiLevelHierarchy"/>
    <dgm:cxn modelId="{578D3A06-0396-4EF5-B31B-649497EDEC1E}" type="presParOf" srcId="{2F041991-870D-47EC-80CC-3756364DFAB1}" destId="{CD410082-6ABF-4A70-BFB2-3DA3C6699763}" srcOrd="1" destOrd="0" presId="urn:microsoft.com/office/officeart/2008/layout/HorizontalMultiLevelHierarchy"/>
    <dgm:cxn modelId="{7551E0CE-0043-477A-9BA7-1BEDEEC2106F}" type="presParOf" srcId="{CD410082-6ABF-4A70-BFB2-3DA3C6699763}" destId="{21694B9B-94C0-4F2A-BFD2-128C0036A2F3}" srcOrd="0" destOrd="0" presId="urn:microsoft.com/office/officeart/2008/layout/HorizontalMultiLevelHierarchy"/>
    <dgm:cxn modelId="{7AC941C5-C80E-4E7C-94A6-DA5B13C59F3B}" type="presParOf" srcId="{CD410082-6ABF-4A70-BFB2-3DA3C6699763}" destId="{D0EF24F8-E8C1-4020-A94E-DB9B5B70A4D3}" srcOrd="1" destOrd="0" presId="urn:microsoft.com/office/officeart/2008/layout/HorizontalMultiLevelHierarchy"/>
    <dgm:cxn modelId="{7CF76F36-3B24-48E0-9488-087618DDD916}" type="presParOf" srcId="{D0EF24F8-E8C1-4020-A94E-DB9B5B70A4D3}" destId="{C86872D2-08C7-46A3-9B8A-1BD4B85AD1C9}" srcOrd="0" destOrd="0" presId="urn:microsoft.com/office/officeart/2008/layout/HorizontalMultiLevelHierarchy"/>
    <dgm:cxn modelId="{90AA1F5C-E8FE-4DC8-AB3F-FB526BAE8400}" type="presParOf" srcId="{C86872D2-08C7-46A3-9B8A-1BD4B85AD1C9}" destId="{6FD8B483-1F9F-48A7-98F9-AF05DAD98F13}" srcOrd="0" destOrd="0" presId="urn:microsoft.com/office/officeart/2008/layout/HorizontalMultiLevelHierarchy"/>
    <dgm:cxn modelId="{EE1C5B05-F6B2-4274-A63C-F37C6768F267}" type="presParOf" srcId="{D0EF24F8-E8C1-4020-A94E-DB9B5B70A4D3}" destId="{841BCDA1-7BE7-4017-8F93-A7311542960C}" srcOrd="1" destOrd="0" presId="urn:microsoft.com/office/officeart/2008/layout/HorizontalMultiLevelHierarchy"/>
    <dgm:cxn modelId="{6E0D9732-F37C-4154-BEAC-4C75D8E6138B}" type="presParOf" srcId="{841BCDA1-7BE7-4017-8F93-A7311542960C}" destId="{921583A4-A83D-4748-BDDA-AED0690D348A}" srcOrd="0" destOrd="0" presId="urn:microsoft.com/office/officeart/2008/layout/HorizontalMultiLevelHierarchy"/>
    <dgm:cxn modelId="{E1A8CDED-DCFC-451E-B0EA-955E7EB73294}" type="presParOf" srcId="{841BCDA1-7BE7-4017-8F93-A7311542960C}" destId="{25CBC793-9BC1-43CC-94A1-2BD673728E6E}" srcOrd="1" destOrd="0" presId="urn:microsoft.com/office/officeart/2008/layout/HorizontalMultiLevelHierarchy"/>
    <dgm:cxn modelId="{CC98E627-4246-4B9E-80DF-10B8748741E7}" type="presParOf" srcId="{CFC2ADA5-BCA7-4CDC-8E58-CFC9E65834E7}" destId="{1FFF8CC0-B5E5-4704-A8E8-FF19315F36BD}" srcOrd="2" destOrd="0" presId="urn:microsoft.com/office/officeart/2008/layout/HorizontalMultiLevelHierarchy"/>
    <dgm:cxn modelId="{6CCD136C-9EE6-4BA4-BDCA-7B06B8FC0836}" type="presParOf" srcId="{1FFF8CC0-B5E5-4704-A8E8-FF19315F36BD}" destId="{DDD2B36F-CDCE-4B74-9C35-4AF160DD88DD}" srcOrd="0" destOrd="0" presId="urn:microsoft.com/office/officeart/2008/layout/HorizontalMultiLevelHierarchy"/>
    <dgm:cxn modelId="{2B1CD0EA-DDB6-4F1F-B163-4D2E48BB959D}" type="presParOf" srcId="{CFC2ADA5-BCA7-4CDC-8E58-CFC9E65834E7}" destId="{E029D1FB-DBCD-4939-9756-3EA150C65AF3}" srcOrd="3" destOrd="0" presId="urn:microsoft.com/office/officeart/2008/layout/HorizontalMultiLevelHierarchy"/>
    <dgm:cxn modelId="{72895778-70DD-4DC0-9FE3-7BD52A4284B2}" type="presParOf" srcId="{E029D1FB-DBCD-4939-9756-3EA150C65AF3}" destId="{AFA673E4-44D0-4FC5-B7CD-3D58DED763A5}" srcOrd="0" destOrd="0" presId="urn:microsoft.com/office/officeart/2008/layout/HorizontalMultiLevelHierarchy"/>
    <dgm:cxn modelId="{F5BA0193-F981-4C61-8861-35CCE4AA2907}" type="presParOf" srcId="{E029D1FB-DBCD-4939-9756-3EA150C65AF3}" destId="{0910C06C-BDCD-46A5-BD30-78F2F96EF7D4}" srcOrd="1" destOrd="0" presId="urn:microsoft.com/office/officeart/2008/layout/HorizontalMultiLevelHierarchy"/>
    <dgm:cxn modelId="{CE5C24D0-322D-423B-A5E7-34290CB9A67B}" type="presParOf" srcId="{0910C06C-BDCD-46A5-BD30-78F2F96EF7D4}" destId="{B1DB1953-27BD-43BE-B295-518AC3812341}" srcOrd="0" destOrd="0" presId="urn:microsoft.com/office/officeart/2008/layout/HorizontalMultiLevelHierarchy"/>
    <dgm:cxn modelId="{2EDEFE7E-361B-4259-B270-F85158985E5A}" type="presParOf" srcId="{B1DB1953-27BD-43BE-B295-518AC3812341}" destId="{112CDE75-8801-4360-AC51-6986D2BC7A3E}" srcOrd="0" destOrd="0" presId="urn:microsoft.com/office/officeart/2008/layout/HorizontalMultiLevelHierarchy"/>
    <dgm:cxn modelId="{ECED01E5-0B15-404E-B6D9-39EEE9C77809}" type="presParOf" srcId="{0910C06C-BDCD-46A5-BD30-78F2F96EF7D4}" destId="{0284F679-3F37-49CB-8A25-2D56C7B13791}" srcOrd="1" destOrd="0" presId="urn:microsoft.com/office/officeart/2008/layout/HorizontalMultiLevelHierarchy"/>
    <dgm:cxn modelId="{C3AB4DE5-470A-4686-97BF-3552E345A778}" type="presParOf" srcId="{0284F679-3F37-49CB-8A25-2D56C7B13791}" destId="{030705FC-3D97-4EBC-9909-0E2CCD421282}" srcOrd="0" destOrd="0" presId="urn:microsoft.com/office/officeart/2008/layout/HorizontalMultiLevelHierarchy"/>
    <dgm:cxn modelId="{CF79FCFB-74BB-4766-8900-378DCED76FA8}" type="presParOf" srcId="{0284F679-3F37-49CB-8A25-2D56C7B13791}" destId="{31E346B4-0938-411C-A488-A27DC44F604C}" srcOrd="1" destOrd="0" presId="urn:microsoft.com/office/officeart/2008/layout/HorizontalMultiLevelHierarchy"/>
    <dgm:cxn modelId="{2B69659F-E1FA-4B38-96BE-312C8B99C7C5}" type="presParOf" srcId="{D4EB3C7C-936B-4667-9800-2DA4FBF54041}" destId="{DE83DC1B-A600-45F8-A1D1-C5070CEFC75F}" srcOrd="2" destOrd="0" presId="urn:microsoft.com/office/officeart/2008/layout/HorizontalMultiLevelHierarchy"/>
    <dgm:cxn modelId="{37F5C1A1-B7AC-4C5A-BEF5-B4300E213710}" type="presParOf" srcId="{DE83DC1B-A600-45F8-A1D1-C5070CEFC75F}" destId="{DBCA19F4-0425-45B8-8BEB-56218D8E6535}" srcOrd="0" destOrd="0" presId="urn:microsoft.com/office/officeart/2008/layout/HorizontalMultiLevelHierarchy"/>
    <dgm:cxn modelId="{A593DEDA-9884-43BA-A14A-B7419E09A635}" type="presParOf" srcId="{D4EB3C7C-936B-4667-9800-2DA4FBF54041}" destId="{31C47793-9C63-46A8-92B4-EE09704145D0}" srcOrd="3" destOrd="0" presId="urn:microsoft.com/office/officeart/2008/layout/HorizontalMultiLevelHierarchy"/>
    <dgm:cxn modelId="{C7B28CC4-3495-49C4-8464-24413FED9B12}" type="presParOf" srcId="{31C47793-9C63-46A8-92B4-EE09704145D0}" destId="{472207FC-D0A8-48CA-ADDE-1CAF5F431036}" srcOrd="0" destOrd="0" presId="urn:microsoft.com/office/officeart/2008/layout/HorizontalMultiLevelHierarchy"/>
    <dgm:cxn modelId="{E50B4D0D-18F9-4DCE-965F-C4D26574AA7C}" type="presParOf" srcId="{31C47793-9C63-46A8-92B4-EE09704145D0}" destId="{A5C4150D-8AA6-4C30-9CB0-341D1CC2143C}" srcOrd="1" destOrd="0" presId="urn:microsoft.com/office/officeart/2008/layout/HorizontalMultiLevelHierarchy"/>
    <dgm:cxn modelId="{08144F1C-915F-4274-93AC-6B52EC185B4E}" type="presParOf" srcId="{A5C4150D-8AA6-4C30-9CB0-341D1CC2143C}" destId="{3B721418-ED9E-469A-882F-A042AA9EC3B6}" srcOrd="0" destOrd="0" presId="urn:microsoft.com/office/officeart/2008/layout/HorizontalMultiLevelHierarchy"/>
    <dgm:cxn modelId="{6CCB975F-241A-4516-9F8D-3AF0BDE22B04}" type="presParOf" srcId="{3B721418-ED9E-469A-882F-A042AA9EC3B6}" destId="{034E29E0-943A-4634-9E82-22E2A9D60EDC}" srcOrd="0" destOrd="0" presId="urn:microsoft.com/office/officeart/2008/layout/HorizontalMultiLevelHierarchy"/>
    <dgm:cxn modelId="{F4E83A1E-90CB-4F9B-AA31-29174E78BC03}" type="presParOf" srcId="{A5C4150D-8AA6-4C30-9CB0-341D1CC2143C}" destId="{0B705632-D968-4B71-BAA7-4541E16BACDC}" srcOrd="1" destOrd="0" presId="urn:microsoft.com/office/officeart/2008/layout/HorizontalMultiLevelHierarchy"/>
    <dgm:cxn modelId="{EF1281EA-61BA-4EEE-A97D-444AED2247E7}" type="presParOf" srcId="{0B705632-D968-4B71-BAA7-4541E16BACDC}" destId="{3E32C7D1-0190-4DD0-865B-FA56291B61E2}" srcOrd="0" destOrd="0" presId="urn:microsoft.com/office/officeart/2008/layout/HorizontalMultiLevelHierarchy"/>
    <dgm:cxn modelId="{0CC9F852-2C95-49F7-AB2F-63FF371B485B}" type="presParOf" srcId="{0B705632-D968-4B71-BAA7-4541E16BACDC}" destId="{4F6B9507-BFCF-4D74-8A40-1B154B033075}" srcOrd="1" destOrd="0" presId="urn:microsoft.com/office/officeart/2008/layout/HorizontalMultiLevelHierarchy"/>
    <dgm:cxn modelId="{31CE2892-F574-4178-8E59-7269563D6DDC}" type="presParOf" srcId="{4F6B9507-BFCF-4D74-8A40-1B154B033075}" destId="{145EE429-FF65-467F-8146-D3F2F2DDA1D1}" srcOrd="0" destOrd="0" presId="urn:microsoft.com/office/officeart/2008/layout/HorizontalMultiLevelHierarchy"/>
    <dgm:cxn modelId="{5B591462-9C7F-49EC-9B4E-830B73091BC1}" type="presParOf" srcId="{145EE429-FF65-467F-8146-D3F2F2DDA1D1}" destId="{A5DA03AB-B460-4142-887A-5C4240FB991D}" srcOrd="0" destOrd="0" presId="urn:microsoft.com/office/officeart/2008/layout/HorizontalMultiLevelHierarchy"/>
    <dgm:cxn modelId="{B594EC03-8D14-4FAF-A57C-0C31AC0BD873}" type="presParOf" srcId="{4F6B9507-BFCF-4D74-8A40-1B154B033075}" destId="{6DF1F53A-869E-4A19-BC97-549F076E5478}" srcOrd="1" destOrd="0" presId="urn:microsoft.com/office/officeart/2008/layout/HorizontalMultiLevelHierarchy"/>
    <dgm:cxn modelId="{6CC00C8C-A0D7-436B-83AE-184826B0A3C4}" type="presParOf" srcId="{6DF1F53A-869E-4A19-BC97-549F076E5478}" destId="{7AE5DA2B-308B-4CA5-8407-9A880030A0CD}" srcOrd="0" destOrd="0" presId="urn:microsoft.com/office/officeart/2008/layout/HorizontalMultiLevelHierarchy"/>
    <dgm:cxn modelId="{1793ED8B-7409-4D1C-A646-9D4212C843AD}" type="presParOf" srcId="{6DF1F53A-869E-4A19-BC97-549F076E5478}" destId="{AF137A92-50D9-4DB6-9237-DC926DA62905}" srcOrd="1" destOrd="0" presId="urn:microsoft.com/office/officeart/2008/layout/HorizontalMultiLevelHierarchy"/>
    <dgm:cxn modelId="{C3786BEA-128D-40B9-BD6D-01AD27526167}" type="presParOf" srcId="{AF137A92-50D9-4DB6-9237-DC926DA62905}" destId="{DCD5A6CA-1366-4A49-93B3-3DFAE1809B06}" srcOrd="0" destOrd="0" presId="urn:microsoft.com/office/officeart/2008/layout/HorizontalMultiLevelHierarchy"/>
    <dgm:cxn modelId="{8E39F748-F4D9-4E8A-A307-8E853E8136AF}" type="presParOf" srcId="{DCD5A6CA-1366-4A49-93B3-3DFAE1809B06}" destId="{C5E99819-5C9D-47E3-A414-1C19C6057EAA}" srcOrd="0" destOrd="0" presId="urn:microsoft.com/office/officeart/2008/layout/HorizontalMultiLevelHierarchy"/>
    <dgm:cxn modelId="{424EBA6A-2BE2-41F0-8683-F850E56441E1}" type="presParOf" srcId="{AF137A92-50D9-4DB6-9237-DC926DA62905}" destId="{6BB5A9FD-6E52-4B40-B2B9-7B170773F3DD}" srcOrd="1" destOrd="0" presId="urn:microsoft.com/office/officeart/2008/layout/HorizontalMultiLevelHierarchy"/>
    <dgm:cxn modelId="{DC826756-0DF4-451A-9B7D-3BD829E19BB1}" type="presParOf" srcId="{6BB5A9FD-6E52-4B40-B2B9-7B170773F3DD}" destId="{54618DBF-0D8C-4B5E-93E7-4C37FCFC0C69}" srcOrd="0" destOrd="0" presId="urn:microsoft.com/office/officeart/2008/layout/HorizontalMultiLevelHierarchy"/>
    <dgm:cxn modelId="{41FB14AA-F634-4A82-A8A0-D5B7EA8091DA}" type="presParOf" srcId="{6BB5A9FD-6E52-4B40-B2B9-7B170773F3DD}" destId="{A5487648-F51D-472B-9074-618C8540302B}" srcOrd="1" destOrd="0" presId="urn:microsoft.com/office/officeart/2008/layout/HorizontalMultiLevelHierarchy"/>
    <dgm:cxn modelId="{D814598E-44C4-4A29-83F2-CB39454E1959}" type="presParOf" srcId="{4F6B9507-BFCF-4D74-8A40-1B154B033075}" destId="{7D9544C0-9FF8-41E3-8D9C-140AB83BE7EF}" srcOrd="2" destOrd="0" presId="urn:microsoft.com/office/officeart/2008/layout/HorizontalMultiLevelHierarchy"/>
    <dgm:cxn modelId="{DCB76AA0-4151-4F07-951B-F6566284F0E8}" type="presParOf" srcId="{7D9544C0-9FF8-41E3-8D9C-140AB83BE7EF}" destId="{F4AFE74F-E552-4BF2-9CAB-9B496EFB4C2A}" srcOrd="0" destOrd="0" presId="urn:microsoft.com/office/officeart/2008/layout/HorizontalMultiLevelHierarchy"/>
    <dgm:cxn modelId="{62EE46CE-FF51-4AF3-9FB8-5798A4E75D44}" type="presParOf" srcId="{4F6B9507-BFCF-4D74-8A40-1B154B033075}" destId="{30FC7A5F-0C60-4CF6-9682-46331EC7E69A}" srcOrd="3" destOrd="0" presId="urn:microsoft.com/office/officeart/2008/layout/HorizontalMultiLevelHierarchy"/>
    <dgm:cxn modelId="{020057DA-FB1C-4D5F-8AFB-7872554D4A10}" type="presParOf" srcId="{30FC7A5F-0C60-4CF6-9682-46331EC7E69A}" destId="{CB665CBD-EB53-465E-9342-0A07185D7F3C}" srcOrd="0" destOrd="0" presId="urn:microsoft.com/office/officeart/2008/layout/HorizontalMultiLevelHierarchy"/>
    <dgm:cxn modelId="{3594C580-FE72-4A8C-8E64-C15CB48212FB}" type="presParOf" srcId="{30FC7A5F-0C60-4CF6-9682-46331EC7E69A}" destId="{A84253B4-E5F8-4020-BC36-AD7C315BEBBB}" srcOrd="1" destOrd="0" presId="urn:microsoft.com/office/officeart/2008/layout/HorizontalMultiLevelHierarchy"/>
    <dgm:cxn modelId="{FEEBFA92-9647-4225-BE1D-A1DA2DBA7E1F}" type="presParOf" srcId="{A84253B4-E5F8-4020-BC36-AD7C315BEBBB}" destId="{0A1B0DAF-12AA-4E2E-A92A-BF4A9813019A}" srcOrd="0" destOrd="0" presId="urn:microsoft.com/office/officeart/2008/layout/HorizontalMultiLevelHierarchy"/>
    <dgm:cxn modelId="{5AC3B83C-5DB7-4F08-8A5E-63C2B574FE64}" type="presParOf" srcId="{0A1B0DAF-12AA-4E2E-A92A-BF4A9813019A}" destId="{014FFA41-E461-4541-8FFF-1CA597ABF41A}" srcOrd="0" destOrd="0" presId="urn:microsoft.com/office/officeart/2008/layout/HorizontalMultiLevelHierarchy"/>
    <dgm:cxn modelId="{6AD43149-2DD4-4D6D-94BA-F53EE20BDB26}" type="presParOf" srcId="{A84253B4-E5F8-4020-BC36-AD7C315BEBBB}" destId="{401765F0-5D3E-4635-B5F6-736306A8753A}" srcOrd="1" destOrd="0" presId="urn:microsoft.com/office/officeart/2008/layout/HorizontalMultiLevelHierarchy"/>
    <dgm:cxn modelId="{84870684-88FA-4B70-94B5-47248419BFF7}" type="presParOf" srcId="{401765F0-5D3E-4635-B5F6-736306A8753A}" destId="{FE00E1CB-9BF1-4CC0-A5E7-C558D42D7CCF}" srcOrd="0" destOrd="0" presId="urn:microsoft.com/office/officeart/2008/layout/HorizontalMultiLevelHierarchy"/>
    <dgm:cxn modelId="{D68C52C7-A83E-4126-8832-69AC9DE0440F}" type="presParOf" srcId="{401765F0-5D3E-4635-B5F6-736306A8753A}" destId="{D4BF140A-4905-4684-A75C-61AB3E7CA349}" srcOrd="1" destOrd="0" presId="urn:microsoft.com/office/officeart/2008/layout/HorizontalMultiLevelHierarchy"/>
    <dgm:cxn modelId="{211D5E78-2111-4300-8AEF-7FD28DD5D390}" type="presParOf" srcId="{D4BF140A-4905-4684-A75C-61AB3E7CA349}" destId="{4E7503EB-2B7F-4A8E-BC7C-03331A376F01}" srcOrd="0" destOrd="0" presId="urn:microsoft.com/office/officeart/2008/layout/HorizontalMultiLevelHierarchy"/>
    <dgm:cxn modelId="{F0AE2336-0575-4F2C-B004-B88F3050F586}" type="presParOf" srcId="{4E7503EB-2B7F-4A8E-BC7C-03331A376F01}" destId="{26B5B700-C9D8-459A-9945-2D8011AA6047}" srcOrd="0" destOrd="0" presId="urn:microsoft.com/office/officeart/2008/layout/HorizontalMultiLevelHierarchy"/>
    <dgm:cxn modelId="{1561C1AC-CBD7-4F00-8BFF-85EF0655FE65}" type="presParOf" srcId="{D4BF140A-4905-4684-A75C-61AB3E7CA349}" destId="{EA830F8E-7B88-4B0F-8E0D-96B286E9C47D}" srcOrd="1" destOrd="0" presId="urn:microsoft.com/office/officeart/2008/layout/HorizontalMultiLevelHierarchy"/>
    <dgm:cxn modelId="{B8AE549E-A71D-4D76-88D6-30D8E0FF304E}" type="presParOf" srcId="{EA830F8E-7B88-4B0F-8E0D-96B286E9C47D}" destId="{CF6909CC-5F61-4CBB-9116-28462080F3B6}" srcOrd="0" destOrd="0" presId="urn:microsoft.com/office/officeart/2008/layout/HorizontalMultiLevelHierarchy"/>
    <dgm:cxn modelId="{35B1BCE8-6BE7-4F70-885B-FE887FAB6A81}" type="presParOf" srcId="{EA830F8E-7B88-4B0F-8E0D-96B286E9C47D}" destId="{74986D32-4ACE-4F12-BD42-DBF25D432E5A}" srcOrd="1" destOrd="0" presId="urn:microsoft.com/office/officeart/2008/layout/HorizontalMultiLevelHierarchy"/>
    <dgm:cxn modelId="{82F7011C-FADB-4EE2-A07F-795131F36564}" type="presParOf" srcId="{74986D32-4ACE-4F12-BD42-DBF25D432E5A}" destId="{D269972C-5B2E-477C-880B-8955590B9B93}" srcOrd="0" destOrd="0" presId="urn:microsoft.com/office/officeart/2008/layout/HorizontalMultiLevelHierarchy"/>
    <dgm:cxn modelId="{17C4E85E-347C-4507-9C27-C4431A60B936}" type="presParOf" srcId="{D269972C-5B2E-477C-880B-8955590B9B93}" destId="{4EE34AC7-A417-4B77-A712-4355EB3E2DD6}" srcOrd="0" destOrd="0" presId="urn:microsoft.com/office/officeart/2008/layout/HorizontalMultiLevelHierarchy"/>
    <dgm:cxn modelId="{2FEAF624-90EB-46BC-8A71-7C3B11990B98}" type="presParOf" srcId="{74986D32-4ACE-4F12-BD42-DBF25D432E5A}" destId="{24938045-E307-41E8-B297-1A274398EFE5}" srcOrd="1" destOrd="0" presId="urn:microsoft.com/office/officeart/2008/layout/HorizontalMultiLevelHierarchy"/>
    <dgm:cxn modelId="{7C5C347D-9566-4453-9843-653E4D12A737}" type="presParOf" srcId="{24938045-E307-41E8-B297-1A274398EFE5}" destId="{5879E911-2F4B-45C7-AE3A-E08FD7A19BD2}" srcOrd="0" destOrd="0" presId="urn:microsoft.com/office/officeart/2008/layout/HorizontalMultiLevelHierarchy"/>
    <dgm:cxn modelId="{DB9E1F60-26D7-46DB-8906-B65D12DEA1EF}" type="presParOf" srcId="{24938045-E307-41E8-B297-1A274398EFE5}" destId="{95554143-7A6E-4E33-87FF-39B44F683D3B}" srcOrd="1" destOrd="0" presId="urn:microsoft.com/office/officeart/2008/layout/HorizontalMultiLevelHierarchy"/>
    <dgm:cxn modelId="{18B61CA7-80F4-4893-BDE4-6AF634DE9445}" type="presParOf" srcId="{D4BF140A-4905-4684-A75C-61AB3E7CA349}" destId="{FAB837DE-E87A-4FD7-8508-04E6FE66BA27}" srcOrd="2" destOrd="0" presId="urn:microsoft.com/office/officeart/2008/layout/HorizontalMultiLevelHierarchy"/>
    <dgm:cxn modelId="{B4320DD5-3813-4A30-8F55-85A2FECA32AB}" type="presParOf" srcId="{FAB837DE-E87A-4FD7-8508-04E6FE66BA27}" destId="{344428A8-8C54-44CE-8988-C37EFD9736E5}" srcOrd="0" destOrd="0" presId="urn:microsoft.com/office/officeart/2008/layout/HorizontalMultiLevelHierarchy"/>
    <dgm:cxn modelId="{FCCD5609-7861-4447-B882-23E3FCB2A283}" type="presParOf" srcId="{D4BF140A-4905-4684-A75C-61AB3E7CA349}" destId="{1E95BE72-6D3E-4B0C-B29F-82D7F81D7B6D}" srcOrd="3" destOrd="0" presId="urn:microsoft.com/office/officeart/2008/layout/HorizontalMultiLevelHierarchy"/>
    <dgm:cxn modelId="{6BE45B0C-6F94-4715-BF40-B52B4128191D}" type="presParOf" srcId="{1E95BE72-6D3E-4B0C-B29F-82D7F81D7B6D}" destId="{F8BA739B-1F9D-4C7D-98BE-DC4943BB01A8}" srcOrd="0" destOrd="0" presId="urn:microsoft.com/office/officeart/2008/layout/HorizontalMultiLevelHierarchy"/>
    <dgm:cxn modelId="{18584535-CD4E-4BE0-8518-231D4749AE64}" type="presParOf" srcId="{1E95BE72-6D3E-4B0C-B29F-82D7F81D7B6D}" destId="{FE83C84C-BF76-47D2-A906-FA7312ED6FEA}" srcOrd="1" destOrd="0" presId="urn:microsoft.com/office/officeart/2008/layout/HorizontalMultiLevelHierarchy"/>
    <dgm:cxn modelId="{71E0649E-08CC-47F3-9716-D4881EF8C374}" type="presParOf" srcId="{FE83C84C-BF76-47D2-A906-FA7312ED6FEA}" destId="{BD929C19-3506-4F70-BF01-157065B49836}" srcOrd="0" destOrd="0" presId="urn:microsoft.com/office/officeart/2008/layout/HorizontalMultiLevelHierarchy"/>
    <dgm:cxn modelId="{A4617B76-7199-4B75-9B8E-2E539B5624BD}" type="presParOf" srcId="{BD929C19-3506-4F70-BF01-157065B49836}" destId="{7E6F1178-A0ED-40A4-80C2-D665DE3CA3DE}" srcOrd="0" destOrd="0" presId="urn:microsoft.com/office/officeart/2008/layout/HorizontalMultiLevelHierarchy"/>
    <dgm:cxn modelId="{A6627C00-C524-4FD7-A42E-4BDEAF79EC2F}" type="presParOf" srcId="{FE83C84C-BF76-47D2-A906-FA7312ED6FEA}" destId="{6127E277-87A2-47B1-B3D5-E899D20F6433}" srcOrd="1" destOrd="0" presId="urn:microsoft.com/office/officeart/2008/layout/HorizontalMultiLevelHierarchy"/>
    <dgm:cxn modelId="{11CA690A-4C07-472E-8E59-7BB882261140}" type="presParOf" srcId="{6127E277-87A2-47B1-B3D5-E899D20F6433}" destId="{002D3A82-2A4F-4A25-94E5-26278E2E0F1B}" srcOrd="0" destOrd="0" presId="urn:microsoft.com/office/officeart/2008/layout/HorizontalMultiLevelHierarchy"/>
    <dgm:cxn modelId="{4BE064ED-F09F-4BCA-AF83-20A375F97577}" type="presParOf" srcId="{6127E277-87A2-47B1-B3D5-E899D20F6433}" destId="{7EA0E9BA-A7BE-4085-B142-25D05AA54FC7}" srcOrd="1" destOrd="0" presId="urn:microsoft.com/office/officeart/2008/layout/HorizontalMultiLevelHierarchy"/>
    <dgm:cxn modelId="{8E6C7A0B-B5BE-44FA-A47B-8AFC9CBB06C7}" type="presParOf" srcId="{A5C4150D-8AA6-4C30-9CB0-341D1CC2143C}" destId="{7326C732-F8F9-42C9-B475-8DD36D10DD24}" srcOrd="2" destOrd="0" presId="urn:microsoft.com/office/officeart/2008/layout/HorizontalMultiLevelHierarchy"/>
    <dgm:cxn modelId="{4232236C-866F-490C-86C6-009B53AB5BDC}" type="presParOf" srcId="{7326C732-F8F9-42C9-B475-8DD36D10DD24}" destId="{53F68BCB-5B16-4F88-B0CC-45F4C778FF52}" srcOrd="0" destOrd="0" presId="urn:microsoft.com/office/officeart/2008/layout/HorizontalMultiLevelHierarchy"/>
    <dgm:cxn modelId="{AD422602-508D-44C5-8DC5-D9A58000D962}" type="presParOf" srcId="{A5C4150D-8AA6-4C30-9CB0-341D1CC2143C}" destId="{A7A9050F-3E58-47C3-87C9-DD5BBDBE78EE}" srcOrd="3" destOrd="0" presId="urn:microsoft.com/office/officeart/2008/layout/HorizontalMultiLevelHierarchy"/>
    <dgm:cxn modelId="{F91B12E2-25ED-49CD-865F-7A034D986515}" type="presParOf" srcId="{A7A9050F-3E58-47C3-87C9-DD5BBDBE78EE}" destId="{823379AE-2D3E-4AAB-BDFD-D68B918D172B}" srcOrd="0" destOrd="0" presId="urn:microsoft.com/office/officeart/2008/layout/HorizontalMultiLevelHierarchy"/>
    <dgm:cxn modelId="{D5EC77F3-B11D-4306-9DE0-732CB6D0E31B}" type="presParOf" srcId="{A7A9050F-3E58-47C3-87C9-DD5BBDBE78EE}" destId="{5E785354-B2F7-49C7-88A6-FC9DA390D764}" srcOrd="1" destOrd="0" presId="urn:microsoft.com/office/officeart/2008/layout/HorizontalMultiLevelHierarchy"/>
    <dgm:cxn modelId="{A3D99ED6-7566-4A90-9F50-36021BED9CFF}" type="presParOf" srcId="{5E785354-B2F7-49C7-88A6-FC9DA390D764}" destId="{B6A329B0-9945-4E55-BDD8-A281BC6D5282}" srcOrd="0" destOrd="0" presId="urn:microsoft.com/office/officeart/2008/layout/HorizontalMultiLevelHierarchy"/>
    <dgm:cxn modelId="{1B16CFC9-8B37-4332-9B95-FBDA1DE108CF}" type="presParOf" srcId="{B6A329B0-9945-4E55-BDD8-A281BC6D5282}" destId="{2DFB2D27-2590-4D30-8436-5DCF53B870F4}" srcOrd="0" destOrd="0" presId="urn:microsoft.com/office/officeart/2008/layout/HorizontalMultiLevelHierarchy"/>
    <dgm:cxn modelId="{1099B4FF-CE07-4E25-B2EC-4AFDE30D9636}" type="presParOf" srcId="{5E785354-B2F7-49C7-88A6-FC9DA390D764}" destId="{78EA2E0A-F21E-4F26-8F1A-27A1B18A3FD7}" srcOrd="1" destOrd="0" presId="urn:microsoft.com/office/officeart/2008/layout/HorizontalMultiLevelHierarchy"/>
    <dgm:cxn modelId="{719A5AE5-9149-45A5-A704-1E48AEA9B9C0}" type="presParOf" srcId="{78EA2E0A-F21E-4F26-8F1A-27A1B18A3FD7}" destId="{776461AE-5412-45FF-A6D5-8A9FB83F578D}" srcOrd="0" destOrd="0" presId="urn:microsoft.com/office/officeart/2008/layout/HorizontalMultiLevelHierarchy"/>
    <dgm:cxn modelId="{279A4F03-03D8-4DD9-82CD-0ECB592E9FE2}" type="presParOf" srcId="{78EA2E0A-F21E-4F26-8F1A-27A1B18A3FD7}" destId="{D9056719-5BFA-47EC-AAEB-1931A5EE8BCD}" srcOrd="1" destOrd="0" presId="urn:microsoft.com/office/officeart/2008/layout/HorizontalMultiLevelHierarchy"/>
    <dgm:cxn modelId="{3C21F2A9-1336-46F1-B1C6-179F19DD7F14}" type="presParOf" srcId="{D9056719-5BFA-47EC-AAEB-1931A5EE8BCD}" destId="{7E27029E-DC03-4AF1-BAB0-E89492087063}" srcOrd="0" destOrd="0" presId="urn:microsoft.com/office/officeart/2008/layout/HorizontalMultiLevelHierarchy"/>
    <dgm:cxn modelId="{403233FB-B2AB-45EB-85EA-E53ED72C19F2}" type="presParOf" srcId="{7E27029E-DC03-4AF1-BAB0-E89492087063}" destId="{3168EAF9-4C8F-47FC-A46A-DD275F4178F3}" srcOrd="0" destOrd="0" presId="urn:microsoft.com/office/officeart/2008/layout/HorizontalMultiLevelHierarchy"/>
    <dgm:cxn modelId="{299D946B-BE8D-4D07-9816-78FD9769B995}" type="presParOf" srcId="{D9056719-5BFA-47EC-AAEB-1931A5EE8BCD}" destId="{A9DCC919-E07F-412D-83EC-0DCD987836C2}" srcOrd="1" destOrd="0" presId="urn:microsoft.com/office/officeart/2008/layout/HorizontalMultiLevelHierarchy"/>
    <dgm:cxn modelId="{C7BA2B38-D370-496C-89D7-1DD92E25C49C}" type="presParOf" srcId="{A9DCC919-E07F-412D-83EC-0DCD987836C2}" destId="{6A6FC957-BF10-4DBA-9F16-3E31A4541C91}" srcOrd="0" destOrd="0" presId="urn:microsoft.com/office/officeart/2008/layout/HorizontalMultiLevelHierarchy"/>
    <dgm:cxn modelId="{8380680F-1713-424E-897A-110FF2343225}" type="presParOf" srcId="{A9DCC919-E07F-412D-83EC-0DCD987836C2}" destId="{9F6BB2C9-FF25-4A6E-BFCE-78E1F91516AB}" srcOrd="1" destOrd="0" presId="urn:microsoft.com/office/officeart/2008/layout/HorizontalMultiLevelHierarchy"/>
    <dgm:cxn modelId="{6ADE4AD6-7C95-46F8-BEEC-0FF8E52B29C0}" type="presParOf" srcId="{9F6BB2C9-FF25-4A6E-BFCE-78E1F91516AB}" destId="{BAE3E8A5-5C7B-4960-AB32-D71C11688B2C}" srcOrd="0" destOrd="0" presId="urn:microsoft.com/office/officeart/2008/layout/HorizontalMultiLevelHierarchy"/>
    <dgm:cxn modelId="{424CBCF9-7D68-455D-B2D1-638A00A31B27}" type="presParOf" srcId="{BAE3E8A5-5C7B-4960-AB32-D71C11688B2C}" destId="{B35D94F0-53E5-4AB6-B1E6-164735A09C53}" srcOrd="0" destOrd="0" presId="urn:microsoft.com/office/officeart/2008/layout/HorizontalMultiLevelHierarchy"/>
    <dgm:cxn modelId="{7FB22F71-D11D-4838-B99C-7253780939E8}" type="presParOf" srcId="{9F6BB2C9-FF25-4A6E-BFCE-78E1F91516AB}" destId="{57BBDC23-5515-49E1-ACFE-30AA66CDF769}" srcOrd="1" destOrd="0" presId="urn:microsoft.com/office/officeart/2008/layout/HorizontalMultiLevelHierarchy"/>
    <dgm:cxn modelId="{0F73CFD7-E6B1-454A-8D98-C52E6D224708}" type="presParOf" srcId="{57BBDC23-5515-49E1-ACFE-30AA66CDF769}" destId="{91585094-837F-4F52-9453-36A4634D1BC8}" srcOrd="0" destOrd="0" presId="urn:microsoft.com/office/officeart/2008/layout/HorizontalMultiLevelHierarchy"/>
    <dgm:cxn modelId="{6DEA927B-FE55-41E8-8DA1-9B72D06DA115}" type="presParOf" srcId="{57BBDC23-5515-49E1-ACFE-30AA66CDF769}" destId="{9ED952AD-55EF-4F5F-AAF1-A88B5134E9C7}" srcOrd="1" destOrd="0" presId="urn:microsoft.com/office/officeart/2008/layout/HorizontalMultiLevelHierarchy"/>
    <dgm:cxn modelId="{C21E775F-30C1-47B9-AE22-0C576A9F8F4B}" type="presParOf" srcId="{D9056719-5BFA-47EC-AAEB-1931A5EE8BCD}" destId="{A4DF1F9B-2996-4CBF-9B1A-37893E0C2A56}" srcOrd="2" destOrd="0" presId="urn:microsoft.com/office/officeart/2008/layout/HorizontalMultiLevelHierarchy"/>
    <dgm:cxn modelId="{B4314BB2-D43A-48CE-B7C2-886F829C0493}" type="presParOf" srcId="{A4DF1F9B-2996-4CBF-9B1A-37893E0C2A56}" destId="{09B83C37-2AA7-4DA1-A30B-C763CA5F183A}" srcOrd="0" destOrd="0" presId="urn:microsoft.com/office/officeart/2008/layout/HorizontalMultiLevelHierarchy"/>
    <dgm:cxn modelId="{39EC3AA7-045E-4793-9AB5-21933080534D}" type="presParOf" srcId="{D9056719-5BFA-47EC-AAEB-1931A5EE8BCD}" destId="{ADD5CCA0-E314-44B8-84EB-2A9A0924C847}" srcOrd="3" destOrd="0" presId="urn:microsoft.com/office/officeart/2008/layout/HorizontalMultiLevelHierarchy"/>
    <dgm:cxn modelId="{35BD8B00-4380-42C5-9915-A9FCE49F408C}" type="presParOf" srcId="{ADD5CCA0-E314-44B8-84EB-2A9A0924C847}" destId="{196DCC81-37D2-46DF-B9D8-C521E0997145}" srcOrd="0" destOrd="0" presId="urn:microsoft.com/office/officeart/2008/layout/HorizontalMultiLevelHierarchy"/>
    <dgm:cxn modelId="{6E6676A4-5641-43E1-B674-182A9B5602AE}" type="presParOf" srcId="{ADD5CCA0-E314-44B8-84EB-2A9A0924C847}" destId="{22866D09-75D9-4CA5-BCDF-3C67C7B2D1EE}" srcOrd="1" destOrd="0" presId="urn:microsoft.com/office/officeart/2008/layout/HorizontalMultiLevelHierarchy"/>
    <dgm:cxn modelId="{570E66BA-B42C-4537-A9A4-884320EF8B28}" type="presParOf" srcId="{22866D09-75D9-4CA5-BCDF-3C67C7B2D1EE}" destId="{9DD49D0E-5736-497A-A40C-6DF96C4E7BB7}" srcOrd="0" destOrd="0" presId="urn:microsoft.com/office/officeart/2008/layout/HorizontalMultiLevelHierarchy"/>
    <dgm:cxn modelId="{49241A75-2D16-48F2-8984-9A8984A3613D}" type="presParOf" srcId="{9DD49D0E-5736-497A-A40C-6DF96C4E7BB7}" destId="{F626DADC-5587-4188-9F25-A357A8DB15F6}" srcOrd="0" destOrd="0" presId="urn:microsoft.com/office/officeart/2008/layout/HorizontalMultiLevelHierarchy"/>
    <dgm:cxn modelId="{2A981713-3A78-4A1B-BB3A-CE19ABAC9FDC}" type="presParOf" srcId="{22866D09-75D9-4CA5-BCDF-3C67C7B2D1EE}" destId="{99C14336-3E0D-4A51-ACA7-C7D615F8805B}" srcOrd="1" destOrd="0" presId="urn:microsoft.com/office/officeart/2008/layout/HorizontalMultiLevelHierarchy"/>
    <dgm:cxn modelId="{0D111A8C-5DDD-4C85-8928-3548B9725BE9}" type="presParOf" srcId="{99C14336-3E0D-4A51-ACA7-C7D615F8805B}" destId="{25C01BD5-DB6A-4934-9CDB-6A21691D6556}" srcOrd="0" destOrd="0" presId="urn:microsoft.com/office/officeart/2008/layout/HorizontalMultiLevelHierarchy"/>
    <dgm:cxn modelId="{6BA7422B-5B53-43B4-AEAF-F1C6B8E86012}" type="presParOf" srcId="{99C14336-3E0D-4A51-ACA7-C7D615F8805B}" destId="{ECF11703-9A77-4213-AFBE-D392BDEADFB8}" srcOrd="1" destOrd="0" presId="urn:microsoft.com/office/officeart/2008/layout/HorizontalMultiLevelHierarchy"/>
    <dgm:cxn modelId="{D242BC58-4D5A-42FA-AF87-00A8453EC761}" type="presParOf" srcId="{88A800E6-2A63-43C1-B48B-BF305B98C68B}" destId="{DA20C5CB-76DF-4E98-A091-42296A15B67E}" srcOrd="2" destOrd="0" presId="urn:microsoft.com/office/officeart/2008/layout/HorizontalMultiLevelHierarchy"/>
    <dgm:cxn modelId="{6008653F-77E6-4498-AB9B-DA298E2AA4D3}" type="presParOf" srcId="{DA20C5CB-76DF-4E98-A091-42296A15B67E}" destId="{879BDB64-F9A3-4BE2-8D75-603B6070C32E}" srcOrd="0" destOrd="0" presId="urn:microsoft.com/office/officeart/2008/layout/HorizontalMultiLevelHierarchy"/>
    <dgm:cxn modelId="{BAB83182-FA40-45C7-A42A-CF34EE2D544C}" type="presParOf" srcId="{88A800E6-2A63-43C1-B48B-BF305B98C68B}" destId="{9E15B5BA-FF60-4B38-A879-77E8883DC64C}" srcOrd="3" destOrd="0" presId="urn:microsoft.com/office/officeart/2008/layout/HorizontalMultiLevelHierarchy"/>
    <dgm:cxn modelId="{7F1C0627-18B1-4B24-BC17-904AB7FC03AB}" type="presParOf" srcId="{9E15B5BA-FF60-4B38-A879-77E8883DC64C}" destId="{9CEEE332-A537-4D59-ACA7-3CE1A3825D8E}" srcOrd="0" destOrd="0" presId="urn:microsoft.com/office/officeart/2008/layout/HorizontalMultiLevelHierarchy"/>
    <dgm:cxn modelId="{C404B646-1C39-453F-A34A-47E980E2805B}" type="presParOf" srcId="{9E15B5BA-FF60-4B38-A879-77E8883DC64C}" destId="{E90A4AD4-E1E1-4704-BB8E-CCE6FB7376DB}" srcOrd="1" destOrd="0" presId="urn:microsoft.com/office/officeart/2008/layout/HorizontalMultiLevelHierarchy"/>
    <dgm:cxn modelId="{5C75DDBC-3C83-4C1D-9744-9B1F21885AD8}" type="presParOf" srcId="{E90A4AD4-E1E1-4704-BB8E-CCE6FB7376DB}" destId="{68DEB65C-7FE5-4C7A-BDBA-6C7733EFE797}" srcOrd="0" destOrd="0" presId="urn:microsoft.com/office/officeart/2008/layout/HorizontalMultiLevelHierarchy"/>
    <dgm:cxn modelId="{BAC641C6-5F09-495A-B7D1-65CE50DE8545}" type="presParOf" srcId="{68DEB65C-7FE5-4C7A-BDBA-6C7733EFE797}" destId="{1910E3FD-9A95-414C-A1FE-78AC32060DB6}" srcOrd="0" destOrd="0" presId="urn:microsoft.com/office/officeart/2008/layout/HorizontalMultiLevelHierarchy"/>
    <dgm:cxn modelId="{71064AB6-86CD-4C5D-AC98-DB77E179D4EA}" type="presParOf" srcId="{E90A4AD4-E1E1-4704-BB8E-CCE6FB7376DB}" destId="{CDF3116E-287D-4C2D-8DCE-E873FAC18986}" srcOrd="1" destOrd="0" presId="urn:microsoft.com/office/officeart/2008/layout/HorizontalMultiLevelHierarchy"/>
    <dgm:cxn modelId="{A2892D87-F939-4412-AE77-EB298036C7FB}" type="presParOf" srcId="{CDF3116E-287D-4C2D-8DCE-E873FAC18986}" destId="{BE568C46-4768-489B-9756-C892E97552F5}" srcOrd="0" destOrd="0" presId="urn:microsoft.com/office/officeart/2008/layout/HorizontalMultiLevelHierarchy"/>
    <dgm:cxn modelId="{E5E438FE-29C5-4C80-B062-AA2282F74B82}" type="presParOf" srcId="{CDF3116E-287D-4C2D-8DCE-E873FAC18986}" destId="{D2838491-E668-47BD-8DEE-303765964579}" srcOrd="1" destOrd="0" presId="urn:microsoft.com/office/officeart/2008/layout/HorizontalMultiLevelHierarchy"/>
    <dgm:cxn modelId="{D5FCC90C-3C1A-470A-B5B6-DE3784B8DE9C}" type="presParOf" srcId="{D2838491-E668-47BD-8DEE-303765964579}" destId="{C2ECD8AF-5575-4262-9A37-BE07DD290A9B}" srcOrd="0" destOrd="0" presId="urn:microsoft.com/office/officeart/2008/layout/HorizontalMultiLevelHierarchy"/>
    <dgm:cxn modelId="{03EEF539-39C8-4CA1-A2EC-73A074A3C74F}" type="presParOf" srcId="{C2ECD8AF-5575-4262-9A37-BE07DD290A9B}" destId="{73953F89-5740-4FE7-9A10-E169F9BFE01A}" srcOrd="0" destOrd="0" presId="urn:microsoft.com/office/officeart/2008/layout/HorizontalMultiLevelHierarchy"/>
    <dgm:cxn modelId="{F6C33A84-9C6E-4035-8FD4-4640649BEA5D}" type="presParOf" srcId="{D2838491-E668-47BD-8DEE-303765964579}" destId="{0F6E204A-0141-491F-849C-F025D94A0A61}" srcOrd="1" destOrd="0" presId="urn:microsoft.com/office/officeart/2008/layout/HorizontalMultiLevelHierarchy"/>
    <dgm:cxn modelId="{E2529530-D664-401C-94D5-A8A3C49A2FE9}" type="presParOf" srcId="{0F6E204A-0141-491F-849C-F025D94A0A61}" destId="{B6EF273E-42B9-4BDF-87E4-57DF659F408B}" srcOrd="0" destOrd="0" presId="urn:microsoft.com/office/officeart/2008/layout/HorizontalMultiLevelHierarchy"/>
    <dgm:cxn modelId="{97C3F980-621D-49EA-82AC-E3A6C443C53B}" type="presParOf" srcId="{0F6E204A-0141-491F-849C-F025D94A0A61}" destId="{C24E3F30-B7AA-498D-A19E-55CD9BA45845}" srcOrd="1" destOrd="0" presId="urn:microsoft.com/office/officeart/2008/layout/HorizontalMultiLevelHierarchy"/>
    <dgm:cxn modelId="{2063A123-537D-4E17-9F2F-4318A7463EA3}" type="presParOf" srcId="{C24E3F30-B7AA-498D-A19E-55CD9BA45845}" destId="{A5885A76-BD3E-47C0-850F-0B84D0426E4A}" srcOrd="0" destOrd="0" presId="urn:microsoft.com/office/officeart/2008/layout/HorizontalMultiLevelHierarchy"/>
    <dgm:cxn modelId="{59A10BD6-B1C4-4E84-98D4-79F5DDEB1CF7}" type="presParOf" srcId="{A5885A76-BD3E-47C0-850F-0B84D0426E4A}" destId="{3E36FE68-F76F-45C7-91C1-51A67D596B69}" srcOrd="0" destOrd="0" presId="urn:microsoft.com/office/officeart/2008/layout/HorizontalMultiLevelHierarchy"/>
    <dgm:cxn modelId="{1FE4B316-BBFF-4CDA-BFAC-BBADCAD99BAB}" type="presParOf" srcId="{C24E3F30-B7AA-498D-A19E-55CD9BA45845}" destId="{3EB240FC-6F92-49C0-B95E-38E9F2D60C4A}" srcOrd="1" destOrd="0" presId="urn:microsoft.com/office/officeart/2008/layout/HorizontalMultiLevelHierarchy"/>
    <dgm:cxn modelId="{CF384D6C-8A26-40D9-A26B-74F97B16641B}" type="presParOf" srcId="{3EB240FC-6F92-49C0-B95E-38E9F2D60C4A}" destId="{2732AD9E-769C-4265-9414-7D605E19C644}" srcOrd="0" destOrd="0" presId="urn:microsoft.com/office/officeart/2008/layout/HorizontalMultiLevelHierarchy"/>
    <dgm:cxn modelId="{1A1EA3B6-0B8A-4E1B-9E3B-AD644E5FE508}" type="presParOf" srcId="{3EB240FC-6F92-49C0-B95E-38E9F2D60C4A}" destId="{D848D65C-DC54-4D29-A519-3E76E7976409}" srcOrd="1" destOrd="0" presId="urn:microsoft.com/office/officeart/2008/layout/HorizontalMultiLevelHierarchy"/>
    <dgm:cxn modelId="{21B85A7C-1318-4F63-8D93-DEC2A38F0F97}" type="presParOf" srcId="{C24E3F30-B7AA-498D-A19E-55CD9BA45845}" destId="{6FDCE9CB-8D68-40F5-B8CD-BEF211C4BCFE}" srcOrd="2" destOrd="0" presId="urn:microsoft.com/office/officeart/2008/layout/HorizontalMultiLevelHierarchy"/>
    <dgm:cxn modelId="{CE932790-57CC-4FBE-BDD8-59F3DCAE7E5B}" type="presParOf" srcId="{6FDCE9CB-8D68-40F5-B8CD-BEF211C4BCFE}" destId="{AD79D32F-4823-475A-BB5D-F167B00549DF}" srcOrd="0" destOrd="0" presId="urn:microsoft.com/office/officeart/2008/layout/HorizontalMultiLevelHierarchy"/>
    <dgm:cxn modelId="{FAE6562D-776D-4066-BE5F-253894CE35EA}" type="presParOf" srcId="{C24E3F30-B7AA-498D-A19E-55CD9BA45845}" destId="{349B285B-F2B2-46FE-8F73-DEE292C52ABE}" srcOrd="3" destOrd="0" presId="urn:microsoft.com/office/officeart/2008/layout/HorizontalMultiLevelHierarchy"/>
    <dgm:cxn modelId="{3732AB4F-2ABA-4379-8C19-FC09580C9478}" type="presParOf" srcId="{349B285B-F2B2-46FE-8F73-DEE292C52ABE}" destId="{ACB1779F-AE89-4844-9D7E-40E7B0DC58FC}" srcOrd="0" destOrd="0" presId="urn:microsoft.com/office/officeart/2008/layout/HorizontalMultiLevelHierarchy"/>
    <dgm:cxn modelId="{30300AE6-75B1-4773-BC54-A00A2D2B6592}" type="presParOf" srcId="{349B285B-F2B2-46FE-8F73-DEE292C52ABE}" destId="{BE1D012A-1EA5-4451-BEED-3955974E1386}" srcOrd="1" destOrd="0" presId="urn:microsoft.com/office/officeart/2008/layout/HorizontalMultiLevelHierarchy"/>
    <dgm:cxn modelId="{1DCC56CA-6E1F-4163-8099-345603E97490}" type="presParOf" srcId="{BE1D012A-1EA5-4451-BEED-3955974E1386}" destId="{19BC94CB-2263-4628-AC76-E5DE9E8B3A17}" srcOrd="0" destOrd="0" presId="urn:microsoft.com/office/officeart/2008/layout/HorizontalMultiLevelHierarchy"/>
    <dgm:cxn modelId="{38A370E6-C10A-4D6B-990E-817C16DB107A}" type="presParOf" srcId="{19BC94CB-2263-4628-AC76-E5DE9E8B3A17}" destId="{1FE7BE54-6AE8-41B7-B2F5-4F33F6069240}" srcOrd="0" destOrd="0" presId="urn:microsoft.com/office/officeart/2008/layout/HorizontalMultiLevelHierarchy"/>
    <dgm:cxn modelId="{17E71993-5B58-4F43-9A20-33654E95FFCF}" type="presParOf" srcId="{BE1D012A-1EA5-4451-BEED-3955974E1386}" destId="{D0E7593A-CEA0-45B3-99DC-F214AB2C6367}" srcOrd="1" destOrd="0" presId="urn:microsoft.com/office/officeart/2008/layout/HorizontalMultiLevelHierarchy"/>
    <dgm:cxn modelId="{36AD687D-01B4-437D-9508-18B325EFF7A8}" type="presParOf" srcId="{D0E7593A-CEA0-45B3-99DC-F214AB2C6367}" destId="{D6869973-D5CE-481C-955D-BE7E4614DD85}" srcOrd="0" destOrd="0" presId="urn:microsoft.com/office/officeart/2008/layout/HorizontalMultiLevelHierarchy"/>
    <dgm:cxn modelId="{23126A4A-2D6B-4FB3-B24B-B09637D55491}" type="presParOf" srcId="{D0E7593A-CEA0-45B3-99DC-F214AB2C6367}" destId="{CE47BA6F-8315-4CE1-BDE7-920154C75E56}" srcOrd="1" destOrd="0" presId="urn:microsoft.com/office/officeart/2008/layout/HorizontalMultiLevelHierarchy"/>
    <dgm:cxn modelId="{28AA6C24-93A0-4D84-9AAE-E49D4C555590}" type="presParOf" srcId="{CE47BA6F-8315-4CE1-BDE7-920154C75E56}" destId="{418E4922-7393-47F7-8739-4C83FF74D5A9}" srcOrd="0" destOrd="0" presId="urn:microsoft.com/office/officeart/2008/layout/HorizontalMultiLevelHierarchy"/>
    <dgm:cxn modelId="{09168053-C0FF-401A-9140-DBF8FF42AF18}" type="presParOf" srcId="{418E4922-7393-47F7-8739-4C83FF74D5A9}" destId="{EB6279B8-9ED7-4C7E-AAE4-7DA3FCEE2F3A}" srcOrd="0" destOrd="0" presId="urn:microsoft.com/office/officeart/2008/layout/HorizontalMultiLevelHierarchy"/>
    <dgm:cxn modelId="{E615B922-BE9F-4AE0-92EB-881BCF85FAFA}" type="presParOf" srcId="{CE47BA6F-8315-4CE1-BDE7-920154C75E56}" destId="{A4F34C78-3868-4299-B3FA-CA00445F61B6}" srcOrd="1" destOrd="0" presId="urn:microsoft.com/office/officeart/2008/layout/HorizontalMultiLevelHierarchy"/>
    <dgm:cxn modelId="{1174714A-26FC-4FC4-9B15-E44E4B876B4D}" type="presParOf" srcId="{A4F34C78-3868-4299-B3FA-CA00445F61B6}" destId="{AFB4F2E7-0D60-47CA-8F88-CC8AA76A3639}" srcOrd="0" destOrd="0" presId="urn:microsoft.com/office/officeart/2008/layout/HorizontalMultiLevelHierarchy"/>
    <dgm:cxn modelId="{3B6F7252-BC75-4001-8E83-B50B819F025C}" type="presParOf" srcId="{A4F34C78-3868-4299-B3FA-CA00445F61B6}" destId="{A4D090FC-135E-440C-B123-D7CFF13A4FF2}" srcOrd="1" destOrd="0" presId="urn:microsoft.com/office/officeart/2008/layout/HorizontalMultiLevelHierarchy"/>
    <dgm:cxn modelId="{16FF434A-47D4-4E22-8CD1-E4B7F369F90A}" type="presParOf" srcId="{A4D090FC-135E-440C-B123-D7CFF13A4FF2}" destId="{ECEEB5E6-7E99-4BA1-9754-78879E404C89}" srcOrd="0" destOrd="0" presId="urn:microsoft.com/office/officeart/2008/layout/HorizontalMultiLevelHierarchy"/>
    <dgm:cxn modelId="{BF3CA57E-B587-476C-B08C-15FC82A32C06}" type="presParOf" srcId="{ECEEB5E6-7E99-4BA1-9754-78879E404C89}" destId="{888A8B98-AB82-4D54-946B-58EB2425B375}" srcOrd="0" destOrd="0" presId="urn:microsoft.com/office/officeart/2008/layout/HorizontalMultiLevelHierarchy"/>
    <dgm:cxn modelId="{62EF3F54-BC65-4B7B-AECE-08B8EB5F547F}" type="presParOf" srcId="{A4D090FC-135E-440C-B123-D7CFF13A4FF2}" destId="{3D187C69-1C15-4359-983F-7A413615BB8D}" srcOrd="1" destOrd="0" presId="urn:microsoft.com/office/officeart/2008/layout/HorizontalMultiLevelHierarchy"/>
    <dgm:cxn modelId="{2FEBE41E-9177-474D-B46A-437F6137ABBB}" type="presParOf" srcId="{3D187C69-1C15-4359-983F-7A413615BB8D}" destId="{5DEF6F17-9C20-4A70-B3A6-C756C9CDEE6D}" srcOrd="0" destOrd="0" presId="urn:microsoft.com/office/officeart/2008/layout/HorizontalMultiLevelHierarchy"/>
    <dgm:cxn modelId="{E0BD6719-FF93-46BC-BC8A-EB00679F0347}" type="presParOf" srcId="{3D187C69-1C15-4359-983F-7A413615BB8D}" destId="{D0843EB6-7D8E-4D70-9AF5-49EB8BD6ECD9}" srcOrd="1" destOrd="0" presId="urn:microsoft.com/office/officeart/2008/layout/HorizontalMultiLevelHierarchy"/>
    <dgm:cxn modelId="{425173CF-D20C-49EC-A27E-9D917AB79889}" type="presParOf" srcId="{CE47BA6F-8315-4CE1-BDE7-920154C75E56}" destId="{6160FAF1-F52E-4838-89A6-3B1FA37BD7F1}" srcOrd="2" destOrd="0" presId="urn:microsoft.com/office/officeart/2008/layout/HorizontalMultiLevelHierarchy"/>
    <dgm:cxn modelId="{BF1ED98D-4421-4AC4-81C2-0B4CE00B3053}" type="presParOf" srcId="{6160FAF1-F52E-4838-89A6-3B1FA37BD7F1}" destId="{DF3ED316-9A1D-44B7-B021-02D15D1B781F}" srcOrd="0" destOrd="0" presId="urn:microsoft.com/office/officeart/2008/layout/HorizontalMultiLevelHierarchy"/>
    <dgm:cxn modelId="{5FED4485-FBCF-4D8B-8566-1D8DA9163EAB}" type="presParOf" srcId="{CE47BA6F-8315-4CE1-BDE7-920154C75E56}" destId="{D1336111-F0C4-413F-9CD7-3521BFC401EE}" srcOrd="3" destOrd="0" presId="urn:microsoft.com/office/officeart/2008/layout/HorizontalMultiLevelHierarchy"/>
    <dgm:cxn modelId="{F7C15B77-2374-44A9-9C85-BAC8C0EED4C9}" type="presParOf" srcId="{D1336111-F0C4-413F-9CD7-3521BFC401EE}" destId="{785EAA22-A0F7-46A7-B7A9-BC61C25E7D14}" srcOrd="0" destOrd="0" presId="urn:microsoft.com/office/officeart/2008/layout/HorizontalMultiLevelHierarchy"/>
    <dgm:cxn modelId="{7E2EBAF0-512A-455D-BA9B-ED8464643E6E}" type="presParOf" srcId="{D1336111-F0C4-413F-9CD7-3521BFC401EE}" destId="{CCDA473A-FEF6-48D6-A272-0D4D95F7763A}" srcOrd="1" destOrd="0" presId="urn:microsoft.com/office/officeart/2008/layout/HorizontalMultiLevelHierarchy"/>
    <dgm:cxn modelId="{318DC647-8B85-4139-B41E-83BA73A8F900}" type="presParOf" srcId="{CCDA473A-FEF6-48D6-A272-0D4D95F7763A}" destId="{95408C3E-2AC7-4646-BBB7-7EBA5748228A}" srcOrd="0" destOrd="0" presId="urn:microsoft.com/office/officeart/2008/layout/HorizontalMultiLevelHierarchy"/>
    <dgm:cxn modelId="{EFDB706B-1E70-424B-BCEF-3703BE835868}" type="presParOf" srcId="{95408C3E-2AC7-4646-BBB7-7EBA5748228A}" destId="{39CF690C-195F-4750-8148-B33650617E9E}" srcOrd="0" destOrd="0" presId="urn:microsoft.com/office/officeart/2008/layout/HorizontalMultiLevelHierarchy"/>
    <dgm:cxn modelId="{8C9D078D-0585-4D5D-9F05-72F189FB526A}" type="presParOf" srcId="{CCDA473A-FEF6-48D6-A272-0D4D95F7763A}" destId="{350BD2D7-1DF1-4677-B17C-ECBF52F02CA1}" srcOrd="1" destOrd="0" presId="urn:microsoft.com/office/officeart/2008/layout/HorizontalMultiLevelHierarchy"/>
    <dgm:cxn modelId="{B9455554-3358-43E7-A3E3-B4F807A3D247}" type="presParOf" srcId="{350BD2D7-1DF1-4677-B17C-ECBF52F02CA1}" destId="{0533C393-E4FD-4C9E-99F2-69D455CE0B9F}" srcOrd="0" destOrd="0" presId="urn:microsoft.com/office/officeart/2008/layout/HorizontalMultiLevelHierarchy"/>
    <dgm:cxn modelId="{B0F0F9EB-4AA0-4D15-BFAE-0952923AFD33}" type="presParOf" srcId="{350BD2D7-1DF1-4677-B17C-ECBF52F02CA1}" destId="{94C8BC4D-DCE6-4881-9AE4-6C91EACEAFAE}" srcOrd="1" destOrd="0" presId="urn:microsoft.com/office/officeart/2008/layout/HorizontalMultiLevelHierarchy"/>
    <dgm:cxn modelId="{99A6CF7E-C8FE-45BA-93A9-B2D1D1348434}" type="presParOf" srcId="{D2838491-E668-47BD-8DEE-303765964579}" destId="{6CB9CB94-0B34-4C2F-A68F-3946C38DD501}" srcOrd="2" destOrd="0" presId="urn:microsoft.com/office/officeart/2008/layout/HorizontalMultiLevelHierarchy"/>
    <dgm:cxn modelId="{F6A96F3C-4788-455A-B253-890CC9221051}" type="presParOf" srcId="{6CB9CB94-0B34-4C2F-A68F-3946C38DD501}" destId="{CACB4346-D887-4761-BD5B-AF142FC35C46}" srcOrd="0" destOrd="0" presId="urn:microsoft.com/office/officeart/2008/layout/HorizontalMultiLevelHierarchy"/>
    <dgm:cxn modelId="{58D2BF05-FE44-4B9D-A1A1-541D538848D8}" type="presParOf" srcId="{D2838491-E668-47BD-8DEE-303765964579}" destId="{B8B3772A-DF54-4FAD-A9AD-06B9AD46E5FA}" srcOrd="3" destOrd="0" presId="urn:microsoft.com/office/officeart/2008/layout/HorizontalMultiLevelHierarchy"/>
    <dgm:cxn modelId="{1FD31827-2AF0-462B-AAF8-ED37B50D30EA}" type="presParOf" srcId="{B8B3772A-DF54-4FAD-A9AD-06B9AD46E5FA}" destId="{C5D29312-419D-4D6C-9F69-CCF482F637FC}" srcOrd="0" destOrd="0" presId="urn:microsoft.com/office/officeart/2008/layout/HorizontalMultiLevelHierarchy"/>
    <dgm:cxn modelId="{45B1187D-0AAB-419D-8E68-77BA9A1BCE20}" type="presParOf" srcId="{B8B3772A-DF54-4FAD-A9AD-06B9AD46E5FA}" destId="{951ED7DB-5FB0-4284-8226-6AE597243D30}" srcOrd="1" destOrd="0" presId="urn:microsoft.com/office/officeart/2008/layout/HorizontalMultiLevelHierarchy"/>
    <dgm:cxn modelId="{E0F4FBE3-4F08-4AFC-AD5A-5972A6251997}" type="presParOf" srcId="{951ED7DB-5FB0-4284-8226-6AE597243D30}" destId="{781828E7-65B1-4C8A-AF5B-B626CF2B611A}" srcOrd="0" destOrd="0" presId="urn:microsoft.com/office/officeart/2008/layout/HorizontalMultiLevelHierarchy"/>
    <dgm:cxn modelId="{289B724A-0CA2-4DB1-91CC-8A85398EE7B8}" type="presParOf" srcId="{781828E7-65B1-4C8A-AF5B-B626CF2B611A}" destId="{D516F39F-40D8-406E-99CD-3F761AB20E14}" srcOrd="0" destOrd="0" presId="urn:microsoft.com/office/officeart/2008/layout/HorizontalMultiLevelHierarchy"/>
    <dgm:cxn modelId="{D5EE872F-87CD-481F-BDCE-69C33DCFE973}" type="presParOf" srcId="{951ED7DB-5FB0-4284-8226-6AE597243D30}" destId="{A08BE977-17BC-46BA-AFD6-EDB6FD763ED3}" srcOrd="1" destOrd="0" presId="urn:microsoft.com/office/officeart/2008/layout/HorizontalMultiLevelHierarchy"/>
    <dgm:cxn modelId="{3B358431-BCC3-4160-AA47-4E3699EDDEE2}" type="presParOf" srcId="{A08BE977-17BC-46BA-AFD6-EDB6FD763ED3}" destId="{8428A713-31AC-4A50-8A54-4946516CD6D5}" srcOrd="0" destOrd="0" presId="urn:microsoft.com/office/officeart/2008/layout/HorizontalMultiLevelHierarchy"/>
    <dgm:cxn modelId="{1A468F3D-611D-4E7F-B1A4-34E61D1D6E23}" type="presParOf" srcId="{A08BE977-17BC-46BA-AFD6-EDB6FD763ED3}" destId="{14B89C73-4F4F-4361-8E4A-4D48CD182A81}" srcOrd="1" destOrd="0" presId="urn:microsoft.com/office/officeart/2008/layout/HorizontalMultiLevelHierarchy"/>
    <dgm:cxn modelId="{127604A4-0AF7-4404-A360-6E46095E34B1}" type="presParOf" srcId="{14B89C73-4F4F-4361-8E4A-4D48CD182A81}" destId="{E7B2D9D8-C48C-47F5-A7DA-C6F7827E6DFE}" srcOrd="0" destOrd="0" presId="urn:microsoft.com/office/officeart/2008/layout/HorizontalMultiLevelHierarchy"/>
    <dgm:cxn modelId="{C3FE6E39-F60C-4E78-B641-E95D46A330CB}" type="presParOf" srcId="{E7B2D9D8-C48C-47F5-A7DA-C6F7827E6DFE}" destId="{6C130A71-489E-47B6-822F-41686E498304}" srcOrd="0" destOrd="0" presId="urn:microsoft.com/office/officeart/2008/layout/HorizontalMultiLevelHierarchy"/>
    <dgm:cxn modelId="{312E86B0-353A-4C8B-9568-D56DBB89EDCB}" type="presParOf" srcId="{14B89C73-4F4F-4361-8E4A-4D48CD182A81}" destId="{C31B0CE8-6FFE-4681-A487-A0DE1FA30110}" srcOrd="1" destOrd="0" presId="urn:microsoft.com/office/officeart/2008/layout/HorizontalMultiLevelHierarchy"/>
    <dgm:cxn modelId="{DF740008-35EC-4367-BBF4-BE98E3616545}" type="presParOf" srcId="{C31B0CE8-6FFE-4681-A487-A0DE1FA30110}" destId="{D8F269C6-6AA4-4ADF-9601-1AD29DFABECF}" srcOrd="0" destOrd="0" presId="urn:microsoft.com/office/officeart/2008/layout/HorizontalMultiLevelHierarchy"/>
    <dgm:cxn modelId="{AD543B15-8E39-43B9-B95C-4808181209E2}" type="presParOf" srcId="{C31B0CE8-6FFE-4681-A487-A0DE1FA30110}" destId="{751CF2CD-1147-46E4-923D-D1107D19FC68}" srcOrd="1" destOrd="0" presId="urn:microsoft.com/office/officeart/2008/layout/HorizontalMultiLevelHierarchy"/>
    <dgm:cxn modelId="{BA2B859C-2A51-4EC4-8422-A6EB7F012919}" type="presParOf" srcId="{751CF2CD-1147-46E4-923D-D1107D19FC68}" destId="{7F27EE02-D6F8-4CF9-A7FD-072D87AA11DA}" srcOrd="0" destOrd="0" presId="urn:microsoft.com/office/officeart/2008/layout/HorizontalMultiLevelHierarchy"/>
    <dgm:cxn modelId="{1CD499EB-60DA-4EB2-BAB7-A65DDC71EC5A}" type="presParOf" srcId="{7F27EE02-D6F8-4CF9-A7FD-072D87AA11DA}" destId="{7D82D2CA-6082-484C-A253-2E53456FB04E}" srcOrd="0" destOrd="0" presId="urn:microsoft.com/office/officeart/2008/layout/HorizontalMultiLevelHierarchy"/>
    <dgm:cxn modelId="{F16AE77B-006B-4F80-893F-01306BEA3CEB}" type="presParOf" srcId="{751CF2CD-1147-46E4-923D-D1107D19FC68}" destId="{7415FA9D-B114-49BD-B6BA-C230B3A559DD}" srcOrd="1" destOrd="0" presId="urn:microsoft.com/office/officeart/2008/layout/HorizontalMultiLevelHierarchy"/>
    <dgm:cxn modelId="{E902C4B2-8057-416A-8484-78A1A4233882}" type="presParOf" srcId="{7415FA9D-B114-49BD-B6BA-C230B3A559DD}" destId="{876C16CA-C2EB-4CF9-A422-744417B08451}" srcOrd="0" destOrd="0" presId="urn:microsoft.com/office/officeart/2008/layout/HorizontalMultiLevelHierarchy"/>
    <dgm:cxn modelId="{2457C6A1-0803-4704-9EDF-3622B29DA9DD}" type="presParOf" srcId="{7415FA9D-B114-49BD-B6BA-C230B3A559DD}" destId="{5E68B8DA-6AE7-4017-A8FA-8EFAC0047AB0}" srcOrd="1" destOrd="0" presId="urn:microsoft.com/office/officeart/2008/layout/HorizontalMultiLevelHierarchy"/>
    <dgm:cxn modelId="{63BB43CF-B5B0-4F00-A2A2-4B275DEA44E9}" type="presParOf" srcId="{14B89C73-4F4F-4361-8E4A-4D48CD182A81}" destId="{719791DA-E3C5-48F1-B609-5307CAB17B58}" srcOrd="2" destOrd="0" presId="urn:microsoft.com/office/officeart/2008/layout/HorizontalMultiLevelHierarchy"/>
    <dgm:cxn modelId="{64FAF1BF-DBC0-44DD-A931-D0877A279F9F}" type="presParOf" srcId="{719791DA-E3C5-48F1-B609-5307CAB17B58}" destId="{4052D614-35A4-4CB5-9691-D60CFB0C595E}" srcOrd="0" destOrd="0" presId="urn:microsoft.com/office/officeart/2008/layout/HorizontalMultiLevelHierarchy"/>
    <dgm:cxn modelId="{FAB218A2-ECD2-4134-80E8-3BE8FBB51554}" type="presParOf" srcId="{14B89C73-4F4F-4361-8E4A-4D48CD182A81}" destId="{2CF85534-B30B-4CCF-9512-2F0A7075174B}" srcOrd="3" destOrd="0" presId="urn:microsoft.com/office/officeart/2008/layout/HorizontalMultiLevelHierarchy"/>
    <dgm:cxn modelId="{01DCFF4E-0738-4D94-A3AD-34688491EA52}" type="presParOf" srcId="{2CF85534-B30B-4CCF-9512-2F0A7075174B}" destId="{6A332753-4974-4E88-A4F6-6FA392DCE72C}" srcOrd="0" destOrd="0" presId="urn:microsoft.com/office/officeart/2008/layout/HorizontalMultiLevelHierarchy"/>
    <dgm:cxn modelId="{B9ADBC27-B272-420D-A827-6020C810CB83}" type="presParOf" srcId="{2CF85534-B30B-4CCF-9512-2F0A7075174B}" destId="{4C42788F-CAAB-4722-AD0C-91DA6042DCDF}" srcOrd="1" destOrd="0" presId="urn:microsoft.com/office/officeart/2008/layout/HorizontalMultiLevelHierarchy"/>
    <dgm:cxn modelId="{265F9C87-AFFB-4414-BB90-13F9F384FAF9}" type="presParOf" srcId="{4C42788F-CAAB-4722-AD0C-91DA6042DCDF}" destId="{922928B4-E0DE-4739-83BD-92B2416EE5BA}" srcOrd="0" destOrd="0" presId="urn:microsoft.com/office/officeart/2008/layout/HorizontalMultiLevelHierarchy"/>
    <dgm:cxn modelId="{A499418C-627E-494E-B4BC-6441D1F39139}" type="presParOf" srcId="{922928B4-E0DE-4739-83BD-92B2416EE5BA}" destId="{75A18499-330F-49CE-808A-E666E8481958}" srcOrd="0" destOrd="0" presId="urn:microsoft.com/office/officeart/2008/layout/HorizontalMultiLevelHierarchy"/>
    <dgm:cxn modelId="{117AB80F-9321-4F44-9CEF-1DA4F9E9C20A}" type="presParOf" srcId="{4C42788F-CAAB-4722-AD0C-91DA6042DCDF}" destId="{E9C52DDC-7F88-48D2-BC16-1AB1FE71C1DC}" srcOrd="1" destOrd="0" presId="urn:microsoft.com/office/officeart/2008/layout/HorizontalMultiLevelHierarchy"/>
    <dgm:cxn modelId="{BAF4F5D1-D2A4-4525-80D5-D1958EED80EF}" type="presParOf" srcId="{E9C52DDC-7F88-48D2-BC16-1AB1FE71C1DC}" destId="{DF7CC7FD-777E-4EAE-9F64-08A7E13169D3}" srcOrd="0" destOrd="0" presId="urn:microsoft.com/office/officeart/2008/layout/HorizontalMultiLevelHierarchy"/>
    <dgm:cxn modelId="{99892893-8749-4687-AFFD-0A18ADBCBB37}" type="presParOf" srcId="{E9C52DDC-7F88-48D2-BC16-1AB1FE71C1DC}" destId="{DD7D8813-DD49-4048-90DD-1606D073EA77}" srcOrd="1" destOrd="0" presId="urn:microsoft.com/office/officeart/2008/layout/HorizontalMultiLevelHierarchy"/>
    <dgm:cxn modelId="{9BD11FF6-7136-466A-B60E-D61941F7757E}" type="presParOf" srcId="{DD7D8813-DD49-4048-90DD-1606D073EA77}" destId="{C1753E0C-79F8-4F61-B7C0-1D4DBAC15B46}" srcOrd="0" destOrd="0" presId="urn:microsoft.com/office/officeart/2008/layout/HorizontalMultiLevelHierarchy"/>
    <dgm:cxn modelId="{09FA570E-295C-4A9F-848E-455085AA5377}" type="presParOf" srcId="{C1753E0C-79F8-4F61-B7C0-1D4DBAC15B46}" destId="{98D2F9A7-7B4A-4FDA-9176-40FBC76B0FC0}" srcOrd="0" destOrd="0" presId="urn:microsoft.com/office/officeart/2008/layout/HorizontalMultiLevelHierarchy"/>
    <dgm:cxn modelId="{5A23479E-B6A7-4B08-B774-C308FDDADA34}" type="presParOf" srcId="{DD7D8813-DD49-4048-90DD-1606D073EA77}" destId="{2AA05A13-215C-4E18-9B82-4D89463BD7C2}" srcOrd="1" destOrd="0" presId="urn:microsoft.com/office/officeart/2008/layout/HorizontalMultiLevelHierarchy"/>
    <dgm:cxn modelId="{801F948A-FA61-432F-9074-E47D5E2ACC44}" type="presParOf" srcId="{2AA05A13-215C-4E18-9B82-4D89463BD7C2}" destId="{6A38651E-E3C1-4F28-9F76-39B924F3C1BE}" srcOrd="0" destOrd="0" presId="urn:microsoft.com/office/officeart/2008/layout/HorizontalMultiLevelHierarchy"/>
    <dgm:cxn modelId="{8ADD2333-3003-4942-B6AA-36558CE9513F}" type="presParOf" srcId="{2AA05A13-215C-4E18-9B82-4D89463BD7C2}" destId="{59772578-9657-4802-8EE4-63BD33E10EF3}" srcOrd="1" destOrd="0" presId="urn:microsoft.com/office/officeart/2008/layout/HorizontalMultiLevelHierarchy"/>
    <dgm:cxn modelId="{0081BDDE-CDE9-4D99-B2A7-8F00084375A1}" type="presParOf" srcId="{59772578-9657-4802-8EE4-63BD33E10EF3}" destId="{B4AF9556-271A-478B-A007-CB8B80E87BC9}" srcOrd="0" destOrd="0" presId="urn:microsoft.com/office/officeart/2008/layout/HorizontalMultiLevelHierarchy"/>
    <dgm:cxn modelId="{E7FC9086-2234-4659-AE48-EA0B9ACECB95}" type="presParOf" srcId="{B4AF9556-271A-478B-A007-CB8B80E87BC9}" destId="{7CCC356F-9D0D-4B99-BEED-0EF4D0EA2B04}" srcOrd="0" destOrd="0" presId="urn:microsoft.com/office/officeart/2008/layout/HorizontalMultiLevelHierarchy"/>
    <dgm:cxn modelId="{C6E5B594-05A9-4BB3-808E-AA40FD02A3E7}" type="presParOf" srcId="{59772578-9657-4802-8EE4-63BD33E10EF3}" destId="{18A5CDEE-9B78-4D89-A314-C5713666B953}" srcOrd="1" destOrd="0" presId="urn:microsoft.com/office/officeart/2008/layout/HorizontalMultiLevelHierarchy"/>
    <dgm:cxn modelId="{740C6899-104C-4B3E-A55E-464EB65F4694}" type="presParOf" srcId="{18A5CDEE-9B78-4D89-A314-C5713666B953}" destId="{CB752406-FDDA-494A-B48E-BA2740977EEE}" srcOrd="0" destOrd="0" presId="urn:microsoft.com/office/officeart/2008/layout/HorizontalMultiLevelHierarchy"/>
    <dgm:cxn modelId="{FDC906AF-F2D8-4B83-950F-62C119BA3ED2}" type="presParOf" srcId="{18A5CDEE-9B78-4D89-A314-C5713666B953}" destId="{B909D01E-922C-4B78-AE7E-03033FDE57ED}" srcOrd="1" destOrd="0" presId="urn:microsoft.com/office/officeart/2008/layout/HorizontalMultiLevelHierarchy"/>
    <dgm:cxn modelId="{E1B864EE-FB4A-499D-A206-A1C007EDCB1A}" type="presParOf" srcId="{DD7D8813-DD49-4048-90DD-1606D073EA77}" destId="{52D1175D-0D8F-45B3-BB1D-8591E51AB3BE}" srcOrd="2" destOrd="0" presId="urn:microsoft.com/office/officeart/2008/layout/HorizontalMultiLevelHierarchy"/>
    <dgm:cxn modelId="{78A135A0-7728-4987-8B9B-316403875645}" type="presParOf" srcId="{52D1175D-0D8F-45B3-BB1D-8591E51AB3BE}" destId="{D0DD006D-85F0-4DCE-BA71-F5AE76632241}" srcOrd="0" destOrd="0" presId="urn:microsoft.com/office/officeart/2008/layout/HorizontalMultiLevelHierarchy"/>
    <dgm:cxn modelId="{28797531-E218-4358-B577-A10D55C24009}" type="presParOf" srcId="{DD7D8813-DD49-4048-90DD-1606D073EA77}" destId="{E094E931-AFD4-4DB5-87A6-E62C63592CDA}" srcOrd="3" destOrd="0" presId="urn:microsoft.com/office/officeart/2008/layout/HorizontalMultiLevelHierarchy"/>
    <dgm:cxn modelId="{876617F3-8026-4937-91B2-271FE8283E33}" type="presParOf" srcId="{E094E931-AFD4-4DB5-87A6-E62C63592CDA}" destId="{0E262E9C-A2BC-4819-9654-FEE996810B88}" srcOrd="0" destOrd="0" presId="urn:microsoft.com/office/officeart/2008/layout/HorizontalMultiLevelHierarchy"/>
    <dgm:cxn modelId="{875C1364-401A-4440-85B9-AFAC90BC4B47}" type="presParOf" srcId="{E094E931-AFD4-4DB5-87A6-E62C63592CDA}" destId="{B29504AB-C94C-4D1C-8C88-5EA014804E18}" srcOrd="1" destOrd="0" presId="urn:microsoft.com/office/officeart/2008/layout/HorizontalMultiLevelHierarchy"/>
    <dgm:cxn modelId="{07C32BDC-2897-48F8-9CC6-171EB6E0FCE0}" type="presParOf" srcId="{B29504AB-C94C-4D1C-8C88-5EA014804E18}" destId="{3825E75C-E3DE-414F-B678-702B83328E8C}" srcOrd="0" destOrd="0" presId="urn:microsoft.com/office/officeart/2008/layout/HorizontalMultiLevelHierarchy"/>
    <dgm:cxn modelId="{3F3A9C65-E252-4B49-8034-AC11A5BE872A}" type="presParOf" srcId="{3825E75C-E3DE-414F-B678-702B83328E8C}" destId="{289DC876-FE87-4420-AA37-E5A4CBA4FB71}" srcOrd="0" destOrd="0" presId="urn:microsoft.com/office/officeart/2008/layout/HorizontalMultiLevelHierarchy"/>
    <dgm:cxn modelId="{792A6E5A-5C74-49A4-953F-78D994B718FE}" type="presParOf" srcId="{B29504AB-C94C-4D1C-8C88-5EA014804E18}" destId="{C9FA12BF-394B-4098-82EC-C58A52144EE2}" srcOrd="1" destOrd="0" presId="urn:microsoft.com/office/officeart/2008/layout/HorizontalMultiLevelHierarchy"/>
    <dgm:cxn modelId="{9B3DFBF7-3BB3-40C3-BEC9-1A49CD5BDE1E}" type="presParOf" srcId="{C9FA12BF-394B-4098-82EC-C58A52144EE2}" destId="{33E09201-AE67-4028-99BC-55AC26DBEB8B}" srcOrd="0" destOrd="0" presId="urn:microsoft.com/office/officeart/2008/layout/HorizontalMultiLevelHierarchy"/>
    <dgm:cxn modelId="{F4E9342F-2381-4DD5-B4E1-E189BAAE210C}" type="presParOf" srcId="{C9FA12BF-394B-4098-82EC-C58A52144EE2}" destId="{FEC22923-FFE4-495C-82C4-D975E5CCF1CF}" srcOrd="1" destOrd="0" presId="urn:microsoft.com/office/officeart/2008/layout/HorizontalMultiLevelHierarchy"/>
    <dgm:cxn modelId="{CE079273-2FC9-4B63-8B2B-3EED8E8A6EAF}" type="presParOf" srcId="{951ED7DB-5FB0-4284-8226-6AE597243D30}" destId="{9F8FAAD5-75BD-4265-A50B-D75E35704651}" srcOrd="2" destOrd="0" presId="urn:microsoft.com/office/officeart/2008/layout/HorizontalMultiLevelHierarchy"/>
    <dgm:cxn modelId="{5097FE4A-E6D8-421E-873C-75E44480FE32}" type="presParOf" srcId="{9F8FAAD5-75BD-4265-A50B-D75E35704651}" destId="{1041FCD6-00DA-4C4C-B87E-C8903B95DE89}" srcOrd="0" destOrd="0" presId="urn:microsoft.com/office/officeart/2008/layout/HorizontalMultiLevelHierarchy"/>
    <dgm:cxn modelId="{F862C061-5F29-44AB-96D7-D3D25F40149E}" type="presParOf" srcId="{951ED7DB-5FB0-4284-8226-6AE597243D30}" destId="{FC41EF9E-ED6A-412D-97D0-EE9D5D095917}" srcOrd="3" destOrd="0" presId="urn:microsoft.com/office/officeart/2008/layout/HorizontalMultiLevelHierarchy"/>
    <dgm:cxn modelId="{4C5B5D63-75CA-41BD-9F04-ED7DE0DDD7CB}" type="presParOf" srcId="{FC41EF9E-ED6A-412D-97D0-EE9D5D095917}" destId="{96FD22AA-BCAE-4D73-BD52-F31BEFFF97BE}" srcOrd="0" destOrd="0" presId="urn:microsoft.com/office/officeart/2008/layout/HorizontalMultiLevelHierarchy"/>
    <dgm:cxn modelId="{80041AA0-EEED-47CC-9A45-B7F0CE0942D8}" type="presParOf" srcId="{FC41EF9E-ED6A-412D-97D0-EE9D5D095917}" destId="{29228E99-5FD7-4272-AA6F-80BB6DE439BF}" srcOrd="1" destOrd="0" presId="urn:microsoft.com/office/officeart/2008/layout/HorizontalMultiLevelHierarchy"/>
    <dgm:cxn modelId="{1EDE57F4-6A40-44E2-962B-22F35F54D469}" type="presParOf" srcId="{29228E99-5FD7-4272-AA6F-80BB6DE439BF}" destId="{15740A67-424D-47D3-A97D-D18540D2E09C}" srcOrd="0" destOrd="0" presId="urn:microsoft.com/office/officeart/2008/layout/HorizontalMultiLevelHierarchy"/>
    <dgm:cxn modelId="{B7CBAADD-7611-494D-A108-28BD97564901}" type="presParOf" srcId="{15740A67-424D-47D3-A97D-D18540D2E09C}" destId="{12DF6F47-2764-48FE-93BE-24AF1DFF1126}" srcOrd="0" destOrd="0" presId="urn:microsoft.com/office/officeart/2008/layout/HorizontalMultiLevelHierarchy"/>
    <dgm:cxn modelId="{54F7812A-4DBF-46D1-8B89-48CB98D6B5C5}" type="presParOf" srcId="{29228E99-5FD7-4272-AA6F-80BB6DE439BF}" destId="{77F3D93F-6AAB-46A7-BE13-0BC9D000F177}" srcOrd="1" destOrd="0" presId="urn:microsoft.com/office/officeart/2008/layout/HorizontalMultiLevelHierarchy"/>
    <dgm:cxn modelId="{60350CF8-6D51-46FD-B803-643CC28D45CE}" type="presParOf" srcId="{77F3D93F-6AAB-46A7-BE13-0BC9D000F177}" destId="{E2D69D77-3FDB-4CE5-9A0C-B4F2F9CCCAC0}" srcOrd="0" destOrd="0" presId="urn:microsoft.com/office/officeart/2008/layout/HorizontalMultiLevelHierarchy"/>
    <dgm:cxn modelId="{8F795A7B-3057-4450-9783-B7997D4AD57B}" type="presParOf" srcId="{77F3D93F-6AAB-46A7-BE13-0BC9D000F177}" destId="{94E4BC1F-D833-419A-931C-67634876E612}" srcOrd="1" destOrd="0" presId="urn:microsoft.com/office/officeart/2008/layout/HorizontalMultiLevelHierarchy"/>
    <dgm:cxn modelId="{8C3EB643-3FAF-48FF-AD12-4CCE2CAB2725}" type="presParOf" srcId="{94E4BC1F-D833-419A-931C-67634876E612}" destId="{9D2603AF-16DF-408E-BD33-E1961223128C}" srcOrd="0" destOrd="0" presId="urn:microsoft.com/office/officeart/2008/layout/HorizontalMultiLevelHierarchy"/>
    <dgm:cxn modelId="{221EF84D-7E14-43B9-AA13-7182CF32056A}" type="presParOf" srcId="{9D2603AF-16DF-408E-BD33-E1961223128C}" destId="{932E1040-9660-4993-BC4B-C26D5E5E0522}" srcOrd="0" destOrd="0" presId="urn:microsoft.com/office/officeart/2008/layout/HorizontalMultiLevelHierarchy"/>
    <dgm:cxn modelId="{788796D2-0668-4190-A52A-6B4F983D44FC}" type="presParOf" srcId="{94E4BC1F-D833-419A-931C-67634876E612}" destId="{E070771D-B4CF-42D4-A0B2-43CF8164C3A7}" srcOrd="1" destOrd="0" presId="urn:microsoft.com/office/officeart/2008/layout/HorizontalMultiLevelHierarchy"/>
    <dgm:cxn modelId="{59133EDA-D890-4446-AD04-8389B69AE1CF}" type="presParOf" srcId="{E070771D-B4CF-42D4-A0B2-43CF8164C3A7}" destId="{332CD6FD-F514-4913-8487-34CBAC4401DB}" srcOrd="0" destOrd="0" presId="urn:microsoft.com/office/officeart/2008/layout/HorizontalMultiLevelHierarchy"/>
    <dgm:cxn modelId="{DFA02814-CFBA-444C-A43D-FE1C22434130}" type="presParOf" srcId="{E070771D-B4CF-42D4-A0B2-43CF8164C3A7}" destId="{8B182EC2-C8CE-405B-BA85-A1A00669EA1B}" srcOrd="1" destOrd="0" presId="urn:microsoft.com/office/officeart/2008/layout/HorizontalMultiLevelHierarchy"/>
    <dgm:cxn modelId="{EA9A185F-62AA-413C-98F1-6B8ED7EDC2BD}" type="presParOf" srcId="{8B182EC2-C8CE-405B-BA85-A1A00669EA1B}" destId="{E0A77623-9018-4D55-A72F-2BC81879F6BD}" srcOrd="0" destOrd="0" presId="urn:microsoft.com/office/officeart/2008/layout/HorizontalMultiLevelHierarchy"/>
    <dgm:cxn modelId="{0B1BD9C0-2834-44C6-9456-6C971287DFDA}" type="presParOf" srcId="{E0A77623-9018-4D55-A72F-2BC81879F6BD}" destId="{E7484E0D-0263-451E-920D-3041ADB784A7}" srcOrd="0" destOrd="0" presId="urn:microsoft.com/office/officeart/2008/layout/HorizontalMultiLevelHierarchy"/>
    <dgm:cxn modelId="{D09E896F-CD39-4593-994F-BACCA0B4C1B0}" type="presParOf" srcId="{8B182EC2-C8CE-405B-BA85-A1A00669EA1B}" destId="{5C2D709D-F48D-42E7-B7C5-99ECEA282AB6}" srcOrd="1" destOrd="0" presId="urn:microsoft.com/office/officeart/2008/layout/HorizontalMultiLevelHierarchy"/>
    <dgm:cxn modelId="{7431D25C-62B6-4184-8270-C705403F7D51}" type="presParOf" srcId="{5C2D709D-F48D-42E7-B7C5-99ECEA282AB6}" destId="{ED598474-17B0-4A45-AB93-1FA81B28DE65}" srcOrd="0" destOrd="0" presId="urn:microsoft.com/office/officeart/2008/layout/HorizontalMultiLevelHierarchy"/>
    <dgm:cxn modelId="{A8969FEA-B45D-46EB-9391-F4A11258325C}" type="presParOf" srcId="{5C2D709D-F48D-42E7-B7C5-99ECEA282AB6}" destId="{555F33CF-5EAC-4AE3-876E-B79E20530E44}" srcOrd="1" destOrd="0" presId="urn:microsoft.com/office/officeart/2008/layout/HorizontalMultiLevelHierarchy"/>
    <dgm:cxn modelId="{2346B214-78C4-4068-A238-06F672531C54}" type="presParOf" srcId="{94E4BC1F-D833-419A-931C-67634876E612}" destId="{773F3BFA-B4BA-4F0F-B37A-8EFB355C2E23}" srcOrd="2" destOrd="0" presId="urn:microsoft.com/office/officeart/2008/layout/HorizontalMultiLevelHierarchy"/>
    <dgm:cxn modelId="{14D08E88-E02E-4E67-A368-F01D1F43E820}" type="presParOf" srcId="{773F3BFA-B4BA-4F0F-B37A-8EFB355C2E23}" destId="{BE3748D9-4237-4CE0-846D-3F96F8CA25EB}" srcOrd="0" destOrd="0" presId="urn:microsoft.com/office/officeart/2008/layout/HorizontalMultiLevelHierarchy"/>
    <dgm:cxn modelId="{7F94DA52-EE90-4359-ABBA-6557BCCD05CD}" type="presParOf" srcId="{94E4BC1F-D833-419A-931C-67634876E612}" destId="{3A299980-8C80-4D64-BF8C-B645E6946B41}" srcOrd="3" destOrd="0" presId="urn:microsoft.com/office/officeart/2008/layout/HorizontalMultiLevelHierarchy"/>
    <dgm:cxn modelId="{83A134B5-F672-4AA7-A548-C0AD8EADDD02}" type="presParOf" srcId="{3A299980-8C80-4D64-BF8C-B645E6946B41}" destId="{B1A3D01D-5D83-4E4F-91F7-25A9CE022DB4}" srcOrd="0" destOrd="0" presId="urn:microsoft.com/office/officeart/2008/layout/HorizontalMultiLevelHierarchy"/>
    <dgm:cxn modelId="{319F9D77-42F1-4A13-A6F1-222849973D44}" type="presParOf" srcId="{3A299980-8C80-4D64-BF8C-B645E6946B41}" destId="{7AB8EBAA-D18E-4CDC-92C8-775BA7BBBBC5}" srcOrd="1" destOrd="0" presId="urn:microsoft.com/office/officeart/2008/layout/HorizontalMultiLevelHierarchy"/>
    <dgm:cxn modelId="{956B2715-2CF7-4CB9-A3BD-9F47AE4D77FA}" type="presParOf" srcId="{7AB8EBAA-D18E-4CDC-92C8-775BA7BBBBC5}" destId="{FB48AC59-8C5F-4B96-B0F5-3CFD4566CD6C}" srcOrd="0" destOrd="0" presId="urn:microsoft.com/office/officeart/2008/layout/HorizontalMultiLevelHierarchy"/>
    <dgm:cxn modelId="{777F527B-F094-46C8-BA8D-FD38CC57882B}" type="presParOf" srcId="{FB48AC59-8C5F-4B96-B0F5-3CFD4566CD6C}" destId="{3ADAF7E5-F18F-4A4E-98A0-93132C6244AA}" srcOrd="0" destOrd="0" presId="urn:microsoft.com/office/officeart/2008/layout/HorizontalMultiLevelHierarchy"/>
    <dgm:cxn modelId="{ABC00E3C-1FC2-465D-9704-A8E71789481E}" type="presParOf" srcId="{7AB8EBAA-D18E-4CDC-92C8-775BA7BBBBC5}" destId="{DEA4FB49-9C30-4AAC-AE32-B942492F7A0D}" srcOrd="1" destOrd="0" presId="urn:microsoft.com/office/officeart/2008/layout/HorizontalMultiLevelHierarchy"/>
    <dgm:cxn modelId="{D86D619E-FA68-4713-ABC3-6E1CC28DFD75}" type="presParOf" srcId="{DEA4FB49-9C30-4AAC-AE32-B942492F7A0D}" destId="{20C8A092-E5BC-499C-B67C-EA9895A9036F}" srcOrd="0" destOrd="0" presId="urn:microsoft.com/office/officeart/2008/layout/HorizontalMultiLevelHierarchy"/>
    <dgm:cxn modelId="{AC57FC72-5272-47F0-B2C5-B1AAA3A6A5E2}" type="presParOf" srcId="{DEA4FB49-9C30-4AAC-AE32-B942492F7A0D}" destId="{C5A23DA0-605D-475F-B8EF-03BEBAE243D2}" srcOrd="1" destOrd="0" presId="urn:microsoft.com/office/officeart/2008/layout/HorizontalMultiLevelHierarchy"/>
    <dgm:cxn modelId="{2083F4EC-D279-44E0-8C3D-1F6C29B16BD1}" type="presParOf" srcId="{E90A4AD4-E1E1-4704-BB8E-CCE6FB7376DB}" destId="{BC7419B8-8DBA-4679-A6EF-A98B84B2D6AA}" srcOrd="2" destOrd="0" presId="urn:microsoft.com/office/officeart/2008/layout/HorizontalMultiLevelHierarchy"/>
    <dgm:cxn modelId="{B125357C-66E1-4FCB-A15E-418063E40B79}" type="presParOf" srcId="{BC7419B8-8DBA-4679-A6EF-A98B84B2D6AA}" destId="{3A34C636-E50D-482D-A866-32298A53FAE7}" srcOrd="0" destOrd="0" presId="urn:microsoft.com/office/officeart/2008/layout/HorizontalMultiLevelHierarchy"/>
    <dgm:cxn modelId="{41D1B064-D907-41DA-8D96-C6F910A60306}" type="presParOf" srcId="{E90A4AD4-E1E1-4704-BB8E-CCE6FB7376DB}" destId="{3F055D51-4436-4300-8D5E-45714751CD64}" srcOrd="3" destOrd="0" presId="urn:microsoft.com/office/officeart/2008/layout/HorizontalMultiLevelHierarchy"/>
    <dgm:cxn modelId="{9CA4B095-0F77-418D-A482-782C72FA65E1}" type="presParOf" srcId="{3F055D51-4436-4300-8D5E-45714751CD64}" destId="{8E9C1CDC-297F-4774-AAEE-273E7DD2691C}" srcOrd="0" destOrd="0" presId="urn:microsoft.com/office/officeart/2008/layout/HorizontalMultiLevelHierarchy"/>
    <dgm:cxn modelId="{1A6E8F82-8330-488E-B5D6-DF5BF7F8BB3B}" type="presParOf" srcId="{3F055D51-4436-4300-8D5E-45714751CD64}" destId="{CA826E38-08DE-489C-868D-CB72B1E9CE0D}" srcOrd="1" destOrd="0" presId="urn:microsoft.com/office/officeart/2008/layout/HorizontalMultiLevelHierarchy"/>
    <dgm:cxn modelId="{C170DE90-5487-4D01-8146-33E177D1C518}" type="presParOf" srcId="{CA826E38-08DE-489C-868D-CB72B1E9CE0D}" destId="{2FCA7815-8D76-4883-B5D9-1DC1473A3EE7}" srcOrd="0" destOrd="0" presId="urn:microsoft.com/office/officeart/2008/layout/HorizontalMultiLevelHierarchy"/>
    <dgm:cxn modelId="{B84E6115-2051-4DD7-94DB-CF39BA737389}" type="presParOf" srcId="{2FCA7815-8D76-4883-B5D9-1DC1473A3EE7}" destId="{BCC57E43-9314-4D4D-8849-B40C1DD425DC}" srcOrd="0" destOrd="0" presId="urn:microsoft.com/office/officeart/2008/layout/HorizontalMultiLevelHierarchy"/>
    <dgm:cxn modelId="{A7CEF571-DF1F-4032-AEE4-3C9BE760A5B9}" type="presParOf" srcId="{CA826E38-08DE-489C-868D-CB72B1E9CE0D}" destId="{5E2399AB-E1A0-45A4-839E-1C74BF2C46BF}" srcOrd="1" destOrd="0" presId="urn:microsoft.com/office/officeart/2008/layout/HorizontalMultiLevelHierarchy"/>
    <dgm:cxn modelId="{2672D7D9-B7B2-4D18-B287-C71440CC4B52}" type="presParOf" srcId="{5E2399AB-E1A0-45A4-839E-1C74BF2C46BF}" destId="{A2BEBB3A-8AED-4E93-AC19-BB0C5F00A554}" srcOrd="0" destOrd="0" presId="urn:microsoft.com/office/officeart/2008/layout/HorizontalMultiLevelHierarchy"/>
    <dgm:cxn modelId="{04B90864-1604-40B8-BFC7-75C0358371F1}" type="presParOf" srcId="{5E2399AB-E1A0-45A4-839E-1C74BF2C46BF}" destId="{905D7880-2655-4BE1-9062-8A85E967585D}" srcOrd="1" destOrd="0" presId="urn:microsoft.com/office/officeart/2008/layout/HorizontalMultiLevelHierarchy"/>
    <dgm:cxn modelId="{B3CA3F9C-6E1C-4464-8B8F-7029E521BC4F}" type="presParOf" srcId="{D318436A-2664-4936-B2B7-94A677B7D33A}" destId="{6EB05251-8F33-45C2-A517-FB548D28E504}" srcOrd="1" destOrd="0" presId="urn:microsoft.com/office/officeart/2008/layout/HorizontalMultiLevelHierarchy"/>
    <dgm:cxn modelId="{D203B724-2DDC-4CB3-B174-E41159104405}" type="presParOf" srcId="{6EB05251-8F33-45C2-A517-FB548D28E504}" destId="{1B980CCE-73AC-4C98-8E53-6EFDC60F2072}" srcOrd="0" destOrd="0" presId="urn:microsoft.com/office/officeart/2008/layout/HorizontalMultiLevelHierarchy"/>
    <dgm:cxn modelId="{9E6CE104-D5BA-488E-9772-E202130991C1}" type="presParOf" srcId="{6EB05251-8F33-45C2-A517-FB548D28E504}" destId="{70E89420-C1E6-4CF8-9EDA-AAC3401CB612}" srcOrd="1" destOrd="0" presId="urn:microsoft.com/office/officeart/2008/layout/HorizontalMultiLevelHierarchy"/>
    <dgm:cxn modelId="{09EEA774-A0AD-42DB-87A7-718423D41BEC}" type="presParOf" srcId="{70E89420-C1E6-4CF8-9EDA-AAC3401CB612}" destId="{D1849742-9FAF-4D61-853D-1204E4628A67}" srcOrd="0" destOrd="0" presId="urn:microsoft.com/office/officeart/2008/layout/HorizontalMultiLevelHierarchy"/>
    <dgm:cxn modelId="{27B87543-3D5F-4E79-BAE1-3121DDCD8E1E}" type="presParOf" srcId="{D1849742-9FAF-4D61-853D-1204E4628A67}" destId="{690FD209-E181-4A9E-B043-5240FB8473C1}" srcOrd="0" destOrd="0" presId="urn:microsoft.com/office/officeart/2008/layout/HorizontalMultiLevelHierarchy"/>
    <dgm:cxn modelId="{424264A1-3A9E-4080-BFC1-04413A7470ED}" type="presParOf" srcId="{70E89420-C1E6-4CF8-9EDA-AAC3401CB612}" destId="{4E9FC03A-F7B2-40C3-941D-ED56E8E846C8}" srcOrd="1" destOrd="0" presId="urn:microsoft.com/office/officeart/2008/layout/HorizontalMultiLevelHierarchy"/>
    <dgm:cxn modelId="{6897A4CF-05D8-4341-8BE5-621794DFEC7D}" type="presParOf" srcId="{4E9FC03A-F7B2-40C3-941D-ED56E8E846C8}" destId="{FCE2A0C5-5DE9-449D-92E1-3C97D4EED906}" srcOrd="0" destOrd="0" presId="urn:microsoft.com/office/officeart/2008/layout/HorizontalMultiLevelHierarchy"/>
    <dgm:cxn modelId="{8EF8AEDF-9C53-4709-BAF7-66B8FD7F3EF2}" type="presParOf" srcId="{4E9FC03A-F7B2-40C3-941D-ED56E8E846C8}" destId="{2BC0EE69-3BBB-4B0D-8688-4272F03A95C6}" srcOrd="1" destOrd="0" presId="urn:microsoft.com/office/officeart/2008/layout/HorizontalMultiLevelHierarchy"/>
    <dgm:cxn modelId="{8A64816A-3530-4380-8437-F43D00CD43AC}" type="presParOf" srcId="{2BC0EE69-3BBB-4B0D-8688-4272F03A95C6}" destId="{8F7273BC-E7FB-4729-BDCB-2ACCB51DFB29}" srcOrd="0" destOrd="0" presId="urn:microsoft.com/office/officeart/2008/layout/HorizontalMultiLevelHierarchy"/>
    <dgm:cxn modelId="{D648B19F-C9D2-420B-A43B-4C3D818CB63F}" type="presParOf" srcId="{8F7273BC-E7FB-4729-BDCB-2ACCB51DFB29}" destId="{73399A1C-AE93-49E5-9FAE-4BFC19565A8E}" srcOrd="0" destOrd="0" presId="urn:microsoft.com/office/officeart/2008/layout/HorizontalMultiLevelHierarchy"/>
    <dgm:cxn modelId="{51F04136-0C73-4FC8-B0EA-A2949DBC729B}" type="presParOf" srcId="{2BC0EE69-3BBB-4B0D-8688-4272F03A95C6}" destId="{0ADE68EF-4AB3-471A-AF16-E585868F9B57}" srcOrd="1" destOrd="0" presId="urn:microsoft.com/office/officeart/2008/layout/HorizontalMultiLevelHierarchy"/>
    <dgm:cxn modelId="{9FAA4684-D8E7-4C41-9920-18A2D3941260}" type="presParOf" srcId="{0ADE68EF-4AB3-471A-AF16-E585868F9B57}" destId="{EB2C0FE4-5449-41B7-8290-2A8BFEFAD304}" srcOrd="0" destOrd="0" presId="urn:microsoft.com/office/officeart/2008/layout/HorizontalMultiLevelHierarchy"/>
    <dgm:cxn modelId="{112BE4B9-6F88-4DAB-8DC8-91CC6296F229}" type="presParOf" srcId="{0ADE68EF-4AB3-471A-AF16-E585868F9B57}" destId="{794B38B6-9D37-404E-8481-127165A175BA}" srcOrd="1" destOrd="0" presId="urn:microsoft.com/office/officeart/2008/layout/HorizontalMultiLevelHierarchy"/>
    <dgm:cxn modelId="{06F82D07-8B2D-4208-93BF-7ED2C9FE8948}" type="presParOf" srcId="{794B38B6-9D37-404E-8481-127165A175BA}" destId="{10C0587D-DAAE-4DBC-884B-BB3BC19BEB96}" srcOrd="0" destOrd="0" presId="urn:microsoft.com/office/officeart/2008/layout/HorizontalMultiLevelHierarchy"/>
    <dgm:cxn modelId="{22737D6C-3543-4EB2-8C9F-88765CBC3540}" type="presParOf" srcId="{10C0587D-DAAE-4DBC-884B-BB3BC19BEB96}" destId="{88A53AA3-714E-454E-BE28-43C58B6415A4}" srcOrd="0" destOrd="0" presId="urn:microsoft.com/office/officeart/2008/layout/HorizontalMultiLevelHierarchy"/>
    <dgm:cxn modelId="{A299FA2D-1826-4557-A1A8-536583698C6A}" type="presParOf" srcId="{794B38B6-9D37-404E-8481-127165A175BA}" destId="{C4686FA9-F21E-46AA-930B-22F7A8C7AC4C}" srcOrd="1" destOrd="0" presId="urn:microsoft.com/office/officeart/2008/layout/HorizontalMultiLevelHierarchy"/>
    <dgm:cxn modelId="{04114CE3-4DD4-4FAC-A246-EFF6CDF196D9}" type="presParOf" srcId="{C4686FA9-F21E-46AA-930B-22F7A8C7AC4C}" destId="{DF72AFFB-0D20-4446-85D0-4AF7A28F0F41}" srcOrd="0" destOrd="0" presId="urn:microsoft.com/office/officeart/2008/layout/HorizontalMultiLevelHierarchy"/>
    <dgm:cxn modelId="{813F8A8D-43D2-4E10-A014-2ED33C288D2D}" type="presParOf" srcId="{C4686FA9-F21E-46AA-930B-22F7A8C7AC4C}" destId="{15029EEE-BED3-49FB-B2AF-03DEDE24C3F5}" srcOrd="1" destOrd="0" presId="urn:microsoft.com/office/officeart/2008/layout/HorizontalMultiLevelHierarchy"/>
    <dgm:cxn modelId="{541D5034-F7B8-4021-A3F9-EBE2F9D3291D}" type="presParOf" srcId="{15029EEE-BED3-49FB-B2AF-03DEDE24C3F5}" destId="{15852B67-18C2-4A0A-BF10-6F3FCB3AC9E0}" srcOrd="0" destOrd="0" presId="urn:microsoft.com/office/officeart/2008/layout/HorizontalMultiLevelHierarchy"/>
    <dgm:cxn modelId="{DB414FC6-B0EF-47EC-8724-0D0F630F8CB4}" type="presParOf" srcId="{15852B67-18C2-4A0A-BF10-6F3FCB3AC9E0}" destId="{388C44C4-C64B-4E2C-BCEA-793FFE782FDC}" srcOrd="0" destOrd="0" presId="urn:microsoft.com/office/officeart/2008/layout/HorizontalMultiLevelHierarchy"/>
    <dgm:cxn modelId="{ED8225EC-8D74-43EB-A513-788E8EDDA587}" type="presParOf" srcId="{15029EEE-BED3-49FB-B2AF-03DEDE24C3F5}" destId="{36ED4102-1720-4D07-A5F0-AA48B78628DD}" srcOrd="1" destOrd="0" presId="urn:microsoft.com/office/officeart/2008/layout/HorizontalMultiLevelHierarchy"/>
    <dgm:cxn modelId="{543521D6-3CC1-4CE7-BE93-030116D58D88}" type="presParOf" srcId="{36ED4102-1720-4D07-A5F0-AA48B78628DD}" destId="{FDE64530-8D6E-40B2-8BF6-CC6A66A44B7F}" srcOrd="0" destOrd="0" presId="urn:microsoft.com/office/officeart/2008/layout/HorizontalMultiLevelHierarchy"/>
    <dgm:cxn modelId="{440149B9-5B59-4EE5-BB82-7BBF1271E97F}" type="presParOf" srcId="{36ED4102-1720-4D07-A5F0-AA48B78628DD}" destId="{1A72D9F2-86E8-4CD0-B1A1-01B0C27E885E}" srcOrd="1" destOrd="0" presId="urn:microsoft.com/office/officeart/2008/layout/HorizontalMultiLevelHierarchy"/>
    <dgm:cxn modelId="{52F9BC9D-623D-44A5-AC29-688231CB7209}" type="presParOf" srcId="{1A72D9F2-86E8-4CD0-B1A1-01B0C27E885E}" destId="{D832059A-A2C6-4344-9BBC-4876E486EC40}" srcOrd="0" destOrd="0" presId="urn:microsoft.com/office/officeart/2008/layout/HorizontalMultiLevelHierarchy"/>
    <dgm:cxn modelId="{0188C6E8-36A7-4C70-9D55-BC9277038136}" type="presParOf" srcId="{D832059A-A2C6-4344-9BBC-4876E486EC40}" destId="{FB7F64DC-0E9B-4676-B402-E554ED282DD6}" srcOrd="0" destOrd="0" presId="urn:microsoft.com/office/officeart/2008/layout/HorizontalMultiLevelHierarchy"/>
    <dgm:cxn modelId="{41ECB99C-FBE7-401B-9BE4-668FDC733F49}" type="presParOf" srcId="{1A72D9F2-86E8-4CD0-B1A1-01B0C27E885E}" destId="{4ABFEA5D-00B5-4431-AA04-9128BFB98A6C}" srcOrd="1" destOrd="0" presId="urn:microsoft.com/office/officeart/2008/layout/HorizontalMultiLevelHierarchy"/>
    <dgm:cxn modelId="{1FF11DCB-D231-4C41-9197-0ED624AECAE1}" type="presParOf" srcId="{4ABFEA5D-00B5-4431-AA04-9128BFB98A6C}" destId="{819C5C5A-EA00-4BEF-9898-0DF5F076F405}" srcOrd="0" destOrd="0" presId="urn:microsoft.com/office/officeart/2008/layout/HorizontalMultiLevelHierarchy"/>
    <dgm:cxn modelId="{02D58CCD-13BD-4E5C-B161-C5B48E6F9487}" type="presParOf" srcId="{4ABFEA5D-00B5-4431-AA04-9128BFB98A6C}" destId="{DC745D28-013C-43EB-93C1-8F9D63BC0AC9}" srcOrd="1" destOrd="0" presId="urn:microsoft.com/office/officeart/2008/layout/HorizontalMultiLevelHierarchy"/>
    <dgm:cxn modelId="{58E78EC2-59B8-4E08-9907-A3D13E160FF6}" type="presParOf" srcId="{DC745D28-013C-43EB-93C1-8F9D63BC0AC9}" destId="{040A1CE8-79AB-42AE-8D5F-75C6EDA77FFC}" srcOrd="0" destOrd="0" presId="urn:microsoft.com/office/officeart/2008/layout/HorizontalMultiLevelHierarchy"/>
    <dgm:cxn modelId="{532D829C-1338-41D5-B6EC-37F54700D4D2}" type="presParOf" srcId="{040A1CE8-79AB-42AE-8D5F-75C6EDA77FFC}" destId="{0AFF26C5-369E-4ECC-8881-D90FF6009AD6}" srcOrd="0" destOrd="0" presId="urn:microsoft.com/office/officeart/2008/layout/HorizontalMultiLevelHierarchy"/>
    <dgm:cxn modelId="{4E096F33-6C08-43B6-B1BD-0F99CF75663E}" type="presParOf" srcId="{DC745D28-013C-43EB-93C1-8F9D63BC0AC9}" destId="{3B8368FD-1B02-4EC0-8862-8626141447F9}" srcOrd="1" destOrd="0" presId="urn:microsoft.com/office/officeart/2008/layout/HorizontalMultiLevelHierarchy"/>
    <dgm:cxn modelId="{F52AA19D-8A38-40ED-BD99-402113F10E9D}" type="presParOf" srcId="{3B8368FD-1B02-4EC0-8862-8626141447F9}" destId="{C3F0E2DB-C201-4BA4-8F68-6C477C2C59CC}" srcOrd="0" destOrd="0" presId="urn:microsoft.com/office/officeart/2008/layout/HorizontalMultiLevelHierarchy"/>
    <dgm:cxn modelId="{7768BCFE-1F9B-4AE2-8D50-D5B260F7F328}" type="presParOf" srcId="{3B8368FD-1B02-4EC0-8862-8626141447F9}" destId="{6D0E8394-641D-43F3-B096-ECC5D68EF044}" srcOrd="1" destOrd="0" presId="urn:microsoft.com/office/officeart/2008/layout/HorizontalMultiLevelHierarchy"/>
    <dgm:cxn modelId="{60E163EC-133E-4A58-BD18-AF1051B23B2F}" type="presParOf" srcId="{DC745D28-013C-43EB-93C1-8F9D63BC0AC9}" destId="{70963B69-08BB-4D6F-B45B-0CD3EFF40D6C}" srcOrd="2" destOrd="0" presId="urn:microsoft.com/office/officeart/2008/layout/HorizontalMultiLevelHierarchy"/>
    <dgm:cxn modelId="{7C4E945D-1921-426B-9A05-78A3F79B165F}" type="presParOf" srcId="{70963B69-08BB-4D6F-B45B-0CD3EFF40D6C}" destId="{FDE79D68-709A-4BBA-B054-0334042F0401}" srcOrd="0" destOrd="0" presId="urn:microsoft.com/office/officeart/2008/layout/HorizontalMultiLevelHierarchy"/>
    <dgm:cxn modelId="{67B9F475-A497-4188-997F-9E524442387B}" type="presParOf" srcId="{DC745D28-013C-43EB-93C1-8F9D63BC0AC9}" destId="{264653ED-5E45-46FB-B6FB-D02F51D92482}" srcOrd="3" destOrd="0" presId="urn:microsoft.com/office/officeart/2008/layout/HorizontalMultiLevelHierarchy"/>
    <dgm:cxn modelId="{DBBC644A-C447-4487-BC07-12EB9C265868}" type="presParOf" srcId="{264653ED-5E45-46FB-B6FB-D02F51D92482}" destId="{28C436FE-84D7-4BED-A57A-056331A792E4}" srcOrd="0" destOrd="0" presId="urn:microsoft.com/office/officeart/2008/layout/HorizontalMultiLevelHierarchy"/>
    <dgm:cxn modelId="{A7E774D7-D60F-4783-B8D8-927FB1CBBA73}" type="presParOf" srcId="{264653ED-5E45-46FB-B6FB-D02F51D92482}" destId="{0365C0D0-CE30-4B21-9CB0-9E480AB0EBE8}" srcOrd="1" destOrd="0" presId="urn:microsoft.com/office/officeart/2008/layout/HorizontalMultiLevelHierarchy"/>
    <dgm:cxn modelId="{85771EA7-E27D-49A8-806B-EEB5A194A575}" type="presParOf" srcId="{0365C0D0-CE30-4B21-9CB0-9E480AB0EBE8}" destId="{88B83AB6-9B9C-43C6-8A71-2C2D933CBB33}" srcOrd="0" destOrd="0" presId="urn:microsoft.com/office/officeart/2008/layout/HorizontalMultiLevelHierarchy"/>
    <dgm:cxn modelId="{4A590B3B-4620-45B7-BEC1-7CDF32C91BA9}" type="presParOf" srcId="{88B83AB6-9B9C-43C6-8A71-2C2D933CBB33}" destId="{59DC8487-7C66-4D82-A00B-80A82798C55B}" srcOrd="0" destOrd="0" presId="urn:microsoft.com/office/officeart/2008/layout/HorizontalMultiLevelHierarchy"/>
    <dgm:cxn modelId="{55780B03-A8AA-46E7-A9EB-FD41352EED07}" type="presParOf" srcId="{0365C0D0-CE30-4B21-9CB0-9E480AB0EBE8}" destId="{28B41566-4FB1-46FA-A647-FB5CA860D22E}" srcOrd="1" destOrd="0" presId="urn:microsoft.com/office/officeart/2008/layout/HorizontalMultiLevelHierarchy"/>
    <dgm:cxn modelId="{D83324D2-7E2F-4AD2-A9A3-2627C3842E57}" type="presParOf" srcId="{28B41566-4FB1-46FA-A647-FB5CA860D22E}" destId="{743D2609-03A2-4F18-BA8C-E4D9A78EE630}" srcOrd="0" destOrd="0" presId="urn:microsoft.com/office/officeart/2008/layout/HorizontalMultiLevelHierarchy"/>
    <dgm:cxn modelId="{4A3C5FEC-4B4D-4FC6-AD23-D8375FEC1B30}" type="presParOf" srcId="{28B41566-4FB1-46FA-A647-FB5CA860D22E}" destId="{68D76BEF-06E1-4FF7-ABFB-BC58F99479DB}" srcOrd="1" destOrd="0" presId="urn:microsoft.com/office/officeart/2008/layout/HorizontalMultiLevelHierarchy"/>
    <dgm:cxn modelId="{B0D8D4EF-428B-4456-B3B2-B2018339692C}" type="presParOf" srcId="{68D76BEF-06E1-4FF7-ABFB-BC58F99479DB}" destId="{EFE81196-CCD8-43A7-8370-1EBC0B05E8EC}" srcOrd="0" destOrd="0" presId="urn:microsoft.com/office/officeart/2008/layout/HorizontalMultiLevelHierarchy"/>
    <dgm:cxn modelId="{78B07FF6-4B2F-4A48-848A-29E3487C06E0}" type="presParOf" srcId="{EFE81196-CCD8-43A7-8370-1EBC0B05E8EC}" destId="{2B92A701-D06E-4107-A3C5-B706EB47541B}" srcOrd="0" destOrd="0" presId="urn:microsoft.com/office/officeart/2008/layout/HorizontalMultiLevelHierarchy"/>
    <dgm:cxn modelId="{56DC344A-940A-48DC-BA8E-4686877931E6}" type="presParOf" srcId="{68D76BEF-06E1-4FF7-ABFB-BC58F99479DB}" destId="{49ACA6A5-22F2-4F0F-8122-BCC0336E4CBE}" srcOrd="1" destOrd="0" presId="urn:microsoft.com/office/officeart/2008/layout/HorizontalMultiLevelHierarchy"/>
    <dgm:cxn modelId="{E6370D3A-8844-4C26-9C81-38556F0CA3B5}" type="presParOf" srcId="{49ACA6A5-22F2-4F0F-8122-BCC0336E4CBE}" destId="{BF1A134C-0B47-4824-B640-DF711560FDE7}" srcOrd="0" destOrd="0" presId="urn:microsoft.com/office/officeart/2008/layout/HorizontalMultiLevelHierarchy"/>
    <dgm:cxn modelId="{FF451D62-AB3E-42D0-A75D-34E62CC67908}" type="presParOf" srcId="{49ACA6A5-22F2-4F0F-8122-BCC0336E4CBE}" destId="{B6C0889A-BD02-48F1-922D-EB5BA4215C7C}" srcOrd="1" destOrd="0" presId="urn:microsoft.com/office/officeart/2008/layout/HorizontalMultiLevelHierarchy"/>
    <dgm:cxn modelId="{E4C8664B-3023-443A-85F1-0D7882CAD77A}" type="presParOf" srcId="{B6C0889A-BD02-48F1-922D-EB5BA4215C7C}" destId="{F749927E-45CE-4087-A826-4A0B75D14CC8}" srcOrd="0" destOrd="0" presId="urn:microsoft.com/office/officeart/2008/layout/HorizontalMultiLevelHierarchy"/>
    <dgm:cxn modelId="{E443E769-6B13-42E3-8970-823761D39DA5}" type="presParOf" srcId="{F749927E-45CE-4087-A826-4A0B75D14CC8}" destId="{C2AACA57-F557-44D4-8C59-E3E513ABB447}" srcOrd="0" destOrd="0" presId="urn:microsoft.com/office/officeart/2008/layout/HorizontalMultiLevelHierarchy"/>
    <dgm:cxn modelId="{FDD43B57-B867-42A2-B6CF-831CFF3FECD8}" type="presParOf" srcId="{B6C0889A-BD02-48F1-922D-EB5BA4215C7C}" destId="{01C8189B-379C-4786-A8BE-3EA12B1F01AA}" srcOrd="1" destOrd="0" presId="urn:microsoft.com/office/officeart/2008/layout/HorizontalMultiLevelHierarchy"/>
    <dgm:cxn modelId="{B84CC4CD-2A52-42B8-93C2-3E04F59224B8}" type="presParOf" srcId="{01C8189B-379C-4786-A8BE-3EA12B1F01AA}" destId="{DABDDCAC-0080-4976-8C11-603F8CC3316D}" srcOrd="0" destOrd="0" presId="urn:microsoft.com/office/officeart/2008/layout/HorizontalMultiLevelHierarchy"/>
    <dgm:cxn modelId="{02F73567-269A-4308-99EF-738B7A7339E7}" type="presParOf" srcId="{01C8189B-379C-4786-A8BE-3EA12B1F01AA}" destId="{75CBBB28-74C5-4B5A-96DE-A9E0095CDC3D}" srcOrd="1" destOrd="0" presId="urn:microsoft.com/office/officeart/2008/layout/HorizontalMultiLevelHierarchy"/>
    <dgm:cxn modelId="{F052AE9F-EB80-4485-BD56-E80F4505C2A0}" type="presParOf" srcId="{68D76BEF-06E1-4FF7-ABFB-BC58F99479DB}" destId="{5E789571-F673-4348-8EB9-BA721675B9EC}" srcOrd="2" destOrd="0" presId="urn:microsoft.com/office/officeart/2008/layout/HorizontalMultiLevelHierarchy"/>
    <dgm:cxn modelId="{379BBEFC-0A89-4327-AA84-E76DBF6ED2F6}" type="presParOf" srcId="{5E789571-F673-4348-8EB9-BA721675B9EC}" destId="{6F3D22EC-9AC9-4135-8796-F1AEA4ABF95B}" srcOrd="0" destOrd="0" presId="urn:microsoft.com/office/officeart/2008/layout/HorizontalMultiLevelHierarchy"/>
    <dgm:cxn modelId="{025CB458-C42C-4672-84BD-C8BBA935CFE9}" type="presParOf" srcId="{68D76BEF-06E1-4FF7-ABFB-BC58F99479DB}" destId="{BC2740ED-E70F-4E5C-8C2C-3665577B85E2}" srcOrd="3" destOrd="0" presId="urn:microsoft.com/office/officeart/2008/layout/HorizontalMultiLevelHierarchy"/>
    <dgm:cxn modelId="{C52EAB07-C688-411C-803B-B405EDECA24F}" type="presParOf" srcId="{BC2740ED-E70F-4E5C-8C2C-3665577B85E2}" destId="{B20BB301-4E30-49B9-892A-07EB874D9668}" srcOrd="0" destOrd="0" presId="urn:microsoft.com/office/officeart/2008/layout/HorizontalMultiLevelHierarchy"/>
    <dgm:cxn modelId="{CD498F6A-0698-4687-B65C-FAED354A71F9}" type="presParOf" srcId="{BC2740ED-E70F-4E5C-8C2C-3665577B85E2}" destId="{0923308E-5BAE-4F18-9F41-4F9CAE3BE414}" srcOrd="1" destOrd="0" presId="urn:microsoft.com/office/officeart/2008/layout/HorizontalMultiLevelHierarchy"/>
    <dgm:cxn modelId="{2B445B3A-E4FB-45AF-BBDF-2EE2ABE80714}" type="presParOf" srcId="{0923308E-5BAE-4F18-9F41-4F9CAE3BE414}" destId="{181C7374-AA1E-4A1E-9589-1B7A64BD4575}" srcOrd="0" destOrd="0" presId="urn:microsoft.com/office/officeart/2008/layout/HorizontalMultiLevelHierarchy"/>
    <dgm:cxn modelId="{7897019D-7DE8-4D13-85EE-3AF623CCCD4E}" type="presParOf" srcId="{181C7374-AA1E-4A1E-9589-1B7A64BD4575}" destId="{39467E77-003F-4EA2-93C4-142B9D4C1532}" srcOrd="0" destOrd="0" presId="urn:microsoft.com/office/officeart/2008/layout/HorizontalMultiLevelHierarchy"/>
    <dgm:cxn modelId="{A61FE011-7D95-4687-8E30-F1061915BFFD}" type="presParOf" srcId="{0923308E-5BAE-4F18-9F41-4F9CAE3BE414}" destId="{840F20DD-34C4-4B17-B34F-998AB65815EF}" srcOrd="1" destOrd="0" presId="urn:microsoft.com/office/officeart/2008/layout/HorizontalMultiLevelHierarchy"/>
    <dgm:cxn modelId="{76E7FECE-09A4-472D-848F-45861AB88678}" type="presParOf" srcId="{840F20DD-34C4-4B17-B34F-998AB65815EF}" destId="{634AF929-D582-43B7-A338-C27B7E28E518}" srcOrd="0" destOrd="0" presId="urn:microsoft.com/office/officeart/2008/layout/HorizontalMultiLevelHierarchy"/>
    <dgm:cxn modelId="{BA615212-D3EE-4AC1-AB1D-9ECF6C63E068}" type="presParOf" srcId="{840F20DD-34C4-4B17-B34F-998AB65815EF}" destId="{773DC758-B58C-40BC-AAFA-EEF59B33B9AE}" srcOrd="1" destOrd="0" presId="urn:microsoft.com/office/officeart/2008/layout/HorizontalMultiLevelHierarchy"/>
    <dgm:cxn modelId="{54EDCDA0-26AF-46BA-A459-B20D60BD54BE}" type="presParOf" srcId="{1A72D9F2-86E8-4CD0-B1A1-01B0C27E885E}" destId="{5994E621-2924-40EB-9D1E-49040ED745C3}" srcOrd="2" destOrd="0" presId="urn:microsoft.com/office/officeart/2008/layout/HorizontalMultiLevelHierarchy"/>
    <dgm:cxn modelId="{10E73E84-F978-4D8D-AEB3-AB942EE23EBC}" type="presParOf" srcId="{5994E621-2924-40EB-9D1E-49040ED745C3}" destId="{58D55649-DBCF-4888-AD7E-2ED7A3E3907D}" srcOrd="0" destOrd="0" presId="urn:microsoft.com/office/officeart/2008/layout/HorizontalMultiLevelHierarchy"/>
    <dgm:cxn modelId="{02D7094D-1C94-4589-A4F4-9E91A464BE43}" type="presParOf" srcId="{1A72D9F2-86E8-4CD0-B1A1-01B0C27E885E}" destId="{B064F247-3FCF-49E5-BF9A-EDCC05DD7B03}" srcOrd="3" destOrd="0" presId="urn:microsoft.com/office/officeart/2008/layout/HorizontalMultiLevelHierarchy"/>
    <dgm:cxn modelId="{1CFF77FA-0E44-419F-A941-2BDB984DFFDB}" type="presParOf" srcId="{B064F247-3FCF-49E5-BF9A-EDCC05DD7B03}" destId="{39ECC9FB-6E30-4164-9CCB-5EF7BFE769EF}" srcOrd="0" destOrd="0" presId="urn:microsoft.com/office/officeart/2008/layout/HorizontalMultiLevelHierarchy"/>
    <dgm:cxn modelId="{CD2C8A6B-00B0-46D6-8B7E-52061686E56E}" type="presParOf" srcId="{B064F247-3FCF-49E5-BF9A-EDCC05DD7B03}" destId="{0F932966-C525-40D3-A959-6CC18B1632FA}" srcOrd="1" destOrd="0" presId="urn:microsoft.com/office/officeart/2008/layout/HorizontalMultiLevelHierarchy"/>
    <dgm:cxn modelId="{61C0A18E-1B86-40E9-96F5-FCDED1B8941B}" type="presParOf" srcId="{0F932966-C525-40D3-A959-6CC18B1632FA}" destId="{5B6491E9-2C27-4B90-A2E1-04724995B4AE}" srcOrd="0" destOrd="0" presId="urn:microsoft.com/office/officeart/2008/layout/HorizontalMultiLevelHierarchy"/>
    <dgm:cxn modelId="{33ADB119-0120-44AB-8AB8-CD417D0D92EB}" type="presParOf" srcId="{5B6491E9-2C27-4B90-A2E1-04724995B4AE}" destId="{CFF3BB5D-6787-4B65-A44B-DD761A5D63AB}" srcOrd="0" destOrd="0" presId="urn:microsoft.com/office/officeart/2008/layout/HorizontalMultiLevelHierarchy"/>
    <dgm:cxn modelId="{F0A3103C-050D-4C6C-9CC4-2B3F3B63A774}" type="presParOf" srcId="{0F932966-C525-40D3-A959-6CC18B1632FA}" destId="{E16F0262-C654-4D5F-985B-D2C8A4177A57}" srcOrd="1" destOrd="0" presId="urn:microsoft.com/office/officeart/2008/layout/HorizontalMultiLevelHierarchy"/>
    <dgm:cxn modelId="{67478EC8-6F22-4C66-B59A-5BB2106856FE}" type="presParOf" srcId="{E16F0262-C654-4D5F-985B-D2C8A4177A57}" destId="{31B686EE-70EE-4BEC-890F-29897C770DE7}" srcOrd="0" destOrd="0" presId="urn:microsoft.com/office/officeart/2008/layout/HorizontalMultiLevelHierarchy"/>
    <dgm:cxn modelId="{B1EFA209-5162-4F3D-AC96-A0EBB85B8341}" type="presParOf" srcId="{E16F0262-C654-4D5F-985B-D2C8A4177A57}" destId="{9B6175B6-94DC-4B1D-827D-AC86841B21DE}" srcOrd="1" destOrd="0" presId="urn:microsoft.com/office/officeart/2008/layout/HorizontalMultiLevelHierarchy"/>
    <dgm:cxn modelId="{4B92397D-65F8-40E1-B053-588E81F127F9}" type="presParOf" srcId="{9B6175B6-94DC-4B1D-827D-AC86841B21DE}" destId="{6E4F4CCC-D468-475E-945D-90F694E4EE07}" srcOrd="0" destOrd="0" presId="urn:microsoft.com/office/officeart/2008/layout/HorizontalMultiLevelHierarchy"/>
    <dgm:cxn modelId="{DB89F883-640F-4C4D-9C30-D925026FAEBB}" type="presParOf" srcId="{6E4F4CCC-D468-475E-945D-90F694E4EE07}" destId="{245D5B02-BDED-4691-BE25-E4462F7700F0}" srcOrd="0" destOrd="0" presId="urn:microsoft.com/office/officeart/2008/layout/HorizontalMultiLevelHierarchy"/>
    <dgm:cxn modelId="{B0612AE0-4715-4783-94C2-43681E4B6265}" type="presParOf" srcId="{9B6175B6-94DC-4B1D-827D-AC86841B21DE}" destId="{B3B30B95-7DAD-41C7-B71A-145FB703C204}" srcOrd="1" destOrd="0" presId="urn:microsoft.com/office/officeart/2008/layout/HorizontalMultiLevelHierarchy"/>
    <dgm:cxn modelId="{A3268573-4610-4507-AF84-C63F9BC1B160}" type="presParOf" srcId="{B3B30B95-7DAD-41C7-B71A-145FB703C204}" destId="{2E41BC43-9124-4497-8B56-DD18D0F02FA2}" srcOrd="0" destOrd="0" presId="urn:microsoft.com/office/officeart/2008/layout/HorizontalMultiLevelHierarchy"/>
    <dgm:cxn modelId="{A0C256D5-9825-4A19-92F3-884CB9E8424D}" type="presParOf" srcId="{B3B30B95-7DAD-41C7-B71A-145FB703C204}" destId="{700EDBD8-6531-471D-B389-14F90B303D07}" srcOrd="1" destOrd="0" presId="urn:microsoft.com/office/officeart/2008/layout/HorizontalMultiLevelHierarchy"/>
    <dgm:cxn modelId="{1B917EEC-4EBD-4B6E-8DE7-2D6FE53371D6}" type="presParOf" srcId="{700EDBD8-6531-471D-B389-14F90B303D07}" destId="{309EF94E-6B8E-43D7-914B-AD99793F8E6C}" srcOrd="0" destOrd="0" presId="urn:microsoft.com/office/officeart/2008/layout/HorizontalMultiLevelHierarchy"/>
    <dgm:cxn modelId="{3FC603C5-2147-4AAD-BB22-736B52FEDC7D}" type="presParOf" srcId="{309EF94E-6B8E-43D7-914B-AD99793F8E6C}" destId="{3D4668D5-B54D-4A09-A331-F7C48ECC3D72}" srcOrd="0" destOrd="0" presId="urn:microsoft.com/office/officeart/2008/layout/HorizontalMultiLevelHierarchy"/>
    <dgm:cxn modelId="{0E63035C-6A20-460B-AE62-9ECFD6663270}" type="presParOf" srcId="{700EDBD8-6531-471D-B389-14F90B303D07}" destId="{0D61D983-D82B-4491-9449-EF276D1E0CD9}" srcOrd="1" destOrd="0" presId="urn:microsoft.com/office/officeart/2008/layout/HorizontalMultiLevelHierarchy"/>
    <dgm:cxn modelId="{447D7CFF-9626-47C2-A3D1-A88B0857914B}" type="presParOf" srcId="{0D61D983-D82B-4491-9449-EF276D1E0CD9}" destId="{22CAC938-52FF-49C9-9080-C6390E59D2B9}" srcOrd="0" destOrd="0" presId="urn:microsoft.com/office/officeart/2008/layout/HorizontalMultiLevelHierarchy"/>
    <dgm:cxn modelId="{09746807-1BFE-4FAE-91E8-06B64732FF85}" type="presParOf" srcId="{0D61D983-D82B-4491-9449-EF276D1E0CD9}" destId="{04E2146B-3AF8-4974-830E-B79F14BA2483}" srcOrd="1" destOrd="0" presId="urn:microsoft.com/office/officeart/2008/layout/HorizontalMultiLevelHierarchy"/>
    <dgm:cxn modelId="{CE5CF9C9-4081-46B5-8D13-C5FBD7003E12}" type="presParOf" srcId="{04E2146B-3AF8-4974-830E-B79F14BA2483}" destId="{0510F77E-5529-4BA9-8043-98F7A928DD18}" srcOrd="0" destOrd="0" presId="urn:microsoft.com/office/officeart/2008/layout/HorizontalMultiLevelHierarchy"/>
    <dgm:cxn modelId="{6DFE5C24-0081-45CD-9144-B4CD8D953EF0}" type="presParOf" srcId="{0510F77E-5529-4BA9-8043-98F7A928DD18}" destId="{C672F8BC-0464-416B-9966-6301034705F9}" srcOrd="0" destOrd="0" presId="urn:microsoft.com/office/officeart/2008/layout/HorizontalMultiLevelHierarchy"/>
    <dgm:cxn modelId="{609BD5E9-32B7-4655-8579-13A9EA7C67B1}" type="presParOf" srcId="{04E2146B-3AF8-4974-830E-B79F14BA2483}" destId="{3365891B-3CA9-49C5-B40E-EAC019E35092}" srcOrd="1" destOrd="0" presId="urn:microsoft.com/office/officeart/2008/layout/HorizontalMultiLevelHierarchy"/>
    <dgm:cxn modelId="{AFD51E51-B340-47D6-9062-C5B4BA28C993}" type="presParOf" srcId="{3365891B-3CA9-49C5-B40E-EAC019E35092}" destId="{08B761A3-12DC-4A6B-83F1-EE137576BC03}" srcOrd="0" destOrd="0" presId="urn:microsoft.com/office/officeart/2008/layout/HorizontalMultiLevelHierarchy"/>
    <dgm:cxn modelId="{21B8BD83-2228-4C02-8752-CAF9AE8F8462}" type="presParOf" srcId="{3365891B-3CA9-49C5-B40E-EAC019E35092}" destId="{1B0D5913-A864-4293-A527-BDA8C84FD05B}" srcOrd="1" destOrd="0" presId="urn:microsoft.com/office/officeart/2008/layout/HorizontalMultiLevelHierarchy"/>
    <dgm:cxn modelId="{6E80E38C-6492-46B8-B6C4-2BB79254B81A}" type="presParOf" srcId="{04E2146B-3AF8-4974-830E-B79F14BA2483}" destId="{DD660567-14CD-4E83-84E6-689616DBA23C}" srcOrd="2" destOrd="0" presId="urn:microsoft.com/office/officeart/2008/layout/HorizontalMultiLevelHierarchy"/>
    <dgm:cxn modelId="{FB41C65E-F521-4861-A728-B9F9E81C1956}" type="presParOf" srcId="{DD660567-14CD-4E83-84E6-689616DBA23C}" destId="{04E15F46-BEDB-4DBE-A8F1-738C1F263F21}" srcOrd="0" destOrd="0" presId="urn:microsoft.com/office/officeart/2008/layout/HorizontalMultiLevelHierarchy"/>
    <dgm:cxn modelId="{8597C536-F16E-4E52-96B2-D5567D9D940B}" type="presParOf" srcId="{04E2146B-3AF8-4974-830E-B79F14BA2483}" destId="{B66C77F1-603F-48BA-9B4E-A4CE48F40BEA}" srcOrd="3" destOrd="0" presId="urn:microsoft.com/office/officeart/2008/layout/HorizontalMultiLevelHierarchy"/>
    <dgm:cxn modelId="{A9F0E441-FD70-4219-8631-A9B1DE8BE6CE}" type="presParOf" srcId="{B66C77F1-603F-48BA-9B4E-A4CE48F40BEA}" destId="{1289F5E7-1221-4107-9DD4-A0DF23B72F2A}" srcOrd="0" destOrd="0" presId="urn:microsoft.com/office/officeart/2008/layout/HorizontalMultiLevelHierarchy"/>
    <dgm:cxn modelId="{4467B7AE-221E-47DE-848F-CC3CBB3F982F}" type="presParOf" srcId="{B66C77F1-603F-48BA-9B4E-A4CE48F40BEA}" destId="{82686892-BCB6-40E1-803E-6204D4162E36}" srcOrd="1" destOrd="0" presId="urn:microsoft.com/office/officeart/2008/layout/HorizontalMultiLevelHierarchy"/>
    <dgm:cxn modelId="{13461E9B-7662-497C-8CC3-0871B8085226}" type="presParOf" srcId="{82686892-BCB6-40E1-803E-6204D4162E36}" destId="{65989A29-8BC5-451C-99BF-14E7A52E6794}" srcOrd="0" destOrd="0" presId="urn:microsoft.com/office/officeart/2008/layout/HorizontalMultiLevelHierarchy"/>
    <dgm:cxn modelId="{884EE097-74A7-4A41-80AA-DFEC9EE9D50A}" type="presParOf" srcId="{65989A29-8BC5-451C-99BF-14E7A52E6794}" destId="{1445AA94-F90F-4818-A6EB-505EDF1C875C}" srcOrd="0" destOrd="0" presId="urn:microsoft.com/office/officeart/2008/layout/HorizontalMultiLevelHierarchy"/>
    <dgm:cxn modelId="{A09A6EE8-CFF7-4BA3-9EB0-883361356038}" type="presParOf" srcId="{82686892-BCB6-40E1-803E-6204D4162E36}" destId="{41532427-8876-49B9-A770-A918E58138DB}" srcOrd="1" destOrd="0" presId="urn:microsoft.com/office/officeart/2008/layout/HorizontalMultiLevelHierarchy"/>
    <dgm:cxn modelId="{B7226176-CB28-4C41-8402-71F5A59EBC26}" type="presParOf" srcId="{41532427-8876-49B9-A770-A918E58138DB}" destId="{81B71E9A-A88A-4A72-AC96-3EF81EFD9747}" srcOrd="0" destOrd="0" presId="urn:microsoft.com/office/officeart/2008/layout/HorizontalMultiLevelHierarchy"/>
    <dgm:cxn modelId="{1503BF36-1751-4F44-BC55-00AC6A821165}" type="presParOf" srcId="{41532427-8876-49B9-A770-A918E58138DB}" destId="{142A4873-2149-4344-95E1-D4F5ECB4B577}" srcOrd="1" destOrd="0" presId="urn:microsoft.com/office/officeart/2008/layout/HorizontalMultiLevelHierarchy"/>
    <dgm:cxn modelId="{ED8CB8C7-1B44-44FB-994F-604F64C52496}" type="presParOf" srcId="{794B38B6-9D37-404E-8481-127165A175BA}" destId="{5C7A560B-2F3C-4741-A271-CB1DCE164347}" srcOrd="2" destOrd="0" presId="urn:microsoft.com/office/officeart/2008/layout/HorizontalMultiLevelHierarchy"/>
    <dgm:cxn modelId="{B708D8E2-EF01-458B-BA3A-5D78CF399ACC}" type="presParOf" srcId="{5C7A560B-2F3C-4741-A271-CB1DCE164347}" destId="{88B4B8D4-F835-41E0-B010-E7ABE897EF7D}" srcOrd="0" destOrd="0" presId="urn:microsoft.com/office/officeart/2008/layout/HorizontalMultiLevelHierarchy"/>
    <dgm:cxn modelId="{B88FCDC8-E81D-4095-B798-2FEE11F48C51}" type="presParOf" srcId="{794B38B6-9D37-404E-8481-127165A175BA}" destId="{48180527-CCB1-499F-ACB3-53DAA9E9BB65}" srcOrd="3" destOrd="0" presId="urn:microsoft.com/office/officeart/2008/layout/HorizontalMultiLevelHierarchy"/>
    <dgm:cxn modelId="{5ED891CB-E8EE-4C4D-9C3D-9AB277C1CB61}" type="presParOf" srcId="{48180527-CCB1-499F-ACB3-53DAA9E9BB65}" destId="{C588E089-AA56-40E8-9654-62ECF603B2BB}" srcOrd="0" destOrd="0" presId="urn:microsoft.com/office/officeart/2008/layout/HorizontalMultiLevelHierarchy"/>
    <dgm:cxn modelId="{ECC8505C-AEDF-4DFF-B7BA-C186EC17A6FA}" type="presParOf" srcId="{48180527-CCB1-499F-ACB3-53DAA9E9BB65}" destId="{C9AD4321-8C2D-46D3-B79E-6204E99645E6}" srcOrd="1" destOrd="0" presId="urn:microsoft.com/office/officeart/2008/layout/HorizontalMultiLevelHierarchy"/>
    <dgm:cxn modelId="{CF2C6543-A328-485B-B851-C0D426683575}" type="presParOf" srcId="{C9AD4321-8C2D-46D3-B79E-6204E99645E6}" destId="{C70C8673-7E59-4711-A1B4-5E54F2F79316}" srcOrd="0" destOrd="0" presId="urn:microsoft.com/office/officeart/2008/layout/HorizontalMultiLevelHierarchy"/>
    <dgm:cxn modelId="{CBAB1049-B6C3-4D08-9FE5-11E8C1C90AB0}" type="presParOf" srcId="{C70C8673-7E59-4711-A1B4-5E54F2F79316}" destId="{DA8EF96F-9DA8-4C31-871D-3FF72EA05740}" srcOrd="0" destOrd="0" presId="urn:microsoft.com/office/officeart/2008/layout/HorizontalMultiLevelHierarchy"/>
    <dgm:cxn modelId="{DDE2A602-6FB2-429D-8720-36448FCE319B}" type="presParOf" srcId="{C9AD4321-8C2D-46D3-B79E-6204E99645E6}" destId="{CEA71160-5D59-437B-BD20-DF874693B629}" srcOrd="1" destOrd="0" presId="urn:microsoft.com/office/officeart/2008/layout/HorizontalMultiLevelHierarchy"/>
    <dgm:cxn modelId="{E96E6B62-5B38-4060-9864-6B211D932C84}" type="presParOf" srcId="{CEA71160-5D59-437B-BD20-DF874693B629}" destId="{6FF78341-1B6D-4A61-B30D-794E29C87A9B}" srcOrd="0" destOrd="0" presId="urn:microsoft.com/office/officeart/2008/layout/HorizontalMultiLevelHierarchy"/>
    <dgm:cxn modelId="{26C06072-DB19-4E64-BB70-C936B94DAACA}" type="presParOf" srcId="{CEA71160-5D59-437B-BD20-DF874693B629}" destId="{54CF4F16-D3F0-4B3C-9399-20BEFE4E1F00}" srcOrd="1" destOrd="0" presId="urn:microsoft.com/office/officeart/2008/layout/HorizontalMultiLevelHierarchy"/>
    <dgm:cxn modelId="{E7B85590-4F61-4F3A-8FF4-80055CB9F18D}" type="presParOf" srcId="{54CF4F16-D3F0-4B3C-9399-20BEFE4E1F00}" destId="{BC331464-CDDC-426F-982A-E9408DC87AF8}" srcOrd="0" destOrd="0" presId="urn:microsoft.com/office/officeart/2008/layout/HorizontalMultiLevelHierarchy"/>
    <dgm:cxn modelId="{E3AF01D1-850D-4B90-A2BF-530FDAFBF7BE}" type="presParOf" srcId="{BC331464-CDDC-426F-982A-E9408DC87AF8}" destId="{D632CF02-0305-4FC2-9F8F-F45DD23D5498}" srcOrd="0" destOrd="0" presId="urn:microsoft.com/office/officeart/2008/layout/HorizontalMultiLevelHierarchy"/>
    <dgm:cxn modelId="{183F6269-DE91-4F1F-BEDB-CED3C392A3D2}" type="presParOf" srcId="{54CF4F16-D3F0-4B3C-9399-20BEFE4E1F00}" destId="{C7FC73B4-71BE-4DA9-8334-12C52742F7EB}" srcOrd="1" destOrd="0" presId="urn:microsoft.com/office/officeart/2008/layout/HorizontalMultiLevelHierarchy"/>
    <dgm:cxn modelId="{3459D1B3-CD9B-40A2-9DE9-CAB53F75C829}" type="presParOf" srcId="{C7FC73B4-71BE-4DA9-8334-12C52742F7EB}" destId="{F5C00079-974F-4A8B-BD21-4AFB691B32A0}" srcOrd="0" destOrd="0" presId="urn:microsoft.com/office/officeart/2008/layout/HorizontalMultiLevelHierarchy"/>
    <dgm:cxn modelId="{75A049E1-2962-4C5A-9835-A6744F809A78}" type="presParOf" srcId="{C7FC73B4-71BE-4DA9-8334-12C52742F7EB}" destId="{B934DCC6-FA93-439A-B66D-801587412023}" srcOrd="1" destOrd="0" presId="urn:microsoft.com/office/officeart/2008/layout/HorizontalMultiLevelHierarchy"/>
    <dgm:cxn modelId="{0B3A9A9D-4DC4-4096-82BA-60ECEDD5E2FE}" type="presParOf" srcId="{B934DCC6-FA93-439A-B66D-801587412023}" destId="{0A7B5F60-05DE-4D32-817A-A39D17916A73}" srcOrd="0" destOrd="0" presId="urn:microsoft.com/office/officeart/2008/layout/HorizontalMultiLevelHierarchy"/>
    <dgm:cxn modelId="{9E29E1C7-9352-4C65-B664-53AD6FC52127}" type="presParOf" srcId="{0A7B5F60-05DE-4D32-817A-A39D17916A73}" destId="{0311F7E8-4AE5-4679-BC13-7F03B0112BA5}" srcOrd="0" destOrd="0" presId="urn:microsoft.com/office/officeart/2008/layout/HorizontalMultiLevelHierarchy"/>
    <dgm:cxn modelId="{E27EDB6E-6ABC-4473-8D19-E15AB3242049}" type="presParOf" srcId="{B934DCC6-FA93-439A-B66D-801587412023}" destId="{51F48085-E4B7-4AF1-9EED-DFE32EDD62A6}" srcOrd="1" destOrd="0" presId="urn:microsoft.com/office/officeart/2008/layout/HorizontalMultiLevelHierarchy"/>
    <dgm:cxn modelId="{4615E166-EB7A-43F8-96EC-3D9F8C94052D}" type="presParOf" srcId="{51F48085-E4B7-4AF1-9EED-DFE32EDD62A6}" destId="{DF7E4E30-9F33-4E54-8DAC-34D06946FEAD}" srcOrd="0" destOrd="0" presId="urn:microsoft.com/office/officeart/2008/layout/HorizontalMultiLevelHierarchy"/>
    <dgm:cxn modelId="{84A52941-6B69-4787-832A-C7DA659ACDEE}" type="presParOf" srcId="{51F48085-E4B7-4AF1-9EED-DFE32EDD62A6}" destId="{804220C5-5BDE-4C53-8986-DD851D8D3A28}" srcOrd="1" destOrd="0" presId="urn:microsoft.com/office/officeart/2008/layout/HorizontalMultiLevelHierarchy"/>
    <dgm:cxn modelId="{5FBAAA6E-23CE-43A6-B179-6A23A0E59D7D}" type="presParOf" srcId="{804220C5-5BDE-4C53-8986-DD851D8D3A28}" destId="{E04E08AE-21F4-494C-8E94-9536B88193BE}" srcOrd="0" destOrd="0" presId="urn:microsoft.com/office/officeart/2008/layout/HorizontalMultiLevelHierarchy"/>
    <dgm:cxn modelId="{4611E5FB-C943-4AE1-AD75-82F5D4918E51}" type="presParOf" srcId="{E04E08AE-21F4-494C-8E94-9536B88193BE}" destId="{98348C5F-DC54-43F0-B273-E6D73E01B5EE}" srcOrd="0" destOrd="0" presId="urn:microsoft.com/office/officeart/2008/layout/HorizontalMultiLevelHierarchy"/>
    <dgm:cxn modelId="{B827073B-E130-40BC-A4E7-2F3B854BADA8}" type="presParOf" srcId="{804220C5-5BDE-4C53-8986-DD851D8D3A28}" destId="{FCF211C8-4D0E-4028-AC86-4C5B387FF6F9}" srcOrd="1" destOrd="0" presId="urn:microsoft.com/office/officeart/2008/layout/HorizontalMultiLevelHierarchy"/>
    <dgm:cxn modelId="{89FFD50D-20C7-4870-A309-22772D45EAA9}" type="presParOf" srcId="{FCF211C8-4D0E-4028-AC86-4C5B387FF6F9}" destId="{DC73BA58-4BC3-4AEE-8B42-29F7D3DF5327}" srcOrd="0" destOrd="0" presId="urn:microsoft.com/office/officeart/2008/layout/HorizontalMultiLevelHierarchy"/>
    <dgm:cxn modelId="{E043DF97-87C8-437C-A041-0256FEAE83FB}" type="presParOf" srcId="{FCF211C8-4D0E-4028-AC86-4C5B387FF6F9}" destId="{48291A40-684D-4356-A5F5-475BF0060C0A}" srcOrd="1" destOrd="0" presId="urn:microsoft.com/office/officeart/2008/layout/HorizontalMultiLevelHierarchy"/>
    <dgm:cxn modelId="{6D970078-0404-4216-8B5D-8F008252BFDB}" type="presParOf" srcId="{48291A40-684D-4356-A5F5-475BF0060C0A}" destId="{AA00CE5F-B06A-438B-A204-44899F7F433D}" srcOrd="0" destOrd="0" presId="urn:microsoft.com/office/officeart/2008/layout/HorizontalMultiLevelHierarchy"/>
    <dgm:cxn modelId="{D2A5F0DA-3F86-4F16-B5F1-2888D1A3EEE8}" type="presParOf" srcId="{AA00CE5F-B06A-438B-A204-44899F7F433D}" destId="{F7A8EDB7-4704-4603-9083-19B245E5FCBB}" srcOrd="0" destOrd="0" presId="urn:microsoft.com/office/officeart/2008/layout/HorizontalMultiLevelHierarchy"/>
    <dgm:cxn modelId="{98D2E5A2-44B8-4EE3-8A1E-265AE7644069}" type="presParOf" srcId="{48291A40-684D-4356-A5F5-475BF0060C0A}" destId="{C2E3D309-6D9C-4A0E-A6C9-9B092902DAD6}" srcOrd="1" destOrd="0" presId="urn:microsoft.com/office/officeart/2008/layout/HorizontalMultiLevelHierarchy"/>
    <dgm:cxn modelId="{84B1AE38-51E2-4731-9579-B20F662FC3B9}" type="presParOf" srcId="{C2E3D309-6D9C-4A0E-A6C9-9B092902DAD6}" destId="{712175C5-BF1B-4283-B8FE-31EC1249585C}" srcOrd="0" destOrd="0" presId="urn:microsoft.com/office/officeart/2008/layout/HorizontalMultiLevelHierarchy"/>
    <dgm:cxn modelId="{039621BE-0AF6-4402-B33C-484CB026FF2C}" type="presParOf" srcId="{C2E3D309-6D9C-4A0E-A6C9-9B092902DAD6}" destId="{D6FBDF51-D15E-4E48-9539-A617D2E0B6BE}" srcOrd="1" destOrd="0" presId="urn:microsoft.com/office/officeart/2008/layout/HorizontalMultiLevelHierarchy"/>
    <dgm:cxn modelId="{DF1988DC-ECD2-4BEE-8D58-A520E7E1AFC1}" type="presParOf" srcId="{48291A40-684D-4356-A5F5-475BF0060C0A}" destId="{D004409E-E2E7-4ACD-A696-65980A0F7E7C}" srcOrd="2" destOrd="0" presId="urn:microsoft.com/office/officeart/2008/layout/HorizontalMultiLevelHierarchy"/>
    <dgm:cxn modelId="{5C6239FA-D8A9-4333-A5BF-2B224701788C}" type="presParOf" srcId="{D004409E-E2E7-4ACD-A696-65980A0F7E7C}" destId="{997F21E6-B53A-48A9-98B8-33DE2C8FFB40}" srcOrd="0" destOrd="0" presId="urn:microsoft.com/office/officeart/2008/layout/HorizontalMultiLevelHierarchy"/>
    <dgm:cxn modelId="{5F93E56A-C962-48D4-A6D5-C667A83790F8}" type="presParOf" srcId="{48291A40-684D-4356-A5F5-475BF0060C0A}" destId="{29916134-6FE0-43D3-84CA-8EB895F9EAC7}" srcOrd="3" destOrd="0" presId="urn:microsoft.com/office/officeart/2008/layout/HorizontalMultiLevelHierarchy"/>
    <dgm:cxn modelId="{0C4BDC15-FA4A-4E3D-98B4-F69151E32B6B}" type="presParOf" srcId="{29916134-6FE0-43D3-84CA-8EB895F9EAC7}" destId="{151FCCF4-9616-402F-8581-981DC270887B}" srcOrd="0" destOrd="0" presId="urn:microsoft.com/office/officeart/2008/layout/HorizontalMultiLevelHierarchy"/>
    <dgm:cxn modelId="{FF35BF04-086B-4558-B420-612C44FC9A92}" type="presParOf" srcId="{29916134-6FE0-43D3-84CA-8EB895F9EAC7}" destId="{BE9FBDD0-3123-48CF-88DE-A247F0842ADD}" srcOrd="1" destOrd="0" presId="urn:microsoft.com/office/officeart/2008/layout/HorizontalMultiLevelHierarchy"/>
    <dgm:cxn modelId="{3AFF048E-09F0-4B77-A77D-D9869BE17E95}" type="presParOf" srcId="{2BC0EE69-3BBB-4B0D-8688-4272F03A95C6}" destId="{2AC473AC-5BDE-47A5-861B-8F7D4CCC4BF6}" srcOrd="2" destOrd="0" presId="urn:microsoft.com/office/officeart/2008/layout/HorizontalMultiLevelHierarchy"/>
    <dgm:cxn modelId="{580510CB-DE60-4BB4-973A-830242D79300}" type="presParOf" srcId="{2AC473AC-5BDE-47A5-861B-8F7D4CCC4BF6}" destId="{FEEB90B8-CF09-4013-A1DE-0AA093F7525D}" srcOrd="0" destOrd="0" presId="urn:microsoft.com/office/officeart/2008/layout/HorizontalMultiLevelHierarchy"/>
    <dgm:cxn modelId="{14EEEFBF-74A9-4C28-8ED2-FA8CF868D002}" type="presParOf" srcId="{2BC0EE69-3BBB-4B0D-8688-4272F03A95C6}" destId="{50EAFB9F-6271-44F6-9517-CEBFF18C8C35}" srcOrd="3" destOrd="0" presId="urn:microsoft.com/office/officeart/2008/layout/HorizontalMultiLevelHierarchy"/>
    <dgm:cxn modelId="{7E5B2BF4-E343-4FF2-A432-02513B9D8734}" type="presParOf" srcId="{50EAFB9F-6271-44F6-9517-CEBFF18C8C35}" destId="{0A8B1590-562C-4F24-8E58-0A8A12DB9C9D}" srcOrd="0" destOrd="0" presId="urn:microsoft.com/office/officeart/2008/layout/HorizontalMultiLevelHierarchy"/>
    <dgm:cxn modelId="{A7C7C0EC-57C4-4538-9F02-7C44670877F1}" type="presParOf" srcId="{50EAFB9F-6271-44F6-9517-CEBFF18C8C35}" destId="{3FE76806-05DA-47DB-AB92-3124066B69F2}" srcOrd="1" destOrd="0" presId="urn:microsoft.com/office/officeart/2008/layout/HorizontalMultiLevelHierarchy"/>
    <dgm:cxn modelId="{9D154C9F-64CC-4B2C-A408-27763346A563}" type="presParOf" srcId="{3FE76806-05DA-47DB-AB92-3124066B69F2}" destId="{994F5DBD-7E9D-4209-863D-A6F5A9AD0CDC}" srcOrd="0" destOrd="0" presId="urn:microsoft.com/office/officeart/2008/layout/HorizontalMultiLevelHierarchy"/>
    <dgm:cxn modelId="{63252D1C-B08E-4E06-A8BB-B551F32CE2FA}" type="presParOf" srcId="{994F5DBD-7E9D-4209-863D-A6F5A9AD0CDC}" destId="{0155D115-A3FF-4DA7-9F1A-6BC857C2EE09}" srcOrd="0" destOrd="0" presId="urn:microsoft.com/office/officeart/2008/layout/HorizontalMultiLevelHierarchy"/>
    <dgm:cxn modelId="{137A9C6F-6954-4D59-8ADC-87F641E81B56}" type="presParOf" srcId="{3FE76806-05DA-47DB-AB92-3124066B69F2}" destId="{7690A2CF-4281-4520-BF7E-0D2C9F9C5D23}" srcOrd="1" destOrd="0" presId="urn:microsoft.com/office/officeart/2008/layout/HorizontalMultiLevelHierarchy"/>
    <dgm:cxn modelId="{A899CA95-A60C-41BA-A15A-D20AF1365BB5}" type="presParOf" srcId="{7690A2CF-4281-4520-BF7E-0D2C9F9C5D23}" destId="{A6798D2B-8008-44F9-A054-764E970CC125}" srcOrd="0" destOrd="0" presId="urn:microsoft.com/office/officeart/2008/layout/HorizontalMultiLevelHierarchy"/>
    <dgm:cxn modelId="{C851F6B2-71FB-4A32-BD39-B1885B38ECFA}" type="presParOf" srcId="{7690A2CF-4281-4520-BF7E-0D2C9F9C5D23}" destId="{4EF205F3-8BE7-434F-A844-8E179212822A}" srcOrd="1" destOrd="0" presId="urn:microsoft.com/office/officeart/2008/layout/HorizontalMultiLevelHierarchy"/>
  </dgm:cxnLst>
  <dgm:bg/>
  <dgm:whole>
    <a:ln w="3175">
      <a:noFill/>
    </a:ln>
  </dgm:whole>
  <dgm:extLst>
    <a:ext uri="http://schemas.microsoft.com/office/drawing/2008/diagram">
      <dsp:dataModelExt xmlns:dsp="http://schemas.microsoft.com/office/drawing/2008/diagram" relId="rId2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8F0B95-888A-4FB3-8935-C450C424E3C8}">
      <dsp:nvSpPr>
        <dsp:cNvPr id="0" name=""/>
        <dsp:cNvSpPr/>
      </dsp:nvSpPr>
      <dsp:spPr>
        <a:xfrm rot="5400000">
          <a:off x="-180022" y="180877"/>
          <a:ext cx="1200150" cy="840105"/>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dirty="0"/>
            <a:t>Criteria</a:t>
          </a:r>
        </a:p>
      </dsp:txBody>
      <dsp:txXfrm rot="-5400000">
        <a:off x="1" y="420908"/>
        <a:ext cx="840105" cy="360045"/>
      </dsp:txXfrm>
    </dsp:sp>
    <dsp:sp modelId="{2C38800E-CDE9-4963-BD5C-3C9C44067D79}">
      <dsp:nvSpPr>
        <dsp:cNvPr id="0" name=""/>
        <dsp:cNvSpPr/>
      </dsp:nvSpPr>
      <dsp:spPr>
        <a:xfrm rot="5400000">
          <a:off x="3459003" y="-2618043"/>
          <a:ext cx="780097" cy="6017895"/>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80000"/>
            </a:lnSpc>
            <a:spcBef>
              <a:spcPct val="0"/>
            </a:spcBef>
            <a:spcAft>
              <a:spcPct val="15000"/>
            </a:spcAft>
            <a:buChar char="•"/>
          </a:pPr>
          <a:r>
            <a:rPr lang="en-US" sz="800" kern="1200" dirty="0"/>
            <a:t>At least one household member must live with HIV.</a:t>
          </a:r>
        </a:p>
        <a:p>
          <a:pPr marL="57150" lvl="1" indent="-57150" algn="l" defTabSz="355600">
            <a:lnSpc>
              <a:spcPct val="80000"/>
            </a:lnSpc>
            <a:spcBef>
              <a:spcPct val="0"/>
            </a:spcBef>
            <a:spcAft>
              <a:spcPct val="15000"/>
            </a:spcAft>
            <a:buChar char="•"/>
          </a:pPr>
          <a:r>
            <a:rPr lang="en-US" sz="800" kern="1200" dirty="0"/>
            <a:t>Household annual income cannot exceed 80 percent of area median income per the household's county of residence.</a:t>
          </a:r>
        </a:p>
        <a:p>
          <a:pPr marL="57150" lvl="1" indent="-57150" algn="l" defTabSz="355600">
            <a:lnSpc>
              <a:spcPct val="80000"/>
            </a:lnSpc>
            <a:spcBef>
              <a:spcPct val="0"/>
            </a:spcBef>
            <a:spcAft>
              <a:spcPct val="15000"/>
            </a:spcAft>
            <a:buChar char="•"/>
          </a:pPr>
          <a:r>
            <a:rPr lang="en-US" sz="800" kern="1200" dirty="0"/>
            <a:t>The household must reside in the Project Sponsor's HSDA.</a:t>
          </a:r>
        </a:p>
      </dsp:txBody>
      <dsp:txXfrm rot="-5400000">
        <a:off x="840104" y="856"/>
        <a:ext cx="6017895" cy="780097"/>
      </dsp:txXfrm>
    </dsp:sp>
    <dsp:sp modelId="{21A802FF-5D6D-40F0-A9B1-C5BD7DD33537}">
      <dsp:nvSpPr>
        <dsp:cNvPr id="0" name=""/>
        <dsp:cNvSpPr/>
      </dsp:nvSpPr>
      <dsp:spPr>
        <a:xfrm rot="5400000">
          <a:off x="-180022" y="1180147"/>
          <a:ext cx="1200150" cy="840105"/>
        </a:xfrm>
        <a:prstGeom prst="chevron">
          <a:avLst/>
        </a:prstGeom>
        <a:solidFill>
          <a:schemeClr val="accent2">
            <a:hueOff val="-727682"/>
            <a:satOff val="-41964"/>
            <a:lumOff val="4314"/>
            <a:alphaOff val="0"/>
          </a:schemeClr>
        </a:solidFill>
        <a:ln w="12700" cap="flat" cmpd="sng" algn="ctr">
          <a:solidFill>
            <a:schemeClr val="accent2">
              <a:hueOff val="-727682"/>
              <a:satOff val="-41964"/>
              <a:lumOff val="431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dirty="0"/>
            <a:t>Proof</a:t>
          </a:r>
        </a:p>
      </dsp:txBody>
      <dsp:txXfrm rot="-5400000">
        <a:off x="1" y="1420178"/>
        <a:ext cx="840105" cy="360045"/>
      </dsp:txXfrm>
    </dsp:sp>
    <dsp:sp modelId="{B25D9B16-7BA3-461E-9B5A-337C20791BE2}">
      <dsp:nvSpPr>
        <dsp:cNvPr id="0" name=""/>
        <dsp:cNvSpPr/>
      </dsp:nvSpPr>
      <dsp:spPr>
        <a:xfrm rot="5400000">
          <a:off x="3459003" y="-1618773"/>
          <a:ext cx="780097" cy="6017895"/>
        </a:xfrm>
        <a:prstGeom prst="rect">
          <a:avLst/>
        </a:prstGeom>
        <a:solidFill>
          <a:schemeClr val="lt1">
            <a:alpha val="90000"/>
            <a:hueOff val="0"/>
            <a:satOff val="0"/>
            <a:lumOff val="0"/>
            <a:alphaOff val="0"/>
          </a:schemeClr>
        </a:solidFill>
        <a:ln w="12700" cap="flat" cmpd="sng" algn="ctr">
          <a:solidFill>
            <a:schemeClr val="accent2">
              <a:hueOff val="-727682"/>
              <a:satOff val="-41964"/>
              <a:lumOff val="431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80000"/>
            </a:lnSpc>
            <a:spcBef>
              <a:spcPct val="0"/>
            </a:spcBef>
            <a:spcAft>
              <a:spcPct val="15000"/>
            </a:spcAft>
            <a:buChar char="•"/>
          </a:pPr>
          <a:r>
            <a:rPr lang="en-US" sz="800" kern="1200" dirty="0"/>
            <a:t>Proof of HIV </a:t>
          </a:r>
          <a:r>
            <a:rPr lang="en-US" sz="800" kern="1200" dirty="0" err="1"/>
            <a:t>seropositivity</a:t>
          </a:r>
          <a:r>
            <a:rPr lang="en-US" sz="800" kern="1200" dirty="0"/>
            <a:t> for at least one household member</a:t>
          </a:r>
        </a:p>
        <a:p>
          <a:pPr marL="57150" lvl="1" indent="-57150" algn="l" defTabSz="355600">
            <a:lnSpc>
              <a:spcPct val="80000"/>
            </a:lnSpc>
            <a:spcBef>
              <a:spcPct val="0"/>
            </a:spcBef>
            <a:spcAft>
              <a:spcPct val="15000"/>
            </a:spcAft>
            <a:buChar char="•"/>
          </a:pPr>
          <a:r>
            <a:rPr lang="en-US" sz="800" kern="1200" dirty="0"/>
            <a:t>Proof of income for all household members aged 18 years old or older</a:t>
          </a:r>
        </a:p>
        <a:p>
          <a:pPr marL="57150" lvl="1" indent="-57150" algn="l" defTabSz="355600">
            <a:lnSpc>
              <a:spcPct val="80000"/>
            </a:lnSpc>
            <a:spcBef>
              <a:spcPct val="0"/>
            </a:spcBef>
            <a:spcAft>
              <a:spcPct val="15000"/>
            </a:spcAft>
            <a:buChar char="•"/>
          </a:pPr>
          <a:r>
            <a:rPr lang="en-US" sz="800" kern="1200" dirty="0"/>
            <a:t>Proof of current residency for all household members aged 18 years old or older</a:t>
          </a:r>
        </a:p>
      </dsp:txBody>
      <dsp:txXfrm rot="-5400000">
        <a:off x="840104" y="1000126"/>
        <a:ext cx="6017895" cy="780097"/>
      </dsp:txXfrm>
    </dsp:sp>
    <dsp:sp modelId="{F56A1D89-7E5D-4C47-82A8-544F2A5E5956}">
      <dsp:nvSpPr>
        <dsp:cNvPr id="0" name=""/>
        <dsp:cNvSpPr/>
      </dsp:nvSpPr>
      <dsp:spPr>
        <a:xfrm rot="5400000">
          <a:off x="-180022" y="2179417"/>
          <a:ext cx="1200150" cy="840105"/>
        </a:xfrm>
        <a:prstGeom prst="chevron">
          <a:avLst/>
        </a:prstGeom>
        <a:solidFill>
          <a:schemeClr val="accent2">
            <a:hueOff val="-1455363"/>
            <a:satOff val="-83928"/>
            <a:lumOff val="8628"/>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dirty="0"/>
            <a:t>Documentation</a:t>
          </a:r>
        </a:p>
      </dsp:txBody>
      <dsp:txXfrm rot="-5400000">
        <a:off x="1" y="2419448"/>
        <a:ext cx="840105" cy="360045"/>
      </dsp:txXfrm>
    </dsp:sp>
    <dsp:sp modelId="{E5072402-C8D8-4B36-AE7B-23F3884E984A}">
      <dsp:nvSpPr>
        <dsp:cNvPr id="0" name=""/>
        <dsp:cNvSpPr/>
      </dsp:nvSpPr>
      <dsp:spPr>
        <a:xfrm rot="5400000">
          <a:off x="3459003" y="-619503"/>
          <a:ext cx="780097" cy="6017895"/>
        </a:xfrm>
        <a:prstGeom prst="rect">
          <a:avLst/>
        </a:prstGeom>
        <a:solidFill>
          <a:schemeClr val="lt1">
            <a:alpha val="90000"/>
            <a:hueOff val="0"/>
            <a:satOff val="0"/>
            <a:lumOff val="0"/>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80000"/>
            </a:lnSpc>
            <a:spcBef>
              <a:spcPct val="0"/>
            </a:spcBef>
            <a:spcAft>
              <a:spcPct val="15000"/>
            </a:spcAft>
            <a:buChar char="•"/>
          </a:pPr>
          <a:r>
            <a:rPr lang="en-US" sz="800" kern="1200" dirty="0"/>
            <a:t>Proof of HIV: Documentation must predate the initial eligibility certification date.</a:t>
          </a:r>
        </a:p>
        <a:p>
          <a:pPr marL="57150" lvl="1" indent="-57150" algn="l" defTabSz="355600">
            <a:lnSpc>
              <a:spcPct val="80000"/>
            </a:lnSpc>
            <a:spcBef>
              <a:spcPct val="0"/>
            </a:spcBef>
            <a:spcAft>
              <a:spcPct val="15000"/>
            </a:spcAft>
            <a:buChar char="•"/>
          </a:pPr>
          <a:r>
            <a:rPr lang="en-US" sz="800" kern="1200" dirty="0"/>
            <a:t>Proof of Income: The DSHS HOPWA Determining Household Annual Income Guide outlines acceptable forms of documentation, whose income counts, and income inclusions and exclusions. This documentation must be complete and cover the 30 days immediately preceding the eligibility certification or recertification date.</a:t>
          </a:r>
        </a:p>
        <a:p>
          <a:pPr marL="57150" lvl="1" indent="-57150" algn="l" defTabSz="355600">
            <a:lnSpc>
              <a:spcPct val="80000"/>
            </a:lnSpc>
            <a:spcBef>
              <a:spcPct val="0"/>
            </a:spcBef>
            <a:spcAft>
              <a:spcPct val="15000"/>
            </a:spcAft>
            <a:buChar char="•"/>
          </a:pPr>
          <a:r>
            <a:rPr lang="en-US" sz="800" kern="1200" dirty="0"/>
            <a:t>Proof of Residency: The household must reside in the Project Sponsor’s HSDA. This documentation must be current as of the eligibility certification or recertification date.</a:t>
          </a:r>
        </a:p>
      </dsp:txBody>
      <dsp:txXfrm rot="-5400000">
        <a:off x="840104" y="1999396"/>
        <a:ext cx="6017895" cy="78009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076BE2-BD08-4E15-8CE9-7DDE33FE6768}">
      <dsp:nvSpPr>
        <dsp:cNvPr id="0" name=""/>
        <dsp:cNvSpPr/>
      </dsp:nvSpPr>
      <dsp:spPr>
        <a:xfrm>
          <a:off x="772" y="679774"/>
          <a:ext cx="1364545" cy="341136"/>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dirty="0"/>
            <a:t>TBRA</a:t>
          </a:r>
        </a:p>
      </dsp:txBody>
      <dsp:txXfrm>
        <a:off x="10764" y="689766"/>
        <a:ext cx="1344561" cy="321152"/>
      </dsp:txXfrm>
    </dsp:sp>
    <dsp:sp modelId="{888C2F89-B251-48F6-89B6-27BDD7DE78FE}">
      <dsp:nvSpPr>
        <dsp:cNvPr id="0" name=""/>
        <dsp:cNvSpPr/>
      </dsp:nvSpPr>
      <dsp:spPr>
        <a:xfrm rot="5400000">
          <a:off x="653195" y="1050759"/>
          <a:ext cx="59698" cy="59698"/>
        </a:xfrm>
        <a:prstGeom prst="rightArrow">
          <a:avLst>
            <a:gd name="adj1" fmla="val 667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5FD9120-E8BC-4234-8BAC-F6D998F7771B}">
      <dsp:nvSpPr>
        <dsp:cNvPr id="0" name=""/>
        <dsp:cNvSpPr/>
      </dsp:nvSpPr>
      <dsp:spPr>
        <a:xfrm>
          <a:off x="772" y="1140308"/>
          <a:ext cx="1364545" cy="341136"/>
        </a:xfrm>
        <a:prstGeom prst="roundRect">
          <a:avLst>
            <a:gd name="adj" fmla="val 10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Household can be housed or homeless</a:t>
          </a:r>
        </a:p>
      </dsp:txBody>
      <dsp:txXfrm>
        <a:off x="10764" y="1150300"/>
        <a:ext cx="1344561" cy="321152"/>
      </dsp:txXfrm>
    </dsp:sp>
    <dsp:sp modelId="{3F885AE3-488F-419D-80B8-C9EC1D407F8C}">
      <dsp:nvSpPr>
        <dsp:cNvPr id="0" name=""/>
        <dsp:cNvSpPr/>
      </dsp:nvSpPr>
      <dsp:spPr>
        <a:xfrm rot="5400000">
          <a:off x="653195" y="1511294"/>
          <a:ext cx="59698" cy="59698"/>
        </a:xfrm>
        <a:prstGeom prst="rightArrow">
          <a:avLst>
            <a:gd name="adj1" fmla="val 66700"/>
            <a:gd name="adj2" fmla="val 50000"/>
          </a:avLst>
        </a:prstGeom>
        <a:solidFill>
          <a:schemeClr val="accent5">
            <a:hueOff val="-141410"/>
            <a:satOff val="-197"/>
            <a:lumOff val="-7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FAE3C3A-F3DA-409E-BDC8-AD6CCD4F9901}">
      <dsp:nvSpPr>
        <dsp:cNvPr id="0" name=""/>
        <dsp:cNvSpPr/>
      </dsp:nvSpPr>
      <dsp:spPr>
        <a:xfrm>
          <a:off x="772" y="1600842"/>
          <a:ext cx="1364545" cy="341136"/>
        </a:xfrm>
        <a:prstGeom prst="roundRect">
          <a:avLst>
            <a:gd name="adj" fmla="val 10000"/>
          </a:avLst>
        </a:prstGeom>
        <a:solidFill>
          <a:schemeClr val="accent5">
            <a:tint val="40000"/>
            <a:alpha val="90000"/>
            <a:hueOff val="-142149"/>
            <a:satOff val="-246"/>
            <a:lumOff val="-25"/>
            <a:alphaOff val="0"/>
          </a:schemeClr>
        </a:solidFill>
        <a:ln w="12700" cap="flat" cmpd="sng" algn="ctr">
          <a:solidFill>
            <a:schemeClr val="accent5">
              <a:tint val="40000"/>
              <a:alpha val="90000"/>
              <a:hueOff val="-142149"/>
              <a:satOff val="-246"/>
              <a:lumOff val="-2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Obtain documentation of what you pay for and who you pay</a:t>
          </a:r>
        </a:p>
      </dsp:txBody>
      <dsp:txXfrm>
        <a:off x="10764" y="1610834"/>
        <a:ext cx="1344561" cy="321152"/>
      </dsp:txXfrm>
    </dsp:sp>
    <dsp:sp modelId="{37A04532-842B-45A5-AA01-142523E883EC}">
      <dsp:nvSpPr>
        <dsp:cNvPr id="0" name=""/>
        <dsp:cNvSpPr/>
      </dsp:nvSpPr>
      <dsp:spPr>
        <a:xfrm rot="5400000">
          <a:off x="653195" y="1971828"/>
          <a:ext cx="59698" cy="59698"/>
        </a:xfrm>
        <a:prstGeom prst="rightArrow">
          <a:avLst>
            <a:gd name="adj1" fmla="val 66700"/>
            <a:gd name="adj2" fmla="val 50000"/>
          </a:avLst>
        </a:prstGeom>
        <a:solidFill>
          <a:schemeClr val="accent5">
            <a:hueOff val="-282821"/>
            <a:satOff val="-393"/>
            <a:lumOff val="-15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9DD8DD2-CAC1-4198-BA90-AAEB5E24AF7C}">
      <dsp:nvSpPr>
        <dsp:cNvPr id="0" name=""/>
        <dsp:cNvSpPr/>
      </dsp:nvSpPr>
      <dsp:spPr>
        <a:xfrm>
          <a:off x="772" y="2061376"/>
          <a:ext cx="1364545" cy="341136"/>
        </a:xfrm>
        <a:prstGeom prst="roundRect">
          <a:avLst>
            <a:gd name="adj" fmla="val 10000"/>
          </a:avLst>
        </a:prstGeom>
        <a:solidFill>
          <a:schemeClr val="accent5">
            <a:tint val="40000"/>
            <a:alpha val="90000"/>
            <a:hueOff val="-284298"/>
            <a:satOff val="-493"/>
            <a:lumOff val="-50"/>
            <a:alphaOff val="0"/>
          </a:schemeClr>
        </a:solidFill>
        <a:ln w="12700" cap="flat" cmpd="sng" algn="ctr">
          <a:solidFill>
            <a:schemeClr val="accent5">
              <a:tint val="40000"/>
              <a:alpha val="90000"/>
              <a:hueOff val="-284298"/>
              <a:satOff val="-493"/>
              <a:lumOff val="-5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Housing Quality Standards Certification</a:t>
          </a:r>
        </a:p>
      </dsp:txBody>
      <dsp:txXfrm>
        <a:off x="10764" y="2071368"/>
        <a:ext cx="1344561" cy="321152"/>
      </dsp:txXfrm>
    </dsp:sp>
    <dsp:sp modelId="{6D2F8A3F-23ED-4719-8730-63F21B50B179}">
      <dsp:nvSpPr>
        <dsp:cNvPr id="0" name=""/>
        <dsp:cNvSpPr/>
      </dsp:nvSpPr>
      <dsp:spPr>
        <a:xfrm rot="5400000">
          <a:off x="653195" y="2432362"/>
          <a:ext cx="59698" cy="59698"/>
        </a:xfrm>
        <a:prstGeom prst="rightArrow">
          <a:avLst>
            <a:gd name="adj1" fmla="val 66700"/>
            <a:gd name="adj2" fmla="val 50000"/>
          </a:avLst>
        </a:prstGeom>
        <a:solidFill>
          <a:schemeClr val="accent5">
            <a:hueOff val="-424231"/>
            <a:satOff val="-590"/>
            <a:lumOff val="-22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874195F-51CF-4EBD-AD2C-D314EA0A81B3}">
      <dsp:nvSpPr>
        <dsp:cNvPr id="0" name=""/>
        <dsp:cNvSpPr/>
      </dsp:nvSpPr>
      <dsp:spPr>
        <a:xfrm>
          <a:off x="772" y="2521910"/>
          <a:ext cx="1364545" cy="341136"/>
        </a:xfrm>
        <a:prstGeom prst="roundRect">
          <a:avLst>
            <a:gd name="adj" fmla="val 10000"/>
          </a:avLst>
        </a:prstGeom>
        <a:solidFill>
          <a:schemeClr val="accent5">
            <a:tint val="40000"/>
            <a:alpha val="90000"/>
            <a:hueOff val="-426447"/>
            <a:satOff val="-739"/>
            <a:lumOff val="-74"/>
            <a:alphaOff val="0"/>
          </a:schemeClr>
        </a:solidFill>
        <a:ln w="12700" cap="flat" cmpd="sng" algn="ctr">
          <a:solidFill>
            <a:schemeClr val="accent5">
              <a:tint val="40000"/>
              <a:alpha val="90000"/>
              <a:hueOff val="-426447"/>
              <a:satOff val="-739"/>
              <a:lumOff val="-7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Rent Standard &amp; Rent Reasonableness Examination</a:t>
          </a:r>
        </a:p>
      </dsp:txBody>
      <dsp:txXfrm>
        <a:off x="10764" y="2531902"/>
        <a:ext cx="1344561" cy="321152"/>
      </dsp:txXfrm>
    </dsp:sp>
    <dsp:sp modelId="{4CACD1A7-A914-4475-A0CF-17B3720FF29D}">
      <dsp:nvSpPr>
        <dsp:cNvPr id="0" name=""/>
        <dsp:cNvSpPr/>
      </dsp:nvSpPr>
      <dsp:spPr>
        <a:xfrm rot="5400000">
          <a:off x="653195" y="2892896"/>
          <a:ext cx="59698" cy="59698"/>
        </a:xfrm>
        <a:prstGeom prst="rightArrow">
          <a:avLst>
            <a:gd name="adj1" fmla="val 66700"/>
            <a:gd name="adj2" fmla="val 50000"/>
          </a:avLst>
        </a:prstGeom>
        <a:solidFill>
          <a:schemeClr val="accent5">
            <a:hueOff val="-565642"/>
            <a:satOff val="-787"/>
            <a:lumOff val="-30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57F6BA2-BE6B-4A1B-95A5-DAFCEF4DA5E5}">
      <dsp:nvSpPr>
        <dsp:cNvPr id="0" name=""/>
        <dsp:cNvSpPr/>
      </dsp:nvSpPr>
      <dsp:spPr>
        <a:xfrm>
          <a:off x="772" y="2982444"/>
          <a:ext cx="1364545" cy="341136"/>
        </a:xfrm>
        <a:prstGeom prst="roundRect">
          <a:avLst>
            <a:gd name="adj" fmla="val 10000"/>
          </a:avLst>
        </a:prstGeom>
        <a:solidFill>
          <a:schemeClr val="accent5">
            <a:tint val="40000"/>
            <a:alpha val="90000"/>
            <a:hueOff val="-568597"/>
            <a:satOff val="-986"/>
            <a:lumOff val="-99"/>
            <a:alphaOff val="0"/>
          </a:schemeClr>
        </a:solidFill>
        <a:ln w="12700" cap="flat" cmpd="sng" algn="ctr">
          <a:solidFill>
            <a:schemeClr val="accent5">
              <a:tint val="40000"/>
              <a:alpha val="90000"/>
              <a:hueOff val="-568597"/>
              <a:satOff val="-986"/>
              <a:lumOff val="-9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Rental assistance calculation</a:t>
          </a:r>
        </a:p>
      </dsp:txBody>
      <dsp:txXfrm>
        <a:off x="10764" y="2992436"/>
        <a:ext cx="1344561" cy="321152"/>
      </dsp:txXfrm>
    </dsp:sp>
    <dsp:sp modelId="{73AB737E-5E2B-42A7-BCE8-418D03BDB19A}">
      <dsp:nvSpPr>
        <dsp:cNvPr id="0" name=""/>
        <dsp:cNvSpPr/>
      </dsp:nvSpPr>
      <dsp:spPr>
        <a:xfrm rot="5400000">
          <a:off x="653195" y="3353430"/>
          <a:ext cx="59698" cy="59698"/>
        </a:xfrm>
        <a:prstGeom prst="rightArrow">
          <a:avLst>
            <a:gd name="adj1" fmla="val 66700"/>
            <a:gd name="adj2" fmla="val 50000"/>
          </a:avLst>
        </a:prstGeom>
        <a:solidFill>
          <a:schemeClr val="accent5">
            <a:hueOff val="-707052"/>
            <a:satOff val="-983"/>
            <a:lumOff val="-37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ED15A31-2A6F-4851-AD2B-008B39B3626A}">
      <dsp:nvSpPr>
        <dsp:cNvPr id="0" name=""/>
        <dsp:cNvSpPr/>
      </dsp:nvSpPr>
      <dsp:spPr>
        <a:xfrm>
          <a:off x="772" y="3442978"/>
          <a:ext cx="1364545" cy="341136"/>
        </a:xfrm>
        <a:prstGeom prst="roundRect">
          <a:avLst>
            <a:gd name="adj" fmla="val 10000"/>
          </a:avLst>
        </a:prstGeom>
        <a:solidFill>
          <a:schemeClr val="accent5">
            <a:tint val="40000"/>
            <a:alpha val="90000"/>
            <a:hueOff val="-710746"/>
            <a:satOff val="-1232"/>
            <a:lumOff val="-124"/>
            <a:alphaOff val="0"/>
          </a:schemeClr>
        </a:solidFill>
        <a:ln w="12700" cap="flat" cmpd="sng" algn="ctr">
          <a:solidFill>
            <a:schemeClr val="accent5">
              <a:tint val="40000"/>
              <a:alpha val="90000"/>
              <a:hueOff val="-710746"/>
              <a:satOff val="-1232"/>
              <a:lumOff val="-12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Service starts</a:t>
          </a:r>
        </a:p>
      </dsp:txBody>
      <dsp:txXfrm>
        <a:off x="10764" y="3452970"/>
        <a:ext cx="1344561" cy="321152"/>
      </dsp:txXfrm>
    </dsp:sp>
    <dsp:sp modelId="{2A23F210-3D52-4FF0-A1DF-09D2840C17AD}">
      <dsp:nvSpPr>
        <dsp:cNvPr id="0" name=""/>
        <dsp:cNvSpPr/>
      </dsp:nvSpPr>
      <dsp:spPr>
        <a:xfrm rot="5400000">
          <a:off x="653195" y="3813964"/>
          <a:ext cx="59698" cy="59698"/>
        </a:xfrm>
        <a:prstGeom prst="rightArrow">
          <a:avLst>
            <a:gd name="adj1" fmla="val 66700"/>
            <a:gd name="adj2" fmla="val 50000"/>
          </a:avLst>
        </a:prstGeom>
        <a:solidFill>
          <a:schemeClr val="accent5">
            <a:hueOff val="-848463"/>
            <a:satOff val="-1180"/>
            <a:lumOff val="-45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9C41CEE-2F95-4B3A-8CD9-2A34D320ED90}">
      <dsp:nvSpPr>
        <dsp:cNvPr id="0" name=""/>
        <dsp:cNvSpPr/>
      </dsp:nvSpPr>
      <dsp:spPr>
        <a:xfrm>
          <a:off x="772" y="3903512"/>
          <a:ext cx="1364545" cy="341136"/>
        </a:xfrm>
        <a:prstGeom prst="roundRect">
          <a:avLst>
            <a:gd name="adj" fmla="val 10000"/>
          </a:avLst>
        </a:prstGeom>
        <a:solidFill>
          <a:schemeClr val="accent5">
            <a:tint val="40000"/>
            <a:alpha val="90000"/>
            <a:hueOff val="-852895"/>
            <a:satOff val="-1479"/>
            <a:lumOff val="-149"/>
            <a:alphaOff val="0"/>
          </a:schemeClr>
        </a:solidFill>
        <a:ln w="12700" cap="flat" cmpd="sng" algn="ctr">
          <a:solidFill>
            <a:schemeClr val="accent5">
              <a:tint val="40000"/>
              <a:alpha val="90000"/>
              <a:hueOff val="-852895"/>
              <a:satOff val="-1479"/>
              <a:lumOff val="-14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Pays subsidy for current rent (sometimes utilities)</a:t>
          </a:r>
        </a:p>
      </dsp:txBody>
      <dsp:txXfrm>
        <a:off x="10764" y="3913504"/>
        <a:ext cx="1344561" cy="321152"/>
      </dsp:txXfrm>
    </dsp:sp>
    <dsp:sp modelId="{77067563-5465-4465-9DD8-F602876BA92A}">
      <dsp:nvSpPr>
        <dsp:cNvPr id="0" name=""/>
        <dsp:cNvSpPr/>
      </dsp:nvSpPr>
      <dsp:spPr>
        <a:xfrm rot="5400000">
          <a:off x="653195" y="4274498"/>
          <a:ext cx="59698" cy="59698"/>
        </a:xfrm>
        <a:prstGeom prst="rightArrow">
          <a:avLst>
            <a:gd name="adj1" fmla="val 66700"/>
            <a:gd name="adj2" fmla="val 50000"/>
          </a:avLst>
        </a:prstGeom>
        <a:solidFill>
          <a:schemeClr val="accent5">
            <a:hueOff val="-989873"/>
            <a:satOff val="-1377"/>
            <a:lumOff val="-52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E76190F-18E5-43C4-8257-B13F24180393}">
      <dsp:nvSpPr>
        <dsp:cNvPr id="0" name=""/>
        <dsp:cNvSpPr/>
      </dsp:nvSpPr>
      <dsp:spPr>
        <a:xfrm>
          <a:off x="772" y="4364047"/>
          <a:ext cx="1364545" cy="341136"/>
        </a:xfrm>
        <a:prstGeom prst="roundRect">
          <a:avLst>
            <a:gd name="adj" fmla="val 10000"/>
          </a:avLst>
        </a:prstGeom>
        <a:solidFill>
          <a:schemeClr val="accent5">
            <a:tint val="40000"/>
            <a:alpha val="90000"/>
            <a:hueOff val="-995044"/>
            <a:satOff val="-1725"/>
            <a:lumOff val="-174"/>
            <a:alphaOff val="0"/>
          </a:schemeClr>
        </a:solidFill>
        <a:ln w="12700" cap="flat" cmpd="sng" algn="ctr">
          <a:solidFill>
            <a:schemeClr val="accent5">
              <a:tint val="40000"/>
              <a:alpha val="90000"/>
              <a:hueOff val="-995044"/>
              <a:satOff val="-1725"/>
              <a:lumOff val="-17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Interim/annual recertification</a:t>
          </a:r>
        </a:p>
      </dsp:txBody>
      <dsp:txXfrm>
        <a:off x="10764" y="4374039"/>
        <a:ext cx="1344561" cy="321152"/>
      </dsp:txXfrm>
    </dsp:sp>
    <dsp:sp modelId="{2970F71B-B0D4-49A7-8631-F1339E4692BF}">
      <dsp:nvSpPr>
        <dsp:cNvPr id="0" name=""/>
        <dsp:cNvSpPr/>
      </dsp:nvSpPr>
      <dsp:spPr>
        <a:xfrm rot="5400000">
          <a:off x="653195" y="4735032"/>
          <a:ext cx="59698" cy="59698"/>
        </a:xfrm>
        <a:prstGeom prst="rightArrow">
          <a:avLst>
            <a:gd name="adj1" fmla="val 66700"/>
            <a:gd name="adj2" fmla="val 50000"/>
          </a:avLst>
        </a:prstGeom>
        <a:solidFill>
          <a:schemeClr val="accent5">
            <a:hueOff val="-1131284"/>
            <a:satOff val="-1574"/>
            <a:lumOff val="-60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686A98D-89B9-479D-985F-CA0A713D705F}">
      <dsp:nvSpPr>
        <dsp:cNvPr id="0" name=""/>
        <dsp:cNvSpPr/>
      </dsp:nvSpPr>
      <dsp:spPr>
        <a:xfrm>
          <a:off x="772" y="4824581"/>
          <a:ext cx="1364545" cy="341136"/>
        </a:xfrm>
        <a:prstGeom prst="roundRect">
          <a:avLst>
            <a:gd name="adj" fmla="val 10000"/>
          </a:avLst>
        </a:prstGeom>
        <a:solidFill>
          <a:schemeClr val="accent5">
            <a:tint val="40000"/>
            <a:alpha val="90000"/>
            <a:hueOff val="-1137193"/>
            <a:satOff val="-1972"/>
            <a:lumOff val="-198"/>
            <a:alphaOff val="0"/>
          </a:schemeClr>
        </a:solidFill>
        <a:ln w="12700" cap="flat" cmpd="sng" algn="ctr">
          <a:solidFill>
            <a:schemeClr val="accent5">
              <a:tint val="40000"/>
              <a:alpha val="90000"/>
              <a:hueOff val="-1137193"/>
              <a:satOff val="-1972"/>
              <a:lumOff val="-19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Accept Housing Choice Voucher/other affordable housing</a:t>
          </a:r>
        </a:p>
      </dsp:txBody>
      <dsp:txXfrm>
        <a:off x="10764" y="4834573"/>
        <a:ext cx="1344561" cy="321152"/>
      </dsp:txXfrm>
    </dsp:sp>
    <dsp:sp modelId="{88779DD0-692F-4205-A19B-22481ECE4C3F}">
      <dsp:nvSpPr>
        <dsp:cNvPr id="0" name=""/>
        <dsp:cNvSpPr/>
      </dsp:nvSpPr>
      <dsp:spPr>
        <a:xfrm rot="5400000">
          <a:off x="653195" y="5195567"/>
          <a:ext cx="59698" cy="59698"/>
        </a:xfrm>
        <a:prstGeom prst="rightArrow">
          <a:avLst>
            <a:gd name="adj1" fmla="val 66700"/>
            <a:gd name="adj2" fmla="val 50000"/>
          </a:avLst>
        </a:prstGeom>
        <a:solidFill>
          <a:schemeClr val="accent5">
            <a:hueOff val="-1272694"/>
            <a:satOff val="-1770"/>
            <a:lumOff val="-67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0088D42-1F7E-4CFF-ABEA-56B82F376267}">
      <dsp:nvSpPr>
        <dsp:cNvPr id="0" name=""/>
        <dsp:cNvSpPr/>
      </dsp:nvSpPr>
      <dsp:spPr>
        <a:xfrm>
          <a:off x="772" y="5285115"/>
          <a:ext cx="1364545" cy="341136"/>
        </a:xfrm>
        <a:prstGeom prst="roundRect">
          <a:avLst>
            <a:gd name="adj" fmla="val 10000"/>
          </a:avLst>
        </a:prstGeom>
        <a:solidFill>
          <a:schemeClr val="accent5">
            <a:tint val="40000"/>
            <a:alpha val="90000"/>
            <a:hueOff val="-1279342"/>
            <a:satOff val="-2218"/>
            <a:lumOff val="-223"/>
            <a:alphaOff val="0"/>
          </a:schemeClr>
        </a:solidFill>
        <a:ln w="12700" cap="flat" cmpd="sng" algn="ctr">
          <a:solidFill>
            <a:schemeClr val="accent5">
              <a:tint val="40000"/>
              <a:alpha val="90000"/>
              <a:hueOff val="-1279342"/>
              <a:satOff val="-2218"/>
              <a:lumOff val="-22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Service ends/service outcome recorded</a:t>
          </a:r>
        </a:p>
      </dsp:txBody>
      <dsp:txXfrm>
        <a:off x="10764" y="5295107"/>
        <a:ext cx="1344561" cy="321152"/>
      </dsp:txXfrm>
    </dsp:sp>
    <dsp:sp modelId="{E8C34120-2B6F-4573-B22F-30F91B164BEF}">
      <dsp:nvSpPr>
        <dsp:cNvPr id="0" name=""/>
        <dsp:cNvSpPr/>
      </dsp:nvSpPr>
      <dsp:spPr>
        <a:xfrm>
          <a:off x="1556354" y="679774"/>
          <a:ext cx="1364545" cy="341136"/>
        </a:xfrm>
        <a:prstGeom prst="roundRect">
          <a:avLst>
            <a:gd name="adj" fmla="val 10000"/>
          </a:avLst>
        </a:prstGeom>
        <a:solidFill>
          <a:schemeClr val="accent5">
            <a:hueOff val="-1470669"/>
            <a:satOff val="-2046"/>
            <a:lumOff val="-78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dirty="0"/>
            <a:t>STRMU</a:t>
          </a:r>
        </a:p>
      </dsp:txBody>
      <dsp:txXfrm>
        <a:off x="1566346" y="689766"/>
        <a:ext cx="1344561" cy="321152"/>
      </dsp:txXfrm>
    </dsp:sp>
    <dsp:sp modelId="{E43310B2-8C28-4A37-82A7-F2FCA869006E}">
      <dsp:nvSpPr>
        <dsp:cNvPr id="0" name=""/>
        <dsp:cNvSpPr/>
      </dsp:nvSpPr>
      <dsp:spPr>
        <a:xfrm rot="5400000">
          <a:off x="2208777" y="1050759"/>
          <a:ext cx="59698" cy="59698"/>
        </a:xfrm>
        <a:prstGeom prst="rightArrow">
          <a:avLst>
            <a:gd name="adj1" fmla="val 66700"/>
            <a:gd name="adj2" fmla="val 50000"/>
          </a:avLst>
        </a:prstGeom>
        <a:solidFill>
          <a:schemeClr val="accent5">
            <a:hueOff val="-1414105"/>
            <a:satOff val="-1967"/>
            <a:lumOff val="-75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6F383A0-B142-4AB2-AC2D-1B7BA4C4647D}">
      <dsp:nvSpPr>
        <dsp:cNvPr id="0" name=""/>
        <dsp:cNvSpPr/>
      </dsp:nvSpPr>
      <dsp:spPr>
        <a:xfrm>
          <a:off x="1556354" y="1140308"/>
          <a:ext cx="1364545" cy="341136"/>
        </a:xfrm>
        <a:prstGeom prst="roundRect">
          <a:avLst>
            <a:gd name="adj" fmla="val 10000"/>
          </a:avLst>
        </a:prstGeom>
        <a:solidFill>
          <a:schemeClr val="accent5">
            <a:tint val="40000"/>
            <a:alpha val="90000"/>
            <a:hueOff val="-1421491"/>
            <a:satOff val="-2465"/>
            <a:lumOff val="-248"/>
            <a:alphaOff val="0"/>
          </a:schemeClr>
        </a:solidFill>
        <a:ln w="12700" cap="flat" cmpd="sng" algn="ctr">
          <a:solidFill>
            <a:schemeClr val="accent5">
              <a:tint val="40000"/>
              <a:alpha val="90000"/>
              <a:hueOff val="-1421491"/>
              <a:satOff val="-2465"/>
              <a:lumOff val="-24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Household needs housing first (Obtain current lease/mortgage) </a:t>
          </a:r>
        </a:p>
      </dsp:txBody>
      <dsp:txXfrm>
        <a:off x="1566346" y="1150300"/>
        <a:ext cx="1344561" cy="321152"/>
      </dsp:txXfrm>
    </dsp:sp>
    <dsp:sp modelId="{98387A0B-5ACD-4D3B-95C1-F2AB40ECEF48}">
      <dsp:nvSpPr>
        <dsp:cNvPr id="0" name=""/>
        <dsp:cNvSpPr/>
      </dsp:nvSpPr>
      <dsp:spPr>
        <a:xfrm rot="5400000">
          <a:off x="2208777" y="1511294"/>
          <a:ext cx="59698" cy="59698"/>
        </a:xfrm>
        <a:prstGeom prst="rightArrow">
          <a:avLst>
            <a:gd name="adj1" fmla="val 66700"/>
            <a:gd name="adj2" fmla="val 50000"/>
          </a:avLst>
        </a:prstGeom>
        <a:solidFill>
          <a:schemeClr val="accent5">
            <a:hueOff val="-1555515"/>
            <a:satOff val="-2164"/>
            <a:lumOff val="-83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D6F8B99-5544-4716-9C01-0DC8E4C91354}">
      <dsp:nvSpPr>
        <dsp:cNvPr id="0" name=""/>
        <dsp:cNvSpPr/>
      </dsp:nvSpPr>
      <dsp:spPr>
        <a:xfrm>
          <a:off x="1556354" y="1600842"/>
          <a:ext cx="1364545" cy="341136"/>
        </a:xfrm>
        <a:prstGeom prst="roundRect">
          <a:avLst>
            <a:gd name="adj" fmla="val 10000"/>
          </a:avLst>
        </a:prstGeom>
        <a:solidFill>
          <a:schemeClr val="accent5">
            <a:tint val="40000"/>
            <a:alpha val="90000"/>
            <a:hueOff val="-1563640"/>
            <a:satOff val="-2711"/>
            <a:lumOff val="-273"/>
            <a:alphaOff val="0"/>
          </a:schemeClr>
        </a:solidFill>
        <a:ln w="12700" cap="flat" cmpd="sng" algn="ctr">
          <a:solidFill>
            <a:schemeClr val="accent5">
              <a:tint val="40000"/>
              <a:alpha val="90000"/>
              <a:hueOff val="-1563640"/>
              <a:satOff val="-2711"/>
              <a:lumOff val="-27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Household presents documentation of recent emergency</a:t>
          </a:r>
        </a:p>
      </dsp:txBody>
      <dsp:txXfrm>
        <a:off x="1566346" y="1610834"/>
        <a:ext cx="1344561" cy="321152"/>
      </dsp:txXfrm>
    </dsp:sp>
    <dsp:sp modelId="{B87B90F0-78A2-4340-8BD1-B7D9DFB0024F}">
      <dsp:nvSpPr>
        <dsp:cNvPr id="0" name=""/>
        <dsp:cNvSpPr/>
      </dsp:nvSpPr>
      <dsp:spPr>
        <a:xfrm rot="5400000">
          <a:off x="2208777" y="1971828"/>
          <a:ext cx="59698" cy="59698"/>
        </a:xfrm>
        <a:prstGeom prst="rightArrow">
          <a:avLst>
            <a:gd name="adj1" fmla="val 66700"/>
            <a:gd name="adj2" fmla="val 50000"/>
          </a:avLst>
        </a:prstGeom>
        <a:solidFill>
          <a:schemeClr val="accent5">
            <a:hueOff val="-1696926"/>
            <a:satOff val="-2360"/>
            <a:lumOff val="-90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73D1E5F-EE7C-4CF2-B1C0-1F140083B4A5}">
      <dsp:nvSpPr>
        <dsp:cNvPr id="0" name=""/>
        <dsp:cNvSpPr/>
      </dsp:nvSpPr>
      <dsp:spPr>
        <a:xfrm>
          <a:off x="1556354" y="2061376"/>
          <a:ext cx="1364545" cy="341136"/>
        </a:xfrm>
        <a:prstGeom prst="roundRect">
          <a:avLst>
            <a:gd name="adj" fmla="val 10000"/>
          </a:avLst>
        </a:prstGeom>
        <a:solidFill>
          <a:schemeClr val="accent5">
            <a:tint val="40000"/>
            <a:alpha val="90000"/>
            <a:hueOff val="-1705790"/>
            <a:satOff val="-2958"/>
            <a:lumOff val="-297"/>
            <a:alphaOff val="0"/>
          </a:schemeClr>
        </a:solidFill>
        <a:ln w="12700" cap="flat" cmpd="sng" algn="ctr">
          <a:solidFill>
            <a:schemeClr val="accent5">
              <a:tint val="40000"/>
              <a:alpha val="90000"/>
              <a:hueOff val="-1705790"/>
              <a:satOff val="-2958"/>
              <a:lumOff val="-29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Obtain documentation of what you pay for and who you pay</a:t>
          </a:r>
        </a:p>
      </dsp:txBody>
      <dsp:txXfrm>
        <a:off x="1566346" y="2071368"/>
        <a:ext cx="1344561" cy="321152"/>
      </dsp:txXfrm>
    </dsp:sp>
    <dsp:sp modelId="{ECA0D186-6A7F-4357-92C8-3EBC48009F68}">
      <dsp:nvSpPr>
        <dsp:cNvPr id="0" name=""/>
        <dsp:cNvSpPr/>
      </dsp:nvSpPr>
      <dsp:spPr>
        <a:xfrm rot="5400000">
          <a:off x="2208777" y="2432362"/>
          <a:ext cx="59698" cy="59698"/>
        </a:xfrm>
        <a:prstGeom prst="rightArrow">
          <a:avLst>
            <a:gd name="adj1" fmla="val 66700"/>
            <a:gd name="adj2" fmla="val 50000"/>
          </a:avLst>
        </a:prstGeom>
        <a:solidFill>
          <a:schemeClr val="accent5">
            <a:hueOff val="-1838336"/>
            <a:satOff val="-2557"/>
            <a:lumOff val="-98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B110899-F697-48BE-8E33-C90D1451C949}">
      <dsp:nvSpPr>
        <dsp:cNvPr id="0" name=""/>
        <dsp:cNvSpPr/>
      </dsp:nvSpPr>
      <dsp:spPr>
        <a:xfrm>
          <a:off x="1556354" y="2521910"/>
          <a:ext cx="1364545" cy="341136"/>
        </a:xfrm>
        <a:prstGeom prst="roundRect">
          <a:avLst>
            <a:gd name="adj" fmla="val 10000"/>
          </a:avLst>
        </a:prstGeom>
        <a:solidFill>
          <a:schemeClr val="accent5">
            <a:tint val="40000"/>
            <a:alpha val="90000"/>
            <a:hueOff val="-1847939"/>
            <a:satOff val="-3204"/>
            <a:lumOff val="-322"/>
            <a:alphaOff val="0"/>
          </a:schemeClr>
        </a:solidFill>
        <a:ln w="12700" cap="flat" cmpd="sng" algn="ctr">
          <a:solidFill>
            <a:schemeClr val="accent5">
              <a:tint val="40000"/>
              <a:alpha val="90000"/>
              <a:hueOff val="-1847939"/>
              <a:satOff val="-3204"/>
              <a:lumOff val="-3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Housing Quality Standards Certification</a:t>
          </a:r>
        </a:p>
      </dsp:txBody>
      <dsp:txXfrm>
        <a:off x="1566346" y="2531902"/>
        <a:ext cx="1344561" cy="321152"/>
      </dsp:txXfrm>
    </dsp:sp>
    <dsp:sp modelId="{6DDE7DE8-E78C-41DB-B21D-34DA5B96A4D4}">
      <dsp:nvSpPr>
        <dsp:cNvPr id="0" name=""/>
        <dsp:cNvSpPr/>
      </dsp:nvSpPr>
      <dsp:spPr>
        <a:xfrm rot="5400000">
          <a:off x="2208777" y="2892896"/>
          <a:ext cx="59698" cy="59698"/>
        </a:xfrm>
        <a:prstGeom prst="rightArrow">
          <a:avLst>
            <a:gd name="adj1" fmla="val 66700"/>
            <a:gd name="adj2" fmla="val 50000"/>
          </a:avLst>
        </a:prstGeom>
        <a:solidFill>
          <a:schemeClr val="accent5">
            <a:hueOff val="-1979747"/>
            <a:satOff val="-2754"/>
            <a:lumOff val="-105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D7234AE-1EFE-4C72-BEFC-0D9878421BD1}">
      <dsp:nvSpPr>
        <dsp:cNvPr id="0" name=""/>
        <dsp:cNvSpPr/>
      </dsp:nvSpPr>
      <dsp:spPr>
        <a:xfrm>
          <a:off x="1556354" y="2982444"/>
          <a:ext cx="1364545" cy="341136"/>
        </a:xfrm>
        <a:prstGeom prst="roundRect">
          <a:avLst>
            <a:gd name="adj" fmla="val 10000"/>
          </a:avLst>
        </a:prstGeom>
        <a:solidFill>
          <a:schemeClr val="accent5">
            <a:tint val="40000"/>
            <a:alpha val="90000"/>
            <a:hueOff val="-1990088"/>
            <a:satOff val="-3450"/>
            <a:lumOff val="-347"/>
            <a:alphaOff val="0"/>
          </a:schemeClr>
        </a:solidFill>
        <a:ln w="12700" cap="flat" cmpd="sng" algn="ctr">
          <a:solidFill>
            <a:schemeClr val="accent5">
              <a:tint val="40000"/>
              <a:alpha val="90000"/>
              <a:hueOff val="-1990088"/>
              <a:satOff val="-3450"/>
              <a:lumOff val="-34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Service starts</a:t>
          </a:r>
        </a:p>
      </dsp:txBody>
      <dsp:txXfrm>
        <a:off x="1566346" y="2992436"/>
        <a:ext cx="1344561" cy="321152"/>
      </dsp:txXfrm>
    </dsp:sp>
    <dsp:sp modelId="{7217A355-3723-4054-B048-673337F62983}">
      <dsp:nvSpPr>
        <dsp:cNvPr id="0" name=""/>
        <dsp:cNvSpPr/>
      </dsp:nvSpPr>
      <dsp:spPr>
        <a:xfrm rot="5400000">
          <a:off x="2208777" y="3353430"/>
          <a:ext cx="59698" cy="59698"/>
        </a:xfrm>
        <a:prstGeom prst="rightArrow">
          <a:avLst>
            <a:gd name="adj1" fmla="val 66700"/>
            <a:gd name="adj2" fmla="val 50000"/>
          </a:avLst>
        </a:prstGeom>
        <a:solidFill>
          <a:schemeClr val="accent5">
            <a:hueOff val="-2121157"/>
            <a:satOff val="-2950"/>
            <a:lumOff val="-113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E91BF79-3ADE-4A29-8007-6D2FA522D88F}">
      <dsp:nvSpPr>
        <dsp:cNvPr id="0" name=""/>
        <dsp:cNvSpPr/>
      </dsp:nvSpPr>
      <dsp:spPr>
        <a:xfrm>
          <a:off x="1556354" y="3442978"/>
          <a:ext cx="1364545" cy="341136"/>
        </a:xfrm>
        <a:prstGeom prst="roundRect">
          <a:avLst>
            <a:gd name="adj" fmla="val 10000"/>
          </a:avLst>
        </a:prstGeom>
        <a:solidFill>
          <a:schemeClr val="accent5">
            <a:tint val="40000"/>
            <a:alpha val="90000"/>
            <a:hueOff val="-2132237"/>
            <a:satOff val="-3697"/>
            <a:lumOff val="-372"/>
            <a:alphaOff val="0"/>
          </a:schemeClr>
        </a:solidFill>
        <a:ln w="12700" cap="flat" cmpd="sng" algn="ctr">
          <a:solidFill>
            <a:schemeClr val="accent5">
              <a:tint val="40000"/>
              <a:alpha val="90000"/>
              <a:hueOff val="-2132237"/>
              <a:satOff val="-3697"/>
              <a:lumOff val="-37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Pays rent, mortgage, and utility debts and dues (late fees, too)</a:t>
          </a:r>
        </a:p>
      </dsp:txBody>
      <dsp:txXfrm>
        <a:off x="1566346" y="3452970"/>
        <a:ext cx="1344561" cy="321152"/>
      </dsp:txXfrm>
    </dsp:sp>
    <dsp:sp modelId="{7C1942C5-49F6-40C8-9D2D-3E173FE3C69E}">
      <dsp:nvSpPr>
        <dsp:cNvPr id="0" name=""/>
        <dsp:cNvSpPr/>
      </dsp:nvSpPr>
      <dsp:spPr>
        <a:xfrm rot="5400000">
          <a:off x="2208777" y="3813964"/>
          <a:ext cx="59698" cy="59698"/>
        </a:xfrm>
        <a:prstGeom prst="rightArrow">
          <a:avLst>
            <a:gd name="adj1" fmla="val 66700"/>
            <a:gd name="adj2" fmla="val 50000"/>
          </a:avLst>
        </a:prstGeom>
        <a:solidFill>
          <a:schemeClr val="accent5">
            <a:hueOff val="-2262568"/>
            <a:satOff val="-3147"/>
            <a:lumOff val="-120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69B91B2-5E91-4063-90B8-F700832C7B1B}">
      <dsp:nvSpPr>
        <dsp:cNvPr id="0" name=""/>
        <dsp:cNvSpPr/>
      </dsp:nvSpPr>
      <dsp:spPr>
        <a:xfrm>
          <a:off x="1556354" y="3903512"/>
          <a:ext cx="1364545" cy="341136"/>
        </a:xfrm>
        <a:prstGeom prst="roundRect">
          <a:avLst>
            <a:gd name="adj" fmla="val 10000"/>
          </a:avLst>
        </a:prstGeom>
        <a:solidFill>
          <a:schemeClr val="accent5">
            <a:tint val="40000"/>
            <a:alpha val="90000"/>
            <a:hueOff val="-2274386"/>
            <a:satOff val="-3943"/>
            <a:lumOff val="-397"/>
            <a:alphaOff val="0"/>
          </a:schemeClr>
        </a:solidFill>
        <a:ln w="12700" cap="flat" cmpd="sng" algn="ctr">
          <a:solidFill>
            <a:schemeClr val="accent5">
              <a:tint val="40000"/>
              <a:alpha val="90000"/>
              <a:hueOff val="-2274386"/>
              <a:satOff val="-3943"/>
              <a:lumOff val="-39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147-day/52-week assistance cap tracking</a:t>
          </a:r>
        </a:p>
      </dsp:txBody>
      <dsp:txXfrm>
        <a:off x="1566346" y="3913504"/>
        <a:ext cx="1344561" cy="321152"/>
      </dsp:txXfrm>
    </dsp:sp>
    <dsp:sp modelId="{2986B49E-E97F-4CC1-A748-E2CAAA5EF16C}">
      <dsp:nvSpPr>
        <dsp:cNvPr id="0" name=""/>
        <dsp:cNvSpPr/>
      </dsp:nvSpPr>
      <dsp:spPr>
        <a:xfrm rot="5400000">
          <a:off x="2208777" y="4274498"/>
          <a:ext cx="59698" cy="59698"/>
        </a:xfrm>
        <a:prstGeom prst="rightArrow">
          <a:avLst>
            <a:gd name="adj1" fmla="val 66700"/>
            <a:gd name="adj2" fmla="val 50000"/>
          </a:avLst>
        </a:prstGeom>
        <a:solidFill>
          <a:schemeClr val="accent5">
            <a:hueOff val="-2403978"/>
            <a:satOff val="-3344"/>
            <a:lumOff val="-128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F9D4FB4-3491-4731-8315-2A9A050CE858}">
      <dsp:nvSpPr>
        <dsp:cNvPr id="0" name=""/>
        <dsp:cNvSpPr/>
      </dsp:nvSpPr>
      <dsp:spPr>
        <a:xfrm>
          <a:off x="1556354" y="4364047"/>
          <a:ext cx="1364545" cy="341136"/>
        </a:xfrm>
        <a:prstGeom prst="roundRect">
          <a:avLst>
            <a:gd name="adj" fmla="val 10000"/>
          </a:avLst>
        </a:prstGeom>
        <a:solidFill>
          <a:schemeClr val="accent5">
            <a:tint val="40000"/>
            <a:alpha val="90000"/>
            <a:hueOff val="-2416535"/>
            <a:satOff val="-4190"/>
            <a:lumOff val="-421"/>
            <a:alphaOff val="0"/>
          </a:schemeClr>
        </a:solidFill>
        <a:ln w="12700" cap="flat" cmpd="sng" algn="ctr">
          <a:solidFill>
            <a:schemeClr val="accent5">
              <a:tint val="40000"/>
              <a:alpha val="90000"/>
              <a:hueOff val="-2416535"/>
              <a:satOff val="-4190"/>
              <a:lumOff val="-42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Interim recertification (if necessary)</a:t>
          </a:r>
        </a:p>
      </dsp:txBody>
      <dsp:txXfrm>
        <a:off x="1566346" y="4374039"/>
        <a:ext cx="1344561" cy="321152"/>
      </dsp:txXfrm>
    </dsp:sp>
    <dsp:sp modelId="{6D4AB249-5DB8-4EC1-BA0E-F51276DC7FF3}">
      <dsp:nvSpPr>
        <dsp:cNvPr id="0" name=""/>
        <dsp:cNvSpPr/>
      </dsp:nvSpPr>
      <dsp:spPr>
        <a:xfrm rot="5400000">
          <a:off x="2208777" y="4735032"/>
          <a:ext cx="59698" cy="59698"/>
        </a:xfrm>
        <a:prstGeom prst="rightArrow">
          <a:avLst>
            <a:gd name="adj1" fmla="val 66700"/>
            <a:gd name="adj2" fmla="val 50000"/>
          </a:avLst>
        </a:prstGeom>
        <a:solidFill>
          <a:schemeClr val="accent5">
            <a:hueOff val="-2545388"/>
            <a:satOff val="-3540"/>
            <a:lumOff val="-135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F8F640A-0B82-4411-9C5A-C08BBF63A125}">
      <dsp:nvSpPr>
        <dsp:cNvPr id="0" name=""/>
        <dsp:cNvSpPr/>
      </dsp:nvSpPr>
      <dsp:spPr>
        <a:xfrm>
          <a:off x="1556354" y="4824581"/>
          <a:ext cx="1364545" cy="341136"/>
        </a:xfrm>
        <a:prstGeom prst="roundRect">
          <a:avLst>
            <a:gd name="adj" fmla="val 10000"/>
          </a:avLst>
        </a:prstGeom>
        <a:solidFill>
          <a:schemeClr val="accent5">
            <a:tint val="40000"/>
            <a:alpha val="90000"/>
            <a:hueOff val="-2558684"/>
            <a:satOff val="-4436"/>
            <a:lumOff val="-446"/>
            <a:alphaOff val="0"/>
          </a:schemeClr>
        </a:solidFill>
        <a:ln w="12700" cap="flat" cmpd="sng" algn="ctr">
          <a:solidFill>
            <a:schemeClr val="accent5">
              <a:tint val="40000"/>
              <a:alpha val="90000"/>
              <a:hueOff val="-2558684"/>
              <a:satOff val="-4436"/>
              <a:lumOff val="-44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Emergency resolved/cap reached</a:t>
          </a:r>
        </a:p>
      </dsp:txBody>
      <dsp:txXfrm>
        <a:off x="1566346" y="4834573"/>
        <a:ext cx="1344561" cy="321152"/>
      </dsp:txXfrm>
    </dsp:sp>
    <dsp:sp modelId="{785BB8B0-54D1-42AC-A64B-D6ADD4C38E82}">
      <dsp:nvSpPr>
        <dsp:cNvPr id="0" name=""/>
        <dsp:cNvSpPr/>
      </dsp:nvSpPr>
      <dsp:spPr>
        <a:xfrm rot="5400000">
          <a:off x="2208777" y="5195567"/>
          <a:ext cx="59698" cy="59698"/>
        </a:xfrm>
        <a:prstGeom prst="rightArrow">
          <a:avLst>
            <a:gd name="adj1" fmla="val 66700"/>
            <a:gd name="adj2" fmla="val 50000"/>
          </a:avLst>
        </a:prstGeom>
        <a:solidFill>
          <a:schemeClr val="accent5">
            <a:hueOff val="-2686799"/>
            <a:satOff val="-3737"/>
            <a:lumOff val="-143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5FA1963-B043-4381-B4ED-FA948B592FE5}">
      <dsp:nvSpPr>
        <dsp:cNvPr id="0" name=""/>
        <dsp:cNvSpPr/>
      </dsp:nvSpPr>
      <dsp:spPr>
        <a:xfrm>
          <a:off x="1556354" y="5285115"/>
          <a:ext cx="1364545" cy="341136"/>
        </a:xfrm>
        <a:prstGeom prst="roundRect">
          <a:avLst>
            <a:gd name="adj" fmla="val 10000"/>
          </a:avLst>
        </a:prstGeom>
        <a:solidFill>
          <a:schemeClr val="accent5">
            <a:tint val="40000"/>
            <a:alpha val="90000"/>
            <a:hueOff val="-2700834"/>
            <a:satOff val="-4683"/>
            <a:lumOff val="-471"/>
            <a:alphaOff val="0"/>
          </a:schemeClr>
        </a:solidFill>
        <a:ln w="12700" cap="flat" cmpd="sng" algn="ctr">
          <a:solidFill>
            <a:schemeClr val="accent5">
              <a:tint val="40000"/>
              <a:alpha val="90000"/>
              <a:hueOff val="-2700834"/>
              <a:satOff val="-4683"/>
              <a:lumOff val="-47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Service ends/service outcome recorded</a:t>
          </a:r>
        </a:p>
      </dsp:txBody>
      <dsp:txXfrm>
        <a:off x="1566346" y="5295107"/>
        <a:ext cx="1344561" cy="321152"/>
      </dsp:txXfrm>
    </dsp:sp>
    <dsp:sp modelId="{2F4E7FB7-2633-4947-9C36-A74D948B828B}">
      <dsp:nvSpPr>
        <dsp:cNvPr id="0" name=""/>
        <dsp:cNvSpPr/>
      </dsp:nvSpPr>
      <dsp:spPr>
        <a:xfrm>
          <a:off x="3111936" y="679774"/>
          <a:ext cx="1364545" cy="341136"/>
        </a:xfrm>
        <a:prstGeom prst="roundRect">
          <a:avLst>
            <a:gd name="adj" fmla="val 10000"/>
          </a:avLst>
        </a:prstGeom>
        <a:solidFill>
          <a:schemeClr val="accent5">
            <a:hueOff val="-2941338"/>
            <a:satOff val="-4091"/>
            <a:lumOff val="-156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dirty="0"/>
            <a:t>STSH</a:t>
          </a:r>
        </a:p>
      </dsp:txBody>
      <dsp:txXfrm>
        <a:off x="3121928" y="689766"/>
        <a:ext cx="1344561" cy="321152"/>
      </dsp:txXfrm>
    </dsp:sp>
    <dsp:sp modelId="{EB1C4B11-9E45-4240-AD9F-ACB486314246}">
      <dsp:nvSpPr>
        <dsp:cNvPr id="0" name=""/>
        <dsp:cNvSpPr/>
      </dsp:nvSpPr>
      <dsp:spPr>
        <a:xfrm rot="5400000">
          <a:off x="3764359" y="1050759"/>
          <a:ext cx="59698" cy="59698"/>
        </a:xfrm>
        <a:prstGeom prst="rightArrow">
          <a:avLst>
            <a:gd name="adj1" fmla="val 66700"/>
            <a:gd name="adj2" fmla="val 50000"/>
          </a:avLst>
        </a:prstGeom>
        <a:solidFill>
          <a:schemeClr val="accent5">
            <a:hueOff val="-2828210"/>
            <a:satOff val="-3934"/>
            <a:lumOff val="-150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AE2EFCD-9052-4160-81DD-57A5652000FE}">
      <dsp:nvSpPr>
        <dsp:cNvPr id="0" name=""/>
        <dsp:cNvSpPr/>
      </dsp:nvSpPr>
      <dsp:spPr>
        <a:xfrm>
          <a:off x="3111936" y="1140308"/>
          <a:ext cx="1364545" cy="341136"/>
        </a:xfrm>
        <a:prstGeom prst="roundRect">
          <a:avLst>
            <a:gd name="adj" fmla="val 10000"/>
          </a:avLst>
        </a:prstGeom>
        <a:solidFill>
          <a:schemeClr val="accent5">
            <a:tint val="40000"/>
            <a:alpha val="90000"/>
            <a:hueOff val="-2842983"/>
            <a:satOff val="-4929"/>
            <a:lumOff val="-496"/>
            <a:alphaOff val="0"/>
          </a:schemeClr>
        </a:solidFill>
        <a:ln w="12700" cap="flat" cmpd="sng" algn="ctr">
          <a:solidFill>
            <a:schemeClr val="accent5">
              <a:tint val="40000"/>
              <a:alpha val="90000"/>
              <a:hueOff val="-2842983"/>
              <a:satOff val="-4929"/>
              <a:lumOff val="-49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Household must be homeless</a:t>
          </a:r>
        </a:p>
      </dsp:txBody>
      <dsp:txXfrm>
        <a:off x="3121928" y="1150300"/>
        <a:ext cx="1344561" cy="321152"/>
      </dsp:txXfrm>
    </dsp:sp>
    <dsp:sp modelId="{C12E52ED-237B-4E96-ADD5-A71637920382}">
      <dsp:nvSpPr>
        <dsp:cNvPr id="0" name=""/>
        <dsp:cNvSpPr/>
      </dsp:nvSpPr>
      <dsp:spPr>
        <a:xfrm rot="5400000">
          <a:off x="3764359" y="1511294"/>
          <a:ext cx="59698" cy="59698"/>
        </a:xfrm>
        <a:prstGeom prst="rightArrow">
          <a:avLst>
            <a:gd name="adj1" fmla="val 66700"/>
            <a:gd name="adj2" fmla="val 50000"/>
          </a:avLst>
        </a:prstGeom>
        <a:solidFill>
          <a:schemeClr val="accent5">
            <a:hueOff val="-2969620"/>
            <a:satOff val="-4131"/>
            <a:lumOff val="-158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2BC31C6-314B-4FF4-9633-C16E2C8EB610}">
      <dsp:nvSpPr>
        <dsp:cNvPr id="0" name=""/>
        <dsp:cNvSpPr/>
      </dsp:nvSpPr>
      <dsp:spPr>
        <a:xfrm>
          <a:off x="3111936" y="1600842"/>
          <a:ext cx="1364545" cy="341136"/>
        </a:xfrm>
        <a:prstGeom prst="roundRect">
          <a:avLst>
            <a:gd name="adj" fmla="val 10000"/>
          </a:avLst>
        </a:prstGeom>
        <a:solidFill>
          <a:schemeClr val="accent5">
            <a:tint val="40000"/>
            <a:alpha val="90000"/>
            <a:hueOff val="-2985132"/>
            <a:satOff val="-5176"/>
            <a:lumOff val="-521"/>
            <a:alphaOff val="0"/>
          </a:schemeClr>
        </a:solidFill>
        <a:ln w="12700" cap="flat" cmpd="sng" algn="ctr">
          <a:solidFill>
            <a:schemeClr val="accent5">
              <a:tint val="40000"/>
              <a:alpha val="90000"/>
              <a:hueOff val="-2985132"/>
              <a:satOff val="-5176"/>
              <a:lumOff val="-52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Obtain documentation of what you pay for and who you pay</a:t>
          </a:r>
        </a:p>
      </dsp:txBody>
      <dsp:txXfrm>
        <a:off x="3121928" y="1610834"/>
        <a:ext cx="1344561" cy="321152"/>
      </dsp:txXfrm>
    </dsp:sp>
    <dsp:sp modelId="{3AAE5CCD-7449-4BE6-AF92-4882A45137C7}">
      <dsp:nvSpPr>
        <dsp:cNvPr id="0" name=""/>
        <dsp:cNvSpPr/>
      </dsp:nvSpPr>
      <dsp:spPr>
        <a:xfrm rot="5400000">
          <a:off x="3764359" y="1971828"/>
          <a:ext cx="59698" cy="59698"/>
        </a:xfrm>
        <a:prstGeom prst="rightArrow">
          <a:avLst>
            <a:gd name="adj1" fmla="val 66700"/>
            <a:gd name="adj2" fmla="val 50000"/>
          </a:avLst>
        </a:prstGeom>
        <a:solidFill>
          <a:schemeClr val="accent5">
            <a:hueOff val="-3111030"/>
            <a:satOff val="-4327"/>
            <a:lumOff val="-165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6DFD2A5-3494-48D5-A5E6-A03EB3D2FCE8}">
      <dsp:nvSpPr>
        <dsp:cNvPr id="0" name=""/>
        <dsp:cNvSpPr/>
      </dsp:nvSpPr>
      <dsp:spPr>
        <a:xfrm>
          <a:off x="3111936" y="2061376"/>
          <a:ext cx="1364545" cy="341136"/>
        </a:xfrm>
        <a:prstGeom prst="roundRect">
          <a:avLst>
            <a:gd name="adj" fmla="val 10000"/>
          </a:avLst>
        </a:prstGeom>
        <a:solidFill>
          <a:schemeClr val="accent5">
            <a:tint val="40000"/>
            <a:alpha val="90000"/>
            <a:hueOff val="-3127281"/>
            <a:satOff val="-5422"/>
            <a:lumOff val="-545"/>
            <a:alphaOff val="0"/>
          </a:schemeClr>
        </a:solidFill>
        <a:ln w="12700" cap="flat" cmpd="sng" algn="ctr">
          <a:solidFill>
            <a:schemeClr val="accent5">
              <a:tint val="40000"/>
              <a:alpha val="90000"/>
              <a:hueOff val="-3127281"/>
              <a:satOff val="-5422"/>
              <a:lumOff val="-54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Housing Quality Standards Certification</a:t>
          </a:r>
        </a:p>
      </dsp:txBody>
      <dsp:txXfrm>
        <a:off x="3121928" y="2071368"/>
        <a:ext cx="1344561" cy="321152"/>
      </dsp:txXfrm>
    </dsp:sp>
    <dsp:sp modelId="{9DE48C3E-48C2-4EC0-9E0C-99453B1FB0A0}">
      <dsp:nvSpPr>
        <dsp:cNvPr id="0" name=""/>
        <dsp:cNvSpPr/>
      </dsp:nvSpPr>
      <dsp:spPr>
        <a:xfrm rot="5400000">
          <a:off x="3764359" y="2432362"/>
          <a:ext cx="59698" cy="59698"/>
        </a:xfrm>
        <a:prstGeom prst="rightArrow">
          <a:avLst>
            <a:gd name="adj1" fmla="val 66700"/>
            <a:gd name="adj2" fmla="val 50000"/>
          </a:avLst>
        </a:prstGeom>
        <a:solidFill>
          <a:schemeClr val="accent5">
            <a:hueOff val="-3252441"/>
            <a:satOff val="-4524"/>
            <a:lumOff val="-173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4AAF844-E4EF-474D-98B8-B254E6034D01}">
      <dsp:nvSpPr>
        <dsp:cNvPr id="0" name=""/>
        <dsp:cNvSpPr/>
      </dsp:nvSpPr>
      <dsp:spPr>
        <a:xfrm>
          <a:off x="3111936" y="2521910"/>
          <a:ext cx="1364545" cy="341136"/>
        </a:xfrm>
        <a:prstGeom prst="roundRect">
          <a:avLst>
            <a:gd name="adj" fmla="val 10000"/>
          </a:avLst>
        </a:prstGeom>
        <a:solidFill>
          <a:schemeClr val="accent5">
            <a:tint val="40000"/>
            <a:alpha val="90000"/>
            <a:hueOff val="-3269430"/>
            <a:satOff val="-5669"/>
            <a:lumOff val="-570"/>
            <a:alphaOff val="0"/>
          </a:schemeClr>
        </a:solidFill>
        <a:ln w="12700" cap="flat" cmpd="sng" algn="ctr">
          <a:solidFill>
            <a:schemeClr val="accent5">
              <a:tint val="40000"/>
              <a:alpha val="90000"/>
              <a:hueOff val="-3269430"/>
              <a:satOff val="-5669"/>
              <a:lumOff val="-57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Facility-based service starts</a:t>
          </a:r>
        </a:p>
      </dsp:txBody>
      <dsp:txXfrm>
        <a:off x="3121928" y="2531902"/>
        <a:ext cx="1344561" cy="321152"/>
      </dsp:txXfrm>
    </dsp:sp>
    <dsp:sp modelId="{58CA5060-BF88-49F5-8282-C6038377A21D}">
      <dsp:nvSpPr>
        <dsp:cNvPr id="0" name=""/>
        <dsp:cNvSpPr/>
      </dsp:nvSpPr>
      <dsp:spPr>
        <a:xfrm rot="5400000">
          <a:off x="3764359" y="2892896"/>
          <a:ext cx="59698" cy="59698"/>
        </a:xfrm>
        <a:prstGeom prst="rightArrow">
          <a:avLst>
            <a:gd name="adj1" fmla="val 66700"/>
            <a:gd name="adj2" fmla="val 50000"/>
          </a:avLst>
        </a:prstGeom>
        <a:solidFill>
          <a:schemeClr val="accent5">
            <a:hueOff val="-3393851"/>
            <a:satOff val="-4721"/>
            <a:lumOff val="-181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D88EFA0-331E-4E7A-8B61-D7D969AC3E86}">
      <dsp:nvSpPr>
        <dsp:cNvPr id="0" name=""/>
        <dsp:cNvSpPr/>
      </dsp:nvSpPr>
      <dsp:spPr>
        <a:xfrm>
          <a:off x="3111936" y="2982444"/>
          <a:ext cx="1364545" cy="341136"/>
        </a:xfrm>
        <a:prstGeom prst="roundRect">
          <a:avLst>
            <a:gd name="adj" fmla="val 10000"/>
          </a:avLst>
        </a:prstGeom>
        <a:solidFill>
          <a:schemeClr val="accent5">
            <a:tint val="40000"/>
            <a:alpha val="90000"/>
            <a:hueOff val="-3411579"/>
            <a:satOff val="-5915"/>
            <a:lumOff val="-595"/>
            <a:alphaOff val="0"/>
          </a:schemeClr>
        </a:solidFill>
        <a:ln w="12700" cap="flat" cmpd="sng" algn="ctr">
          <a:solidFill>
            <a:schemeClr val="accent5">
              <a:tint val="40000"/>
              <a:alpha val="90000"/>
              <a:hueOff val="-3411579"/>
              <a:satOff val="-5915"/>
              <a:lumOff val="-59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Pays necessary minimum costs for temporary shelters (hotels and motels, too)</a:t>
          </a:r>
        </a:p>
      </dsp:txBody>
      <dsp:txXfrm>
        <a:off x="3121928" y="2992436"/>
        <a:ext cx="1344561" cy="321152"/>
      </dsp:txXfrm>
    </dsp:sp>
    <dsp:sp modelId="{59D0B201-C26F-44D9-A1CA-ED4C9AA02860}">
      <dsp:nvSpPr>
        <dsp:cNvPr id="0" name=""/>
        <dsp:cNvSpPr/>
      </dsp:nvSpPr>
      <dsp:spPr>
        <a:xfrm rot="5400000">
          <a:off x="3764359" y="3353430"/>
          <a:ext cx="59698" cy="59698"/>
        </a:xfrm>
        <a:prstGeom prst="rightArrow">
          <a:avLst>
            <a:gd name="adj1" fmla="val 66700"/>
            <a:gd name="adj2" fmla="val 50000"/>
          </a:avLst>
        </a:prstGeom>
        <a:solidFill>
          <a:schemeClr val="accent5">
            <a:hueOff val="-3535262"/>
            <a:satOff val="-4917"/>
            <a:lumOff val="-188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C54FCBA-F2C3-43A7-B753-3741C0A54533}">
      <dsp:nvSpPr>
        <dsp:cNvPr id="0" name=""/>
        <dsp:cNvSpPr/>
      </dsp:nvSpPr>
      <dsp:spPr>
        <a:xfrm>
          <a:off x="3111936" y="3442978"/>
          <a:ext cx="1364545" cy="341136"/>
        </a:xfrm>
        <a:prstGeom prst="roundRect">
          <a:avLst>
            <a:gd name="adj" fmla="val 10000"/>
          </a:avLst>
        </a:prstGeom>
        <a:solidFill>
          <a:schemeClr val="accent5">
            <a:tint val="40000"/>
            <a:alpha val="90000"/>
            <a:hueOff val="-3553728"/>
            <a:satOff val="-6162"/>
            <a:lumOff val="-620"/>
            <a:alphaOff val="0"/>
          </a:schemeClr>
        </a:solidFill>
        <a:ln w="12700" cap="flat" cmpd="sng" algn="ctr">
          <a:solidFill>
            <a:schemeClr val="accent5">
              <a:tint val="40000"/>
              <a:alpha val="90000"/>
              <a:hueOff val="-3553728"/>
              <a:satOff val="-6162"/>
              <a:lumOff val="-62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60-night/6-month assistance cap tracking</a:t>
          </a:r>
        </a:p>
      </dsp:txBody>
      <dsp:txXfrm>
        <a:off x="3121928" y="3452970"/>
        <a:ext cx="1344561" cy="321152"/>
      </dsp:txXfrm>
    </dsp:sp>
    <dsp:sp modelId="{3CE1F68B-A08F-4B55-8708-8D640AD33A9E}">
      <dsp:nvSpPr>
        <dsp:cNvPr id="0" name=""/>
        <dsp:cNvSpPr/>
      </dsp:nvSpPr>
      <dsp:spPr>
        <a:xfrm rot="5400000">
          <a:off x="3764359" y="3813964"/>
          <a:ext cx="59698" cy="59698"/>
        </a:xfrm>
        <a:prstGeom prst="rightArrow">
          <a:avLst>
            <a:gd name="adj1" fmla="val 66700"/>
            <a:gd name="adj2" fmla="val 50000"/>
          </a:avLst>
        </a:prstGeom>
        <a:solidFill>
          <a:schemeClr val="accent5">
            <a:hueOff val="-3676672"/>
            <a:satOff val="-5114"/>
            <a:lumOff val="-196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DD34D39-495B-4B4E-B5F2-BC3F31F17C0B}">
      <dsp:nvSpPr>
        <dsp:cNvPr id="0" name=""/>
        <dsp:cNvSpPr/>
      </dsp:nvSpPr>
      <dsp:spPr>
        <a:xfrm>
          <a:off x="3111936" y="3903512"/>
          <a:ext cx="1364545" cy="341136"/>
        </a:xfrm>
        <a:prstGeom prst="roundRect">
          <a:avLst>
            <a:gd name="adj" fmla="val 10000"/>
          </a:avLst>
        </a:prstGeom>
        <a:solidFill>
          <a:schemeClr val="accent5">
            <a:tint val="40000"/>
            <a:alpha val="90000"/>
            <a:hueOff val="-3695877"/>
            <a:satOff val="-6408"/>
            <a:lumOff val="-644"/>
            <a:alphaOff val="0"/>
          </a:schemeClr>
        </a:solidFill>
        <a:ln w="12700" cap="flat" cmpd="sng" algn="ctr">
          <a:solidFill>
            <a:schemeClr val="accent5">
              <a:tint val="40000"/>
              <a:alpha val="90000"/>
              <a:hueOff val="-3695877"/>
              <a:satOff val="-6408"/>
              <a:lumOff val="-64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Interim recertification (if necessary)</a:t>
          </a:r>
        </a:p>
      </dsp:txBody>
      <dsp:txXfrm>
        <a:off x="3121928" y="3913504"/>
        <a:ext cx="1344561" cy="321152"/>
      </dsp:txXfrm>
    </dsp:sp>
    <dsp:sp modelId="{73EE3876-10DC-4864-950F-8429A89DA1DC}">
      <dsp:nvSpPr>
        <dsp:cNvPr id="0" name=""/>
        <dsp:cNvSpPr/>
      </dsp:nvSpPr>
      <dsp:spPr>
        <a:xfrm rot="5400000">
          <a:off x="3764359" y="4274498"/>
          <a:ext cx="59698" cy="59698"/>
        </a:xfrm>
        <a:prstGeom prst="rightArrow">
          <a:avLst>
            <a:gd name="adj1" fmla="val 66700"/>
            <a:gd name="adj2" fmla="val 50000"/>
          </a:avLst>
        </a:prstGeom>
        <a:solidFill>
          <a:schemeClr val="accent5">
            <a:hueOff val="-3818083"/>
            <a:satOff val="-5311"/>
            <a:lumOff val="-203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B1C8E10-7F64-4B41-A4BC-F63A75FDF50A}">
      <dsp:nvSpPr>
        <dsp:cNvPr id="0" name=""/>
        <dsp:cNvSpPr/>
      </dsp:nvSpPr>
      <dsp:spPr>
        <a:xfrm>
          <a:off x="3111936" y="4364047"/>
          <a:ext cx="1364545" cy="341136"/>
        </a:xfrm>
        <a:prstGeom prst="roundRect">
          <a:avLst>
            <a:gd name="adj" fmla="val 10000"/>
          </a:avLst>
        </a:prstGeom>
        <a:solidFill>
          <a:schemeClr val="accent5">
            <a:tint val="40000"/>
            <a:alpha val="90000"/>
            <a:hueOff val="-3838027"/>
            <a:satOff val="-6654"/>
            <a:lumOff val="-669"/>
            <a:alphaOff val="0"/>
          </a:schemeClr>
        </a:solidFill>
        <a:ln w="12700" cap="flat" cmpd="sng" algn="ctr">
          <a:solidFill>
            <a:schemeClr val="accent5">
              <a:tint val="40000"/>
              <a:alpha val="90000"/>
              <a:hueOff val="-3838027"/>
              <a:satOff val="-6654"/>
              <a:lumOff val="-66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Move to permanant or transitional housing/cap reached</a:t>
          </a:r>
        </a:p>
      </dsp:txBody>
      <dsp:txXfrm>
        <a:off x="3121928" y="4374039"/>
        <a:ext cx="1344561" cy="321152"/>
      </dsp:txXfrm>
    </dsp:sp>
    <dsp:sp modelId="{F8CB4582-DE61-4CBE-8E7C-E39C293B5252}">
      <dsp:nvSpPr>
        <dsp:cNvPr id="0" name=""/>
        <dsp:cNvSpPr/>
      </dsp:nvSpPr>
      <dsp:spPr>
        <a:xfrm rot="5400000">
          <a:off x="3764359" y="4735032"/>
          <a:ext cx="59698" cy="59698"/>
        </a:xfrm>
        <a:prstGeom prst="rightArrow">
          <a:avLst>
            <a:gd name="adj1" fmla="val 66700"/>
            <a:gd name="adj2" fmla="val 50000"/>
          </a:avLst>
        </a:prstGeom>
        <a:solidFill>
          <a:schemeClr val="accent5">
            <a:hueOff val="-3959493"/>
            <a:satOff val="-5507"/>
            <a:lumOff val="-211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AE99AF9-6243-4762-B22A-7F394B19F736}">
      <dsp:nvSpPr>
        <dsp:cNvPr id="0" name=""/>
        <dsp:cNvSpPr/>
      </dsp:nvSpPr>
      <dsp:spPr>
        <a:xfrm>
          <a:off x="3111936" y="4824581"/>
          <a:ext cx="1364545" cy="341136"/>
        </a:xfrm>
        <a:prstGeom prst="roundRect">
          <a:avLst>
            <a:gd name="adj" fmla="val 10000"/>
          </a:avLst>
        </a:prstGeom>
        <a:solidFill>
          <a:schemeClr val="accent5">
            <a:tint val="40000"/>
            <a:alpha val="90000"/>
            <a:hueOff val="-3980176"/>
            <a:satOff val="-6901"/>
            <a:lumOff val="-694"/>
            <a:alphaOff val="0"/>
          </a:schemeClr>
        </a:solidFill>
        <a:ln w="12700" cap="flat" cmpd="sng" algn="ctr">
          <a:solidFill>
            <a:schemeClr val="accent5">
              <a:tint val="40000"/>
              <a:alpha val="90000"/>
              <a:hueOff val="-3980176"/>
              <a:satOff val="-6901"/>
              <a:lumOff val="-69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Service ends/service outcome recorded</a:t>
          </a:r>
        </a:p>
      </dsp:txBody>
      <dsp:txXfrm>
        <a:off x="3121928" y="4834573"/>
        <a:ext cx="1344561" cy="321152"/>
      </dsp:txXfrm>
    </dsp:sp>
    <dsp:sp modelId="{7C6C1422-E441-44F3-8FE8-A6FDF0C25563}">
      <dsp:nvSpPr>
        <dsp:cNvPr id="0" name=""/>
        <dsp:cNvSpPr/>
      </dsp:nvSpPr>
      <dsp:spPr>
        <a:xfrm>
          <a:off x="4667518" y="679774"/>
          <a:ext cx="1364545" cy="341136"/>
        </a:xfrm>
        <a:prstGeom prst="roundRect">
          <a:avLst>
            <a:gd name="adj" fmla="val 10000"/>
          </a:avLst>
        </a:prstGeom>
        <a:solidFill>
          <a:schemeClr val="accent5">
            <a:hueOff val="-4412007"/>
            <a:satOff val="-6137"/>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dirty="0"/>
            <a:t>TSH</a:t>
          </a:r>
        </a:p>
      </dsp:txBody>
      <dsp:txXfrm>
        <a:off x="4677510" y="689766"/>
        <a:ext cx="1344561" cy="321152"/>
      </dsp:txXfrm>
    </dsp:sp>
    <dsp:sp modelId="{BB999CA9-5CA5-47CC-A7A9-B76892CA5D46}">
      <dsp:nvSpPr>
        <dsp:cNvPr id="0" name=""/>
        <dsp:cNvSpPr/>
      </dsp:nvSpPr>
      <dsp:spPr>
        <a:xfrm rot="5400000">
          <a:off x="5319941" y="1050759"/>
          <a:ext cx="59698" cy="59698"/>
        </a:xfrm>
        <a:prstGeom prst="rightArrow">
          <a:avLst>
            <a:gd name="adj1" fmla="val 66700"/>
            <a:gd name="adj2" fmla="val 50000"/>
          </a:avLst>
        </a:prstGeom>
        <a:solidFill>
          <a:schemeClr val="accent5">
            <a:hueOff val="-4100903"/>
            <a:satOff val="-5704"/>
            <a:lumOff val="-218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4E349DE-A296-4797-A231-013758126630}">
      <dsp:nvSpPr>
        <dsp:cNvPr id="0" name=""/>
        <dsp:cNvSpPr/>
      </dsp:nvSpPr>
      <dsp:spPr>
        <a:xfrm>
          <a:off x="4667518" y="1140308"/>
          <a:ext cx="1364545" cy="341136"/>
        </a:xfrm>
        <a:prstGeom prst="roundRect">
          <a:avLst>
            <a:gd name="adj" fmla="val 10000"/>
          </a:avLst>
        </a:prstGeom>
        <a:solidFill>
          <a:schemeClr val="accent5">
            <a:tint val="40000"/>
            <a:alpha val="90000"/>
            <a:hueOff val="-4122325"/>
            <a:satOff val="-7147"/>
            <a:lumOff val="-719"/>
            <a:alphaOff val="0"/>
          </a:schemeClr>
        </a:solidFill>
        <a:ln w="12700" cap="flat" cmpd="sng" algn="ctr">
          <a:solidFill>
            <a:schemeClr val="accent5">
              <a:tint val="40000"/>
              <a:alpha val="90000"/>
              <a:hueOff val="-4122325"/>
              <a:satOff val="-7147"/>
              <a:lumOff val="-71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Household must be homeless or at risk of homelessness</a:t>
          </a:r>
        </a:p>
      </dsp:txBody>
      <dsp:txXfrm>
        <a:off x="4677510" y="1150300"/>
        <a:ext cx="1344561" cy="321152"/>
      </dsp:txXfrm>
    </dsp:sp>
    <dsp:sp modelId="{E5AAB9E5-0A90-4F73-AEF4-7BC94D23B370}">
      <dsp:nvSpPr>
        <dsp:cNvPr id="0" name=""/>
        <dsp:cNvSpPr/>
      </dsp:nvSpPr>
      <dsp:spPr>
        <a:xfrm rot="5400000">
          <a:off x="5319941" y="1511294"/>
          <a:ext cx="59698" cy="59698"/>
        </a:xfrm>
        <a:prstGeom prst="rightArrow">
          <a:avLst>
            <a:gd name="adj1" fmla="val 66700"/>
            <a:gd name="adj2" fmla="val 50000"/>
          </a:avLst>
        </a:prstGeom>
        <a:solidFill>
          <a:schemeClr val="accent5">
            <a:hueOff val="-4242314"/>
            <a:satOff val="-5901"/>
            <a:lumOff val="-226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24D25B9-C7DA-460F-AD45-CFE3129316C4}">
      <dsp:nvSpPr>
        <dsp:cNvPr id="0" name=""/>
        <dsp:cNvSpPr/>
      </dsp:nvSpPr>
      <dsp:spPr>
        <a:xfrm>
          <a:off x="4667518" y="1600842"/>
          <a:ext cx="1364545" cy="341136"/>
        </a:xfrm>
        <a:prstGeom prst="roundRect">
          <a:avLst>
            <a:gd name="adj" fmla="val 10000"/>
          </a:avLst>
        </a:prstGeom>
        <a:solidFill>
          <a:schemeClr val="accent5">
            <a:tint val="40000"/>
            <a:alpha val="90000"/>
            <a:hueOff val="-4264474"/>
            <a:satOff val="-7394"/>
            <a:lumOff val="-744"/>
            <a:alphaOff val="0"/>
          </a:schemeClr>
        </a:solidFill>
        <a:ln w="12700" cap="flat" cmpd="sng" algn="ctr">
          <a:solidFill>
            <a:schemeClr val="accent5">
              <a:tint val="40000"/>
              <a:alpha val="90000"/>
              <a:hueOff val="-4264474"/>
              <a:satOff val="-7394"/>
              <a:lumOff val="-74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Obtain documentation of what you pay for and who you pay</a:t>
          </a:r>
        </a:p>
      </dsp:txBody>
      <dsp:txXfrm>
        <a:off x="4677510" y="1610834"/>
        <a:ext cx="1344561" cy="321152"/>
      </dsp:txXfrm>
    </dsp:sp>
    <dsp:sp modelId="{91E25D24-1269-41B8-A83A-1A4F5A0D0A20}">
      <dsp:nvSpPr>
        <dsp:cNvPr id="0" name=""/>
        <dsp:cNvSpPr/>
      </dsp:nvSpPr>
      <dsp:spPr>
        <a:xfrm rot="5400000">
          <a:off x="5319941" y="1971828"/>
          <a:ext cx="59698" cy="59698"/>
        </a:xfrm>
        <a:prstGeom prst="rightArrow">
          <a:avLst>
            <a:gd name="adj1" fmla="val 66700"/>
            <a:gd name="adj2" fmla="val 50000"/>
          </a:avLst>
        </a:prstGeom>
        <a:solidFill>
          <a:schemeClr val="accent5">
            <a:hueOff val="-4383725"/>
            <a:satOff val="-6097"/>
            <a:lumOff val="-233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1C70C5D-BF0E-4C10-B597-90985C47B597}">
      <dsp:nvSpPr>
        <dsp:cNvPr id="0" name=""/>
        <dsp:cNvSpPr/>
      </dsp:nvSpPr>
      <dsp:spPr>
        <a:xfrm>
          <a:off x="4667518" y="2061376"/>
          <a:ext cx="1364545" cy="341136"/>
        </a:xfrm>
        <a:prstGeom prst="roundRect">
          <a:avLst>
            <a:gd name="adj" fmla="val 10000"/>
          </a:avLst>
        </a:prstGeom>
        <a:solidFill>
          <a:schemeClr val="accent5">
            <a:tint val="40000"/>
            <a:alpha val="90000"/>
            <a:hueOff val="-4406623"/>
            <a:satOff val="-7640"/>
            <a:lumOff val="-768"/>
            <a:alphaOff val="0"/>
          </a:schemeClr>
        </a:solidFill>
        <a:ln w="12700" cap="flat" cmpd="sng" algn="ctr">
          <a:solidFill>
            <a:schemeClr val="accent5">
              <a:tint val="40000"/>
              <a:alpha val="90000"/>
              <a:hueOff val="-4406623"/>
              <a:satOff val="-7640"/>
              <a:lumOff val="-76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Housing Quality Standards Certification</a:t>
          </a:r>
        </a:p>
      </dsp:txBody>
      <dsp:txXfrm>
        <a:off x="4677510" y="2071368"/>
        <a:ext cx="1344561" cy="321152"/>
      </dsp:txXfrm>
    </dsp:sp>
    <dsp:sp modelId="{6A269856-1768-49E5-8AB3-5FA613D8CD56}">
      <dsp:nvSpPr>
        <dsp:cNvPr id="0" name=""/>
        <dsp:cNvSpPr/>
      </dsp:nvSpPr>
      <dsp:spPr>
        <a:xfrm rot="5400000">
          <a:off x="5319941" y="2432362"/>
          <a:ext cx="59698" cy="59698"/>
        </a:xfrm>
        <a:prstGeom prst="rightArrow">
          <a:avLst>
            <a:gd name="adj1" fmla="val 66700"/>
            <a:gd name="adj2" fmla="val 50000"/>
          </a:avLst>
        </a:prstGeom>
        <a:solidFill>
          <a:schemeClr val="accent5">
            <a:hueOff val="-4525135"/>
            <a:satOff val="-6294"/>
            <a:lumOff val="-241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8D7292A-8024-491D-971F-757429D2E2FB}">
      <dsp:nvSpPr>
        <dsp:cNvPr id="0" name=""/>
        <dsp:cNvSpPr/>
      </dsp:nvSpPr>
      <dsp:spPr>
        <a:xfrm>
          <a:off x="4667518" y="2521910"/>
          <a:ext cx="1364545" cy="341136"/>
        </a:xfrm>
        <a:prstGeom prst="roundRect">
          <a:avLst>
            <a:gd name="adj" fmla="val 10000"/>
          </a:avLst>
        </a:prstGeom>
        <a:solidFill>
          <a:schemeClr val="accent5">
            <a:tint val="40000"/>
            <a:alpha val="90000"/>
            <a:hueOff val="-4548772"/>
            <a:satOff val="-7887"/>
            <a:lumOff val="-793"/>
            <a:alphaOff val="0"/>
          </a:schemeClr>
        </a:solidFill>
        <a:ln w="12700" cap="flat" cmpd="sng" algn="ctr">
          <a:solidFill>
            <a:schemeClr val="accent5">
              <a:tint val="40000"/>
              <a:alpha val="90000"/>
              <a:hueOff val="-4548772"/>
              <a:satOff val="-7887"/>
              <a:lumOff val="-79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Rent Standard &amp; Rent Reasonableness Examination</a:t>
          </a:r>
        </a:p>
      </dsp:txBody>
      <dsp:txXfrm>
        <a:off x="4677510" y="2531902"/>
        <a:ext cx="1344561" cy="321152"/>
      </dsp:txXfrm>
    </dsp:sp>
    <dsp:sp modelId="{ABE699A6-CB5D-494A-80A9-31B8810F2685}">
      <dsp:nvSpPr>
        <dsp:cNvPr id="0" name=""/>
        <dsp:cNvSpPr/>
      </dsp:nvSpPr>
      <dsp:spPr>
        <a:xfrm rot="5400000">
          <a:off x="5319941" y="2892896"/>
          <a:ext cx="59698" cy="59698"/>
        </a:xfrm>
        <a:prstGeom prst="rightArrow">
          <a:avLst>
            <a:gd name="adj1" fmla="val 66700"/>
            <a:gd name="adj2" fmla="val 50000"/>
          </a:avLst>
        </a:prstGeom>
        <a:solidFill>
          <a:schemeClr val="accent5">
            <a:hueOff val="-4666545"/>
            <a:satOff val="-6491"/>
            <a:lumOff val="-248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0C46E5B-FF0D-44DD-AC1A-B72BFDD4D66B}">
      <dsp:nvSpPr>
        <dsp:cNvPr id="0" name=""/>
        <dsp:cNvSpPr/>
      </dsp:nvSpPr>
      <dsp:spPr>
        <a:xfrm>
          <a:off x="4667518" y="2982444"/>
          <a:ext cx="1364545" cy="341136"/>
        </a:xfrm>
        <a:prstGeom prst="roundRect">
          <a:avLst>
            <a:gd name="adj" fmla="val 10000"/>
          </a:avLst>
        </a:prstGeom>
        <a:solidFill>
          <a:schemeClr val="accent5">
            <a:tint val="40000"/>
            <a:alpha val="90000"/>
            <a:hueOff val="-4690921"/>
            <a:satOff val="-8133"/>
            <a:lumOff val="-818"/>
            <a:alphaOff val="0"/>
          </a:schemeClr>
        </a:solidFill>
        <a:ln w="12700" cap="flat" cmpd="sng" algn="ctr">
          <a:solidFill>
            <a:schemeClr val="accent5">
              <a:tint val="40000"/>
              <a:alpha val="90000"/>
              <a:hueOff val="-4690921"/>
              <a:satOff val="-8133"/>
              <a:lumOff val="-81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Rental assistance calculation</a:t>
          </a:r>
        </a:p>
      </dsp:txBody>
      <dsp:txXfrm>
        <a:off x="4677510" y="2992436"/>
        <a:ext cx="1344561" cy="321152"/>
      </dsp:txXfrm>
    </dsp:sp>
    <dsp:sp modelId="{9A3827C2-04AC-409C-900F-A5F27A38CC91}">
      <dsp:nvSpPr>
        <dsp:cNvPr id="0" name=""/>
        <dsp:cNvSpPr/>
      </dsp:nvSpPr>
      <dsp:spPr>
        <a:xfrm rot="5400000">
          <a:off x="5319941" y="3353430"/>
          <a:ext cx="59698" cy="59698"/>
        </a:xfrm>
        <a:prstGeom prst="rightArrow">
          <a:avLst>
            <a:gd name="adj1" fmla="val 66700"/>
            <a:gd name="adj2" fmla="val 50000"/>
          </a:avLst>
        </a:prstGeom>
        <a:solidFill>
          <a:schemeClr val="accent5">
            <a:hueOff val="-4807956"/>
            <a:satOff val="-6688"/>
            <a:lumOff val="-256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2ED1394-205A-4111-99D2-3112F289CB14}">
      <dsp:nvSpPr>
        <dsp:cNvPr id="0" name=""/>
        <dsp:cNvSpPr/>
      </dsp:nvSpPr>
      <dsp:spPr>
        <a:xfrm>
          <a:off x="4667518" y="3442978"/>
          <a:ext cx="1364545" cy="341136"/>
        </a:xfrm>
        <a:prstGeom prst="roundRect">
          <a:avLst>
            <a:gd name="adj" fmla="val 10000"/>
          </a:avLst>
        </a:prstGeom>
        <a:solidFill>
          <a:schemeClr val="accent5">
            <a:tint val="40000"/>
            <a:alpha val="90000"/>
            <a:hueOff val="-4833071"/>
            <a:satOff val="-8380"/>
            <a:lumOff val="-843"/>
            <a:alphaOff val="0"/>
          </a:schemeClr>
        </a:solidFill>
        <a:ln w="12700" cap="flat" cmpd="sng" algn="ctr">
          <a:solidFill>
            <a:schemeClr val="accent5">
              <a:tint val="40000"/>
              <a:alpha val="90000"/>
              <a:hueOff val="-4833071"/>
              <a:satOff val="-8380"/>
              <a:lumOff val="-84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Facility-based service starts</a:t>
          </a:r>
        </a:p>
      </dsp:txBody>
      <dsp:txXfrm>
        <a:off x="4677510" y="3452970"/>
        <a:ext cx="1344561" cy="321152"/>
      </dsp:txXfrm>
    </dsp:sp>
    <dsp:sp modelId="{92BD2319-87AE-456E-9E9F-6FE0B1DD4C2E}">
      <dsp:nvSpPr>
        <dsp:cNvPr id="0" name=""/>
        <dsp:cNvSpPr/>
      </dsp:nvSpPr>
      <dsp:spPr>
        <a:xfrm rot="5400000">
          <a:off x="5319941" y="3813964"/>
          <a:ext cx="59698" cy="59698"/>
        </a:xfrm>
        <a:prstGeom prst="rightArrow">
          <a:avLst>
            <a:gd name="adj1" fmla="val 66700"/>
            <a:gd name="adj2" fmla="val 50000"/>
          </a:avLst>
        </a:prstGeom>
        <a:solidFill>
          <a:schemeClr val="accent5">
            <a:hueOff val="-4949366"/>
            <a:satOff val="-6884"/>
            <a:lumOff val="-264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28C68C2-1318-42E9-A5F0-97A5260943A6}">
      <dsp:nvSpPr>
        <dsp:cNvPr id="0" name=""/>
        <dsp:cNvSpPr/>
      </dsp:nvSpPr>
      <dsp:spPr>
        <a:xfrm>
          <a:off x="4667518" y="3903512"/>
          <a:ext cx="1364545" cy="341136"/>
        </a:xfrm>
        <a:prstGeom prst="roundRect">
          <a:avLst>
            <a:gd name="adj" fmla="val 10000"/>
          </a:avLst>
        </a:prstGeom>
        <a:solidFill>
          <a:schemeClr val="accent5">
            <a:tint val="40000"/>
            <a:alpha val="90000"/>
            <a:hueOff val="-4975220"/>
            <a:satOff val="-8626"/>
            <a:lumOff val="-868"/>
            <a:alphaOff val="0"/>
          </a:schemeClr>
        </a:solidFill>
        <a:ln w="12700" cap="flat" cmpd="sng" algn="ctr">
          <a:solidFill>
            <a:schemeClr val="accent5">
              <a:tint val="40000"/>
              <a:alpha val="90000"/>
              <a:hueOff val="-4975220"/>
              <a:satOff val="-8626"/>
              <a:lumOff val="-86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Pays subsidy for current rent (sometimes utilities)</a:t>
          </a:r>
        </a:p>
      </dsp:txBody>
      <dsp:txXfrm>
        <a:off x="4677510" y="3913504"/>
        <a:ext cx="1344561" cy="321152"/>
      </dsp:txXfrm>
    </dsp:sp>
    <dsp:sp modelId="{6A6204DF-5B6B-48DC-AA90-E6FE68A2A48A}">
      <dsp:nvSpPr>
        <dsp:cNvPr id="0" name=""/>
        <dsp:cNvSpPr/>
      </dsp:nvSpPr>
      <dsp:spPr>
        <a:xfrm rot="5400000">
          <a:off x="5319941" y="4274498"/>
          <a:ext cx="59698" cy="59698"/>
        </a:xfrm>
        <a:prstGeom prst="rightArrow">
          <a:avLst>
            <a:gd name="adj1" fmla="val 66700"/>
            <a:gd name="adj2" fmla="val 50000"/>
          </a:avLst>
        </a:prstGeom>
        <a:solidFill>
          <a:schemeClr val="accent5">
            <a:hueOff val="-5090777"/>
            <a:satOff val="-7081"/>
            <a:lumOff val="-271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4B0E7F7-EEFF-4F81-8E07-75A32020582A}">
      <dsp:nvSpPr>
        <dsp:cNvPr id="0" name=""/>
        <dsp:cNvSpPr/>
      </dsp:nvSpPr>
      <dsp:spPr>
        <a:xfrm>
          <a:off x="4667518" y="4364047"/>
          <a:ext cx="1364545" cy="341136"/>
        </a:xfrm>
        <a:prstGeom prst="roundRect">
          <a:avLst>
            <a:gd name="adj" fmla="val 10000"/>
          </a:avLst>
        </a:prstGeom>
        <a:solidFill>
          <a:schemeClr val="accent5">
            <a:tint val="40000"/>
            <a:alpha val="90000"/>
            <a:hueOff val="-5117369"/>
            <a:satOff val="-8873"/>
            <a:lumOff val="-892"/>
            <a:alphaOff val="0"/>
          </a:schemeClr>
        </a:solidFill>
        <a:ln w="12700" cap="flat" cmpd="sng" algn="ctr">
          <a:solidFill>
            <a:schemeClr val="accent5">
              <a:tint val="40000"/>
              <a:alpha val="90000"/>
              <a:hueOff val="-5117369"/>
              <a:satOff val="-8873"/>
              <a:lumOff val="-89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24-month assistance cap tracking</a:t>
          </a:r>
        </a:p>
      </dsp:txBody>
      <dsp:txXfrm>
        <a:off x="4677510" y="4374039"/>
        <a:ext cx="1344561" cy="321152"/>
      </dsp:txXfrm>
    </dsp:sp>
    <dsp:sp modelId="{1F308CE5-DFF5-4EED-BD4E-16E0B4C4114B}">
      <dsp:nvSpPr>
        <dsp:cNvPr id="0" name=""/>
        <dsp:cNvSpPr/>
      </dsp:nvSpPr>
      <dsp:spPr>
        <a:xfrm rot="5400000">
          <a:off x="5319941" y="4735032"/>
          <a:ext cx="59698" cy="59698"/>
        </a:xfrm>
        <a:prstGeom prst="rightArrow">
          <a:avLst>
            <a:gd name="adj1" fmla="val 66700"/>
            <a:gd name="adj2" fmla="val 50000"/>
          </a:avLst>
        </a:prstGeom>
        <a:solidFill>
          <a:schemeClr val="accent5">
            <a:hueOff val="-5232187"/>
            <a:satOff val="-7278"/>
            <a:lumOff val="-279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E4342D2-5F94-4908-8479-122160F298A3}">
      <dsp:nvSpPr>
        <dsp:cNvPr id="0" name=""/>
        <dsp:cNvSpPr/>
      </dsp:nvSpPr>
      <dsp:spPr>
        <a:xfrm>
          <a:off x="4667518" y="4824581"/>
          <a:ext cx="1364545" cy="341136"/>
        </a:xfrm>
        <a:prstGeom prst="roundRect">
          <a:avLst>
            <a:gd name="adj" fmla="val 10000"/>
          </a:avLst>
        </a:prstGeom>
        <a:solidFill>
          <a:schemeClr val="accent5">
            <a:tint val="40000"/>
            <a:alpha val="90000"/>
            <a:hueOff val="-5259518"/>
            <a:satOff val="-9119"/>
            <a:lumOff val="-917"/>
            <a:alphaOff val="0"/>
          </a:schemeClr>
        </a:solidFill>
        <a:ln w="12700" cap="flat" cmpd="sng" algn="ctr">
          <a:solidFill>
            <a:schemeClr val="accent5">
              <a:tint val="40000"/>
              <a:alpha val="90000"/>
              <a:hueOff val="-5259518"/>
              <a:satOff val="-9119"/>
              <a:lumOff val="-91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Interim/annual recertification</a:t>
          </a:r>
        </a:p>
      </dsp:txBody>
      <dsp:txXfrm>
        <a:off x="4677510" y="4834573"/>
        <a:ext cx="1344561" cy="321152"/>
      </dsp:txXfrm>
    </dsp:sp>
    <dsp:sp modelId="{4B4E2FC6-B558-4601-8CA3-C0CEDE8E6FCD}">
      <dsp:nvSpPr>
        <dsp:cNvPr id="0" name=""/>
        <dsp:cNvSpPr/>
      </dsp:nvSpPr>
      <dsp:spPr>
        <a:xfrm rot="5400000">
          <a:off x="5319941" y="5195567"/>
          <a:ext cx="59698" cy="59698"/>
        </a:xfrm>
        <a:prstGeom prst="rightArrow">
          <a:avLst>
            <a:gd name="adj1" fmla="val 66700"/>
            <a:gd name="adj2" fmla="val 50000"/>
          </a:avLst>
        </a:prstGeom>
        <a:solidFill>
          <a:schemeClr val="accent5">
            <a:hueOff val="-5373598"/>
            <a:satOff val="-7474"/>
            <a:lumOff val="-286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AFAA241-C69F-442B-80DC-64CBA96946E6}">
      <dsp:nvSpPr>
        <dsp:cNvPr id="0" name=""/>
        <dsp:cNvSpPr/>
      </dsp:nvSpPr>
      <dsp:spPr>
        <a:xfrm>
          <a:off x="4667518" y="5285115"/>
          <a:ext cx="1364545" cy="341136"/>
        </a:xfrm>
        <a:prstGeom prst="roundRect">
          <a:avLst>
            <a:gd name="adj" fmla="val 10000"/>
          </a:avLst>
        </a:prstGeom>
        <a:solidFill>
          <a:schemeClr val="accent5">
            <a:tint val="40000"/>
            <a:alpha val="90000"/>
            <a:hueOff val="-5401667"/>
            <a:satOff val="-9366"/>
            <a:lumOff val="-942"/>
            <a:alphaOff val="0"/>
          </a:schemeClr>
        </a:solidFill>
        <a:ln w="12700" cap="flat" cmpd="sng" algn="ctr">
          <a:solidFill>
            <a:schemeClr val="accent5">
              <a:tint val="40000"/>
              <a:alpha val="90000"/>
              <a:hueOff val="-5401667"/>
              <a:satOff val="-9366"/>
              <a:lumOff val="-94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Accept Housing Choice Voucher/other affordable housing</a:t>
          </a:r>
        </a:p>
      </dsp:txBody>
      <dsp:txXfrm>
        <a:off x="4677510" y="5295107"/>
        <a:ext cx="1344561" cy="321152"/>
      </dsp:txXfrm>
    </dsp:sp>
    <dsp:sp modelId="{29FAA992-4EF8-4C1A-B8DB-90C109AE3E82}">
      <dsp:nvSpPr>
        <dsp:cNvPr id="0" name=""/>
        <dsp:cNvSpPr/>
      </dsp:nvSpPr>
      <dsp:spPr>
        <a:xfrm rot="5400000">
          <a:off x="5319941" y="5656101"/>
          <a:ext cx="59698" cy="59698"/>
        </a:xfrm>
        <a:prstGeom prst="rightArrow">
          <a:avLst>
            <a:gd name="adj1" fmla="val 66700"/>
            <a:gd name="adj2" fmla="val 50000"/>
          </a:avLst>
        </a:prstGeom>
        <a:solidFill>
          <a:schemeClr val="accent5">
            <a:hueOff val="-5515009"/>
            <a:satOff val="-7671"/>
            <a:lumOff val="-294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BA61C51-8FEB-43DF-B44A-E999B0AFBA39}">
      <dsp:nvSpPr>
        <dsp:cNvPr id="0" name=""/>
        <dsp:cNvSpPr/>
      </dsp:nvSpPr>
      <dsp:spPr>
        <a:xfrm>
          <a:off x="4667518" y="5745649"/>
          <a:ext cx="1364545" cy="341136"/>
        </a:xfrm>
        <a:prstGeom prst="roundRect">
          <a:avLst>
            <a:gd name="adj" fmla="val 10000"/>
          </a:avLst>
        </a:prstGeom>
        <a:solidFill>
          <a:schemeClr val="accent5">
            <a:tint val="40000"/>
            <a:alpha val="90000"/>
            <a:hueOff val="-5543816"/>
            <a:satOff val="-9612"/>
            <a:lumOff val="-967"/>
            <a:alphaOff val="0"/>
          </a:schemeClr>
        </a:solidFill>
        <a:ln w="12700" cap="flat" cmpd="sng" algn="ctr">
          <a:solidFill>
            <a:schemeClr val="accent5">
              <a:tint val="40000"/>
              <a:alpha val="90000"/>
              <a:hueOff val="-5543816"/>
              <a:satOff val="-9612"/>
              <a:lumOff val="-96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Service ends/service outcome recorded</a:t>
          </a:r>
        </a:p>
      </dsp:txBody>
      <dsp:txXfrm>
        <a:off x="4677510" y="5755641"/>
        <a:ext cx="1344561" cy="321152"/>
      </dsp:txXfrm>
    </dsp:sp>
    <dsp:sp modelId="{42421F43-B2A3-4E74-A84B-FD476A815830}">
      <dsp:nvSpPr>
        <dsp:cNvPr id="0" name=""/>
        <dsp:cNvSpPr/>
      </dsp:nvSpPr>
      <dsp:spPr>
        <a:xfrm>
          <a:off x="6223100" y="679774"/>
          <a:ext cx="1364545" cy="341136"/>
        </a:xfrm>
        <a:prstGeom prst="roundRect">
          <a:avLst>
            <a:gd name="adj" fmla="val 10000"/>
          </a:avLst>
        </a:prstGeom>
        <a:solidFill>
          <a:schemeClr val="accent5">
            <a:hueOff val="-5882676"/>
            <a:satOff val="-8182"/>
            <a:lumOff val="-313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dirty="0"/>
            <a:t>PHP</a:t>
          </a:r>
        </a:p>
      </dsp:txBody>
      <dsp:txXfrm>
        <a:off x="6233092" y="689766"/>
        <a:ext cx="1344561" cy="321152"/>
      </dsp:txXfrm>
    </dsp:sp>
    <dsp:sp modelId="{ADD6C68F-DF29-4146-85CE-53FA2091313C}">
      <dsp:nvSpPr>
        <dsp:cNvPr id="0" name=""/>
        <dsp:cNvSpPr/>
      </dsp:nvSpPr>
      <dsp:spPr>
        <a:xfrm rot="5400000">
          <a:off x="6875523" y="1050759"/>
          <a:ext cx="59698" cy="59698"/>
        </a:xfrm>
        <a:prstGeom prst="rightArrow">
          <a:avLst>
            <a:gd name="adj1" fmla="val 66700"/>
            <a:gd name="adj2" fmla="val 50000"/>
          </a:avLst>
        </a:prstGeom>
        <a:solidFill>
          <a:schemeClr val="accent5">
            <a:hueOff val="-5656419"/>
            <a:satOff val="-7868"/>
            <a:lumOff val="-301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0F71A5D-86B1-4741-9907-6FC588B03F42}">
      <dsp:nvSpPr>
        <dsp:cNvPr id="0" name=""/>
        <dsp:cNvSpPr/>
      </dsp:nvSpPr>
      <dsp:spPr>
        <a:xfrm>
          <a:off x="6223100" y="1140308"/>
          <a:ext cx="1364545" cy="341136"/>
        </a:xfrm>
        <a:prstGeom prst="roundRect">
          <a:avLst>
            <a:gd name="adj" fmla="val 10000"/>
          </a:avLst>
        </a:prstGeom>
        <a:solidFill>
          <a:schemeClr val="accent5">
            <a:tint val="40000"/>
            <a:alpha val="90000"/>
            <a:hueOff val="-5685965"/>
            <a:satOff val="-9858"/>
            <a:lumOff val="-992"/>
            <a:alphaOff val="0"/>
          </a:schemeClr>
        </a:solidFill>
        <a:ln w="12700" cap="flat" cmpd="sng" algn="ctr">
          <a:solidFill>
            <a:schemeClr val="accent5">
              <a:tint val="40000"/>
              <a:alpha val="90000"/>
              <a:hueOff val="-5685965"/>
              <a:satOff val="-9858"/>
              <a:lumOff val="-99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Household can be housed or homeless</a:t>
          </a:r>
        </a:p>
      </dsp:txBody>
      <dsp:txXfrm>
        <a:off x="6233092" y="1150300"/>
        <a:ext cx="1344561" cy="321152"/>
      </dsp:txXfrm>
    </dsp:sp>
    <dsp:sp modelId="{A24A80E5-B77A-4272-9939-CFA451427314}">
      <dsp:nvSpPr>
        <dsp:cNvPr id="0" name=""/>
        <dsp:cNvSpPr/>
      </dsp:nvSpPr>
      <dsp:spPr>
        <a:xfrm rot="5400000">
          <a:off x="6875523" y="1511294"/>
          <a:ext cx="59698" cy="59698"/>
        </a:xfrm>
        <a:prstGeom prst="rightArrow">
          <a:avLst>
            <a:gd name="adj1" fmla="val 66700"/>
            <a:gd name="adj2" fmla="val 50000"/>
          </a:avLst>
        </a:prstGeom>
        <a:solidFill>
          <a:schemeClr val="accent5">
            <a:hueOff val="-5797830"/>
            <a:satOff val="-8064"/>
            <a:lumOff val="-309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8188022-E73C-4E11-B15D-D7A3DD888BA7}">
      <dsp:nvSpPr>
        <dsp:cNvPr id="0" name=""/>
        <dsp:cNvSpPr/>
      </dsp:nvSpPr>
      <dsp:spPr>
        <a:xfrm>
          <a:off x="6223100" y="1600842"/>
          <a:ext cx="1364545" cy="341136"/>
        </a:xfrm>
        <a:prstGeom prst="roundRect">
          <a:avLst>
            <a:gd name="adj" fmla="val 10000"/>
          </a:avLst>
        </a:prstGeom>
        <a:solidFill>
          <a:schemeClr val="accent5">
            <a:tint val="40000"/>
            <a:alpha val="90000"/>
            <a:hueOff val="-5828115"/>
            <a:satOff val="-10105"/>
            <a:lumOff val="-1016"/>
            <a:alphaOff val="0"/>
          </a:schemeClr>
        </a:solidFill>
        <a:ln w="12700" cap="flat" cmpd="sng" algn="ctr">
          <a:solidFill>
            <a:schemeClr val="accent5">
              <a:tint val="40000"/>
              <a:alpha val="90000"/>
              <a:hueOff val="-5828115"/>
              <a:satOff val="-10105"/>
              <a:lumOff val="-101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Household locates housing</a:t>
          </a:r>
        </a:p>
      </dsp:txBody>
      <dsp:txXfrm>
        <a:off x="6233092" y="1610834"/>
        <a:ext cx="1344561" cy="321152"/>
      </dsp:txXfrm>
    </dsp:sp>
    <dsp:sp modelId="{1EADCF24-D5CB-4B00-B37D-A8F0F520AEDE}">
      <dsp:nvSpPr>
        <dsp:cNvPr id="0" name=""/>
        <dsp:cNvSpPr/>
      </dsp:nvSpPr>
      <dsp:spPr>
        <a:xfrm rot="5400000">
          <a:off x="6875523" y="1971828"/>
          <a:ext cx="59698" cy="59698"/>
        </a:xfrm>
        <a:prstGeom prst="rightArrow">
          <a:avLst>
            <a:gd name="adj1" fmla="val 66700"/>
            <a:gd name="adj2" fmla="val 50000"/>
          </a:avLst>
        </a:prstGeom>
        <a:solidFill>
          <a:schemeClr val="accent5">
            <a:hueOff val="-5939240"/>
            <a:satOff val="-8261"/>
            <a:lumOff val="-316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AEF9209-0337-4C6E-BB4A-1017657529C3}">
      <dsp:nvSpPr>
        <dsp:cNvPr id="0" name=""/>
        <dsp:cNvSpPr/>
      </dsp:nvSpPr>
      <dsp:spPr>
        <a:xfrm>
          <a:off x="6223100" y="2061376"/>
          <a:ext cx="1364545" cy="341136"/>
        </a:xfrm>
        <a:prstGeom prst="roundRect">
          <a:avLst>
            <a:gd name="adj" fmla="val 10000"/>
          </a:avLst>
        </a:prstGeom>
        <a:solidFill>
          <a:schemeClr val="accent5">
            <a:tint val="40000"/>
            <a:alpha val="90000"/>
            <a:hueOff val="-5970264"/>
            <a:satOff val="-10351"/>
            <a:lumOff val="-1041"/>
            <a:alphaOff val="0"/>
          </a:schemeClr>
        </a:solidFill>
        <a:ln w="12700" cap="flat" cmpd="sng" algn="ctr">
          <a:solidFill>
            <a:schemeClr val="accent5">
              <a:tint val="40000"/>
              <a:alpha val="90000"/>
              <a:hueOff val="-5970264"/>
              <a:satOff val="-10351"/>
              <a:lumOff val="-104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Obtain documentation of what you pay for and who you pay (Form L for units)</a:t>
          </a:r>
        </a:p>
      </dsp:txBody>
      <dsp:txXfrm>
        <a:off x="6233092" y="2071368"/>
        <a:ext cx="1344561" cy="321152"/>
      </dsp:txXfrm>
    </dsp:sp>
    <dsp:sp modelId="{4AB6454A-1B49-458A-8F40-98C4AC15646B}">
      <dsp:nvSpPr>
        <dsp:cNvPr id="0" name=""/>
        <dsp:cNvSpPr/>
      </dsp:nvSpPr>
      <dsp:spPr>
        <a:xfrm rot="5400000">
          <a:off x="6875523" y="2432362"/>
          <a:ext cx="59698" cy="59698"/>
        </a:xfrm>
        <a:prstGeom prst="rightArrow">
          <a:avLst>
            <a:gd name="adj1" fmla="val 66700"/>
            <a:gd name="adj2" fmla="val 50000"/>
          </a:avLst>
        </a:prstGeom>
        <a:solidFill>
          <a:schemeClr val="accent5">
            <a:hueOff val="-6080650"/>
            <a:satOff val="-8458"/>
            <a:lumOff val="-324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BD4C7E5-FEB3-42F0-9D08-6E709A9FCB48}">
      <dsp:nvSpPr>
        <dsp:cNvPr id="0" name=""/>
        <dsp:cNvSpPr/>
      </dsp:nvSpPr>
      <dsp:spPr>
        <a:xfrm>
          <a:off x="6223100" y="2521910"/>
          <a:ext cx="1364545" cy="341136"/>
        </a:xfrm>
        <a:prstGeom prst="roundRect">
          <a:avLst>
            <a:gd name="adj" fmla="val 10000"/>
          </a:avLst>
        </a:prstGeom>
        <a:solidFill>
          <a:schemeClr val="accent5">
            <a:tint val="40000"/>
            <a:alpha val="90000"/>
            <a:hueOff val="-6112413"/>
            <a:satOff val="-10598"/>
            <a:lumOff val="-1066"/>
            <a:alphaOff val="0"/>
          </a:schemeClr>
        </a:solidFill>
        <a:ln w="12700" cap="flat" cmpd="sng" algn="ctr">
          <a:solidFill>
            <a:schemeClr val="accent5">
              <a:tint val="40000"/>
              <a:alpha val="90000"/>
              <a:hueOff val="-6112413"/>
              <a:satOff val="-10598"/>
              <a:lumOff val="-106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Housing Quality Standards Certification</a:t>
          </a:r>
        </a:p>
      </dsp:txBody>
      <dsp:txXfrm>
        <a:off x="6233092" y="2531902"/>
        <a:ext cx="1344561" cy="321152"/>
      </dsp:txXfrm>
    </dsp:sp>
    <dsp:sp modelId="{ABE8295F-FFE7-4225-A3A1-B1F695DC7EF8}">
      <dsp:nvSpPr>
        <dsp:cNvPr id="0" name=""/>
        <dsp:cNvSpPr/>
      </dsp:nvSpPr>
      <dsp:spPr>
        <a:xfrm rot="5400000">
          <a:off x="6875523" y="2892896"/>
          <a:ext cx="59698" cy="59698"/>
        </a:xfrm>
        <a:prstGeom prst="rightArrow">
          <a:avLst>
            <a:gd name="adj1" fmla="val 66700"/>
            <a:gd name="adj2" fmla="val 50000"/>
          </a:avLst>
        </a:prstGeom>
        <a:solidFill>
          <a:schemeClr val="accent5">
            <a:hueOff val="-6222061"/>
            <a:satOff val="-8654"/>
            <a:lumOff val="-331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D6BD734-D2B3-4611-874D-E27BCCECF338}">
      <dsp:nvSpPr>
        <dsp:cNvPr id="0" name=""/>
        <dsp:cNvSpPr/>
      </dsp:nvSpPr>
      <dsp:spPr>
        <a:xfrm>
          <a:off x="6223100" y="2982444"/>
          <a:ext cx="1364545" cy="341136"/>
        </a:xfrm>
        <a:prstGeom prst="roundRect">
          <a:avLst>
            <a:gd name="adj" fmla="val 10000"/>
          </a:avLst>
        </a:prstGeom>
        <a:solidFill>
          <a:schemeClr val="accent5">
            <a:tint val="40000"/>
            <a:alpha val="90000"/>
            <a:hueOff val="-6254562"/>
            <a:satOff val="-10844"/>
            <a:lumOff val="-1091"/>
            <a:alphaOff val="0"/>
          </a:schemeClr>
        </a:solidFill>
        <a:ln w="12700" cap="flat" cmpd="sng" algn="ctr">
          <a:solidFill>
            <a:schemeClr val="accent5">
              <a:tint val="40000"/>
              <a:alpha val="90000"/>
              <a:hueOff val="-6254562"/>
              <a:satOff val="-10844"/>
              <a:lumOff val="-109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Service starts</a:t>
          </a:r>
        </a:p>
      </dsp:txBody>
      <dsp:txXfrm>
        <a:off x="6233092" y="2992436"/>
        <a:ext cx="1344561" cy="321152"/>
      </dsp:txXfrm>
    </dsp:sp>
    <dsp:sp modelId="{06211595-39A8-4B6E-8C87-3FBD9CCEC32A}">
      <dsp:nvSpPr>
        <dsp:cNvPr id="0" name=""/>
        <dsp:cNvSpPr/>
      </dsp:nvSpPr>
      <dsp:spPr>
        <a:xfrm rot="5400000">
          <a:off x="6875523" y="3353430"/>
          <a:ext cx="59698" cy="59698"/>
        </a:xfrm>
        <a:prstGeom prst="rightArrow">
          <a:avLst>
            <a:gd name="adj1" fmla="val 66700"/>
            <a:gd name="adj2" fmla="val 50000"/>
          </a:avLst>
        </a:prstGeom>
        <a:solidFill>
          <a:schemeClr val="accent5">
            <a:hueOff val="-6363471"/>
            <a:satOff val="-8851"/>
            <a:lumOff val="-339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47FEDC3-C389-42DD-A429-4D5F756E3828}">
      <dsp:nvSpPr>
        <dsp:cNvPr id="0" name=""/>
        <dsp:cNvSpPr/>
      </dsp:nvSpPr>
      <dsp:spPr>
        <a:xfrm>
          <a:off x="6223100" y="3442978"/>
          <a:ext cx="1364545" cy="341136"/>
        </a:xfrm>
        <a:prstGeom prst="roundRect">
          <a:avLst>
            <a:gd name="adj" fmla="val 10000"/>
          </a:avLst>
        </a:prstGeom>
        <a:solidFill>
          <a:schemeClr val="accent5">
            <a:tint val="40000"/>
            <a:alpha val="90000"/>
            <a:hueOff val="-6396711"/>
            <a:satOff val="-11091"/>
            <a:lumOff val="-1115"/>
            <a:alphaOff val="0"/>
          </a:schemeClr>
        </a:solidFill>
        <a:ln w="12700" cap="flat" cmpd="sng" algn="ctr">
          <a:solidFill>
            <a:schemeClr val="accent5">
              <a:tint val="40000"/>
              <a:alpha val="90000"/>
              <a:hueOff val="-6396711"/>
              <a:satOff val="-11091"/>
              <a:lumOff val="-111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Pays application/administrative fees, security/utility deposits, &amp; more (see PHP eligible costs)</a:t>
          </a:r>
        </a:p>
      </dsp:txBody>
      <dsp:txXfrm>
        <a:off x="6233092" y="3452970"/>
        <a:ext cx="1344561" cy="321152"/>
      </dsp:txXfrm>
    </dsp:sp>
    <dsp:sp modelId="{8520E4E2-B35E-4F53-9381-42F916BD4E4F}">
      <dsp:nvSpPr>
        <dsp:cNvPr id="0" name=""/>
        <dsp:cNvSpPr/>
      </dsp:nvSpPr>
      <dsp:spPr>
        <a:xfrm rot="5400000">
          <a:off x="6875523" y="3813964"/>
          <a:ext cx="59698" cy="59698"/>
        </a:xfrm>
        <a:prstGeom prst="rightArrow">
          <a:avLst>
            <a:gd name="adj1" fmla="val 66700"/>
            <a:gd name="adj2" fmla="val 50000"/>
          </a:avLst>
        </a:prstGeom>
        <a:solidFill>
          <a:schemeClr val="accent5">
            <a:hueOff val="-6504881"/>
            <a:satOff val="-9048"/>
            <a:lumOff val="-346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5EA7AE5-5672-497B-ACD4-E3EA91812DB1}">
      <dsp:nvSpPr>
        <dsp:cNvPr id="0" name=""/>
        <dsp:cNvSpPr/>
      </dsp:nvSpPr>
      <dsp:spPr>
        <a:xfrm>
          <a:off x="6223100" y="3903512"/>
          <a:ext cx="1364545" cy="341136"/>
        </a:xfrm>
        <a:prstGeom prst="roundRect">
          <a:avLst>
            <a:gd name="adj" fmla="val 10000"/>
          </a:avLst>
        </a:prstGeom>
        <a:solidFill>
          <a:schemeClr val="accent5">
            <a:tint val="40000"/>
            <a:alpha val="90000"/>
            <a:hueOff val="-6538860"/>
            <a:satOff val="-11337"/>
            <a:lumOff val="-1140"/>
            <a:alphaOff val="0"/>
          </a:schemeClr>
        </a:solidFill>
        <a:ln w="12700" cap="flat" cmpd="sng" algn="ctr">
          <a:solidFill>
            <a:schemeClr val="accent5">
              <a:tint val="40000"/>
              <a:alpha val="90000"/>
              <a:hueOff val="-6538860"/>
              <a:satOff val="-11337"/>
              <a:lumOff val="-114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Total rent costs are capped at two months of proposed rent. </a:t>
          </a:r>
        </a:p>
      </dsp:txBody>
      <dsp:txXfrm>
        <a:off x="6233092" y="3913504"/>
        <a:ext cx="1344561" cy="321152"/>
      </dsp:txXfrm>
    </dsp:sp>
    <dsp:sp modelId="{C282B51C-F1EF-4E5B-A9C6-898225A3ACCF}">
      <dsp:nvSpPr>
        <dsp:cNvPr id="0" name=""/>
        <dsp:cNvSpPr/>
      </dsp:nvSpPr>
      <dsp:spPr>
        <a:xfrm rot="5400000">
          <a:off x="6875523" y="4274498"/>
          <a:ext cx="59698" cy="59698"/>
        </a:xfrm>
        <a:prstGeom prst="rightArrow">
          <a:avLst>
            <a:gd name="adj1" fmla="val 66700"/>
            <a:gd name="adj2" fmla="val 50000"/>
          </a:avLst>
        </a:prstGeom>
        <a:solidFill>
          <a:schemeClr val="accent5">
            <a:hueOff val="-6646292"/>
            <a:satOff val="-9245"/>
            <a:lumOff val="-354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F93A94E-81B5-4555-8668-7D47AED778C5}">
      <dsp:nvSpPr>
        <dsp:cNvPr id="0" name=""/>
        <dsp:cNvSpPr/>
      </dsp:nvSpPr>
      <dsp:spPr>
        <a:xfrm>
          <a:off x="6223100" y="4364047"/>
          <a:ext cx="1364545" cy="341136"/>
        </a:xfrm>
        <a:prstGeom prst="roundRect">
          <a:avLst>
            <a:gd name="adj" fmla="val 10000"/>
          </a:avLst>
        </a:prstGeom>
        <a:solidFill>
          <a:schemeClr val="accent5">
            <a:tint val="40000"/>
            <a:alpha val="90000"/>
            <a:hueOff val="-6681009"/>
            <a:satOff val="-11584"/>
            <a:lumOff val="-1165"/>
            <a:alphaOff val="0"/>
          </a:schemeClr>
        </a:solidFill>
        <a:ln w="12700" cap="flat" cmpd="sng" algn="ctr">
          <a:solidFill>
            <a:schemeClr val="accent5">
              <a:tint val="40000"/>
              <a:alpha val="90000"/>
              <a:hueOff val="-6681009"/>
              <a:satOff val="-11584"/>
              <a:lumOff val="-11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Deposits must return to the Project Sponsor</a:t>
          </a:r>
        </a:p>
      </dsp:txBody>
      <dsp:txXfrm>
        <a:off x="6233092" y="4374039"/>
        <a:ext cx="1344561" cy="321152"/>
      </dsp:txXfrm>
    </dsp:sp>
    <dsp:sp modelId="{1675C535-D0D5-4BF2-BD8D-741B9828B266}">
      <dsp:nvSpPr>
        <dsp:cNvPr id="0" name=""/>
        <dsp:cNvSpPr/>
      </dsp:nvSpPr>
      <dsp:spPr>
        <a:xfrm rot="5400000">
          <a:off x="6875523" y="4735032"/>
          <a:ext cx="59698" cy="59698"/>
        </a:xfrm>
        <a:prstGeom prst="rightArrow">
          <a:avLst>
            <a:gd name="adj1" fmla="val 66700"/>
            <a:gd name="adj2" fmla="val 50000"/>
          </a:avLst>
        </a:prstGeom>
        <a:solidFill>
          <a:schemeClr val="accent5">
            <a:hueOff val="-6787703"/>
            <a:satOff val="-9441"/>
            <a:lumOff val="-362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42A2E45-8A0D-45A3-B711-E894070858FA}">
      <dsp:nvSpPr>
        <dsp:cNvPr id="0" name=""/>
        <dsp:cNvSpPr/>
      </dsp:nvSpPr>
      <dsp:spPr>
        <a:xfrm>
          <a:off x="6223100" y="4824581"/>
          <a:ext cx="1364545" cy="341136"/>
        </a:xfrm>
        <a:prstGeom prst="roundRect">
          <a:avLst>
            <a:gd name="adj" fmla="val 10000"/>
          </a:avLst>
        </a:prstGeom>
        <a:solidFill>
          <a:schemeClr val="accent5">
            <a:tint val="40000"/>
            <a:alpha val="90000"/>
            <a:hueOff val="-6823158"/>
            <a:satOff val="-11830"/>
            <a:lumOff val="-1190"/>
            <a:alphaOff val="0"/>
          </a:schemeClr>
        </a:solidFill>
        <a:ln w="12700" cap="flat" cmpd="sng" algn="ctr">
          <a:solidFill>
            <a:schemeClr val="accent5">
              <a:tint val="40000"/>
              <a:alpha val="90000"/>
              <a:hueOff val="-6823158"/>
              <a:satOff val="-11830"/>
              <a:lumOff val="-119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Service ends/no outcome data collected at this time</a:t>
          </a:r>
        </a:p>
      </dsp:txBody>
      <dsp:txXfrm>
        <a:off x="6233092" y="4834573"/>
        <a:ext cx="1344561" cy="321152"/>
      </dsp:txXfrm>
    </dsp:sp>
    <dsp:sp modelId="{D45F10AE-8C29-45B0-9578-3B4F3BEC7F7B}">
      <dsp:nvSpPr>
        <dsp:cNvPr id="0" name=""/>
        <dsp:cNvSpPr/>
      </dsp:nvSpPr>
      <dsp:spPr>
        <a:xfrm>
          <a:off x="7778682" y="679774"/>
          <a:ext cx="1364545" cy="341136"/>
        </a:xfrm>
        <a:prstGeom prst="roundRect">
          <a:avLst>
            <a:gd name="adj" fmla="val 1000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dirty="0"/>
            <a:t>HCM</a:t>
          </a:r>
        </a:p>
      </dsp:txBody>
      <dsp:txXfrm>
        <a:off x="7788674" y="689766"/>
        <a:ext cx="1344561" cy="321152"/>
      </dsp:txXfrm>
    </dsp:sp>
    <dsp:sp modelId="{99C526C0-4775-4B50-918E-50D5EE69BD86}">
      <dsp:nvSpPr>
        <dsp:cNvPr id="0" name=""/>
        <dsp:cNvSpPr/>
      </dsp:nvSpPr>
      <dsp:spPr>
        <a:xfrm rot="5400000">
          <a:off x="8431105" y="1050759"/>
          <a:ext cx="59698" cy="59698"/>
        </a:xfrm>
        <a:prstGeom prst="rightArrow">
          <a:avLst>
            <a:gd name="adj1" fmla="val 66700"/>
            <a:gd name="adj2" fmla="val 50000"/>
          </a:avLst>
        </a:prstGeom>
        <a:solidFill>
          <a:schemeClr val="accent5">
            <a:hueOff val="-6929113"/>
            <a:satOff val="-9638"/>
            <a:lumOff val="-369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2BA91BB-AF02-41B0-9DFA-03D1E0A2CA54}">
      <dsp:nvSpPr>
        <dsp:cNvPr id="0" name=""/>
        <dsp:cNvSpPr/>
      </dsp:nvSpPr>
      <dsp:spPr>
        <a:xfrm>
          <a:off x="7778682" y="1140308"/>
          <a:ext cx="1364545" cy="341136"/>
        </a:xfrm>
        <a:prstGeom prst="roundRect">
          <a:avLst>
            <a:gd name="adj" fmla="val 10000"/>
          </a:avLst>
        </a:prstGeom>
        <a:solidFill>
          <a:schemeClr val="accent5">
            <a:tint val="40000"/>
            <a:alpha val="90000"/>
            <a:hueOff val="-6965308"/>
            <a:satOff val="-12077"/>
            <a:lumOff val="-1215"/>
            <a:alphaOff val="0"/>
          </a:schemeClr>
        </a:solidFill>
        <a:ln w="12700" cap="flat" cmpd="sng" algn="ctr">
          <a:solidFill>
            <a:schemeClr val="accent5">
              <a:tint val="40000"/>
              <a:alpha val="90000"/>
              <a:hueOff val="-6965308"/>
              <a:satOff val="-12077"/>
              <a:lumOff val="-121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Household can be housed or homeless</a:t>
          </a:r>
        </a:p>
      </dsp:txBody>
      <dsp:txXfrm>
        <a:off x="7788674" y="1150300"/>
        <a:ext cx="1344561" cy="321152"/>
      </dsp:txXfrm>
    </dsp:sp>
    <dsp:sp modelId="{4C6CFAC0-BFA2-4350-9C11-A39B0A47521D}">
      <dsp:nvSpPr>
        <dsp:cNvPr id="0" name=""/>
        <dsp:cNvSpPr/>
      </dsp:nvSpPr>
      <dsp:spPr>
        <a:xfrm rot="5400000">
          <a:off x="8431105" y="1511294"/>
          <a:ext cx="59698" cy="59698"/>
        </a:xfrm>
        <a:prstGeom prst="rightArrow">
          <a:avLst>
            <a:gd name="adj1" fmla="val 66700"/>
            <a:gd name="adj2" fmla="val 50000"/>
          </a:avLst>
        </a:prstGeom>
        <a:solidFill>
          <a:schemeClr val="accent5">
            <a:hueOff val="-7070523"/>
            <a:satOff val="-9835"/>
            <a:lumOff val="-377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304DC13-20C8-41C3-B8B6-7350C631BF47}">
      <dsp:nvSpPr>
        <dsp:cNvPr id="0" name=""/>
        <dsp:cNvSpPr/>
      </dsp:nvSpPr>
      <dsp:spPr>
        <a:xfrm>
          <a:off x="7778682" y="1600842"/>
          <a:ext cx="1364545" cy="341136"/>
        </a:xfrm>
        <a:prstGeom prst="roundRect">
          <a:avLst>
            <a:gd name="adj" fmla="val 10000"/>
          </a:avLst>
        </a:prstGeom>
        <a:solidFill>
          <a:schemeClr val="accent5">
            <a:tint val="40000"/>
            <a:alpha val="90000"/>
            <a:hueOff val="-7107457"/>
            <a:satOff val="-12323"/>
            <a:lumOff val="-1239"/>
            <a:alphaOff val="0"/>
          </a:schemeClr>
        </a:solidFill>
        <a:ln w="12700" cap="flat" cmpd="sng" algn="ctr">
          <a:solidFill>
            <a:schemeClr val="accent5">
              <a:tint val="40000"/>
              <a:alpha val="90000"/>
              <a:hueOff val="-7107457"/>
              <a:satOff val="-12323"/>
              <a:lumOff val="-123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Service starts</a:t>
          </a:r>
        </a:p>
      </dsp:txBody>
      <dsp:txXfrm>
        <a:off x="7788674" y="1610834"/>
        <a:ext cx="1344561" cy="321152"/>
      </dsp:txXfrm>
    </dsp:sp>
    <dsp:sp modelId="{46F51DC3-1A17-4AAB-9EF4-53D50C44FA4D}">
      <dsp:nvSpPr>
        <dsp:cNvPr id="0" name=""/>
        <dsp:cNvSpPr/>
      </dsp:nvSpPr>
      <dsp:spPr>
        <a:xfrm rot="5400000">
          <a:off x="8431105" y="1971828"/>
          <a:ext cx="59698" cy="59698"/>
        </a:xfrm>
        <a:prstGeom prst="rightArrow">
          <a:avLst>
            <a:gd name="adj1" fmla="val 66700"/>
            <a:gd name="adj2" fmla="val 50000"/>
          </a:avLst>
        </a:prstGeom>
        <a:solidFill>
          <a:schemeClr val="accent5">
            <a:hueOff val="-7211934"/>
            <a:satOff val="-10031"/>
            <a:lumOff val="-384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B690616-B356-49EA-9576-0686644CE84E}">
      <dsp:nvSpPr>
        <dsp:cNvPr id="0" name=""/>
        <dsp:cNvSpPr/>
      </dsp:nvSpPr>
      <dsp:spPr>
        <a:xfrm>
          <a:off x="7778682" y="2061376"/>
          <a:ext cx="1364545" cy="341136"/>
        </a:xfrm>
        <a:prstGeom prst="roundRect">
          <a:avLst>
            <a:gd name="adj" fmla="val 10000"/>
          </a:avLst>
        </a:prstGeom>
        <a:solidFill>
          <a:schemeClr val="accent5">
            <a:tint val="40000"/>
            <a:alpha val="90000"/>
            <a:hueOff val="-7249606"/>
            <a:satOff val="-12570"/>
            <a:lumOff val="-1264"/>
            <a:alphaOff val="0"/>
          </a:schemeClr>
        </a:solidFill>
        <a:ln w="12700" cap="flat" cmpd="sng" algn="ctr">
          <a:solidFill>
            <a:schemeClr val="accent5">
              <a:tint val="40000"/>
              <a:alpha val="90000"/>
              <a:hueOff val="-7249606"/>
              <a:satOff val="-12570"/>
              <a:lumOff val="-126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Individualized budgeting and planning</a:t>
          </a:r>
        </a:p>
      </dsp:txBody>
      <dsp:txXfrm>
        <a:off x="7788674" y="2071368"/>
        <a:ext cx="1344561" cy="321152"/>
      </dsp:txXfrm>
    </dsp:sp>
    <dsp:sp modelId="{51B0BAEE-10EF-4E18-9971-9CCD4FD5AD3C}">
      <dsp:nvSpPr>
        <dsp:cNvPr id="0" name=""/>
        <dsp:cNvSpPr/>
      </dsp:nvSpPr>
      <dsp:spPr>
        <a:xfrm rot="5400000">
          <a:off x="8431105" y="2432362"/>
          <a:ext cx="59698" cy="59698"/>
        </a:xfrm>
        <a:prstGeom prst="rightArrow">
          <a:avLst>
            <a:gd name="adj1" fmla="val 66700"/>
            <a:gd name="adj2" fmla="val 50000"/>
          </a:avLst>
        </a:prstGeom>
        <a:solidFill>
          <a:schemeClr val="accent5">
            <a:hueOff val="-7353344"/>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7DE3A7B-2F8E-4B67-993D-88F06629186D}">
      <dsp:nvSpPr>
        <dsp:cNvPr id="0" name=""/>
        <dsp:cNvSpPr/>
      </dsp:nvSpPr>
      <dsp:spPr>
        <a:xfrm>
          <a:off x="7778682" y="2521910"/>
          <a:ext cx="1364545" cy="341136"/>
        </a:xfrm>
        <a:prstGeom prst="roundRect">
          <a:avLst>
            <a:gd name="adj" fmla="val 10000"/>
          </a:avLst>
        </a:prstGeom>
        <a:solidFill>
          <a:schemeClr val="accent5">
            <a:tint val="40000"/>
            <a:alpha val="90000"/>
            <a:hueOff val="-7391755"/>
            <a:satOff val="-12816"/>
            <a:lumOff val="-1289"/>
            <a:alphaOff val="0"/>
          </a:schemeClr>
        </a:solidFill>
        <a:ln w="12700" cap="flat" cmpd="sng" algn="ctr">
          <a:solidFill>
            <a:schemeClr val="accent5">
              <a:tint val="40000"/>
              <a:alpha val="90000"/>
              <a:hueOff val="-7391755"/>
              <a:satOff val="-12816"/>
              <a:lumOff val="-128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Service ends/service outcome recorded</a:t>
          </a:r>
        </a:p>
      </dsp:txBody>
      <dsp:txXfrm>
        <a:off x="7788674" y="2531902"/>
        <a:ext cx="1344561" cy="32115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514E9B-2478-41EA-96E8-0B812D93B238}">
      <dsp:nvSpPr>
        <dsp:cNvPr id="0" name=""/>
        <dsp:cNvSpPr/>
      </dsp:nvSpPr>
      <dsp:spPr>
        <a:xfrm>
          <a:off x="1597" y="714"/>
          <a:ext cx="6854804" cy="244316"/>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solidFill>
                <a:schemeClr val="tx1">
                  <a:lumMod val="85000"/>
                  <a:lumOff val="15000"/>
                </a:schemeClr>
              </a:solidFill>
            </a:rPr>
            <a:t>DSHS HOPWA Program</a:t>
          </a:r>
        </a:p>
      </dsp:txBody>
      <dsp:txXfrm>
        <a:off x="1597" y="714"/>
        <a:ext cx="6854804" cy="244316"/>
      </dsp:txXfrm>
    </dsp:sp>
    <dsp:sp modelId="{67ADAEDD-EA43-4A92-A582-EF9C6BBB92D7}">
      <dsp:nvSpPr>
        <dsp:cNvPr id="0" name=""/>
        <dsp:cNvSpPr/>
      </dsp:nvSpPr>
      <dsp:spPr>
        <a:xfrm>
          <a:off x="3207" y="299037"/>
          <a:ext cx="6851584" cy="244316"/>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t>Facility-Based Housing Assistance (FBHA)</a:t>
          </a:r>
        </a:p>
      </dsp:txBody>
      <dsp:txXfrm>
        <a:off x="3207" y="299037"/>
        <a:ext cx="6851584" cy="244316"/>
      </dsp:txXfrm>
    </dsp:sp>
    <dsp:sp modelId="{14CDF810-D567-42F4-AAC4-4F336CD744E2}">
      <dsp:nvSpPr>
        <dsp:cNvPr id="0" name=""/>
        <dsp:cNvSpPr/>
      </dsp:nvSpPr>
      <dsp:spPr>
        <a:xfrm>
          <a:off x="3207" y="597360"/>
          <a:ext cx="3414048" cy="24431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t>Short-Term Supportive Housing (STSH)</a:t>
          </a:r>
        </a:p>
      </dsp:txBody>
      <dsp:txXfrm>
        <a:off x="3207" y="597360"/>
        <a:ext cx="3414048" cy="244316"/>
      </dsp:txXfrm>
    </dsp:sp>
    <dsp:sp modelId="{0BADA3F3-3EEA-4EAE-99EF-B8AC32C67904}">
      <dsp:nvSpPr>
        <dsp:cNvPr id="0" name=""/>
        <dsp:cNvSpPr/>
      </dsp:nvSpPr>
      <dsp:spPr>
        <a:xfrm>
          <a:off x="3207" y="895683"/>
          <a:ext cx="1701152" cy="24431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Single-Site</a:t>
          </a:r>
        </a:p>
      </dsp:txBody>
      <dsp:txXfrm>
        <a:off x="3207" y="895683"/>
        <a:ext cx="1701152" cy="244316"/>
      </dsp:txXfrm>
    </dsp:sp>
    <dsp:sp modelId="{6F786B55-9647-41A7-815D-5DD0FAB69113}">
      <dsp:nvSpPr>
        <dsp:cNvPr id="0" name=""/>
        <dsp:cNvSpPr/>
      </dsp:nvSpPr>
      <dsp:spPr>
        <a:xfrm>
          <a:off x="3207" y="1194006"/>
          <a:ext cx="559221" cy="24431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Owned</a:t>
          </a:r>
        </a:p>
      </dsp:txBody>
      <dsp:txXfrm>
        <a:off x="3207" y="1194006"/>
        <a:ext cx="559221" cy="244316"/>
      </dsp:txXfrm>
    </dsp:sp>
    <dsp:sp modelId="{86D9AD88-5394-4E8D-9F7E-D4E24DA2D003}">
      <dsp:nvSpPr>
        <dsp:cNvPr id="0" name=""/>
        <dsp:cNvSpPr/>
      </dsp:nvSpPr>
      <dsp:spPr>
        <a:xfrm>
          <a:off x="3207" y="1492329"/>
          <a:ext cx="559221" cy="24431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Operating</a:t>
          </a:r>
        </a:p>
      </dsp:txBody>
      <dsp:txXfrm>
        <a:off x="3207" y="1492329"/>
        <a:ext cx="559221" cy="244316"/>
      </dsp:txXfrm>
    </dsp:sp>
    <dsp:sp modelId="{01E0467D-AA7E-4FDC-9041-EB94C35C8CA9}">
      <dsp:nvSpPr>
        <dsp:cNvPr id="0" name=""/>
        <dsp:cNvSpPr/>
      </dsp:nvSpPr>
      <dsp:spPr>
        <a:xfrm>
          <a:off x="574173" y="1194006"/>
          <a:ext cx="1130187" cy="24431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Leased</a:t>
          </a:r>
        </a:p>
      </dsp:txBody>
      <dsp:txXfrm>
        <a:off x="574173" y="1194006"/>
        <a:ext cx="1130187" cy="244316"/>
      </dsp:txXfrm>
    </dsp:sp>
    <dsp:sp modelId="{88218D0A-770C-44A1-8BB7-DFD31E400AB2}">
      <dsp:nvSpPr>
        <dsp:cNvPr id="0" name=""/>
        <dsp:cNvSpPr/>
      </dsp:nvSpPr>
      <dsp:spPr>
        <a:xfrm>
          <a:off x="574173" y="1492329"/>
          <a:ext cx="559221" cy="24431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Leasing</a:t>
          </a:r>
        </a:p>
      </dsp:txBody>
      <dsp:txXfrm>
        <a:off x="574173" y="1492329"/>
        <a:ext cx="559221" cy="244316"/>
      </dsp:txXfrm>
    </dsp:sp>
    <dsp:sp modelId="{37D4AFE5-7BDA-4F77-A2CC-C2003D7AAB0B}">
      <dsp:nvSpPr>
        <dsp:cNvPr id="0" name=""/>
        <dsp:cNvSpPr/>
      </dsp:nvSpPr>
      <dsp:spPr>
        <a:xfrm>
          <a:off x="1145138" y="1492329"/>
          <a:ext cx="559221" cy="24431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Operating</a:t>
          </a:r>
        </a:p>
      </dsp:txBody>
      <dsp:txXfrm>
        <a:off x="1145138" y="1492329"/>
        <a:ext cx="559221" cy="244316"/>
      </dsp:txXfrm>
    </dsp:sp>
    <dsp:sp modelId="{D866815D-5F92-42F6-98A6-BB894939ED38}">
      <dsp:nvSpPr>
        <dsp:cNvPr id="0" name=""/>
        <dsp:cNvSpPr/>
      </dsp:nvSpPr>
      <dsp:spPr>
        <a:xfrm>
          <a:off x="1716103" y="895683"/>
          <a:ext cx="1701152" cy="24431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Scattered-Site</a:t>
          </a:r>
        </a:p>
      </dsp:txBody>
      <dsp:txXfrm>
        <a:off x="1716103" y="895683"/>
        <a:ext cx="1701152" cy="244316"/>
      </dsp:txXfrm>
    </dsp:sp>
    <dsp:sp modelId="{C982B33A-5593-43FC-A54F-CFC3B2923D99}">
      <dsp:nvSpPr>
        <dsp:cNvPr id="0" name=""/>
        <dsp:cNvSpPr/>
      </dsp:nvSpPr>
      <dsp:spPr>
        <a:xfrm>
          <a:off x="1716103" y="1194006"/>
          <a:ext cx="559221" cy="24431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Owned</a:t>
          </a:r>
        </a:p>
      </dsp:txBody>
      <dsp:txXfrm>
        <a:off x="1716103" y="1194006"/>
        <a:ext cx="559221" cy="244316"/>
      </dsp:txXfrm>
    </dsp:sp>
    <dsp:sp modelId="{955CDDE3-EC09-491B-B65F-03175C3F783D}">
      <dsp:nvSpPr>
        <dsp:cNvPr id="0" name=""/>
        <dsp:cNvSpPr/>
      </dsp:nvSpPr>
      <dsp:spPr>
        <a:xfrm>
          <a:off x="1716103" y="1492329"/>
          <a:ext cx="559221" cy="24431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Operating</a:t>
          </a:r>
        </a:p>
      </dsp:txBody>
      <dsp:txXfrm>
        <a:off x="1716103" y="1492329"/>
        <a:ext cx="559221" cy="244316"/>
      </dsp:txXfrm>
    </dsp:sp>
    <dsp:sp modelId="{F2809D8E-1760-4C6D-99B8-F8011BCFA348}">
      <dsp:nvSpPr>
        <dsp:cNvPr id="0" name=""/>
        <dsp:cNvSpPr/>
      </dsp:nvSpPr>
      <dsp:spPr>
        <a:xfrm>
          <a:off x="2287069" y="1194006"/>
          <a:ext cx="1130187" cy="24431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Leased</a:t>
          </a:r>
        </a:p>
      </dsp:txBody>
      <dsp:txXfrm>
        <a:off x="2287069" y="1194006"/>
        <a:ext cx="1130187" cy="244316"/>
      </dsp:txXfrm>
    </dsp:sp>
    <dsp:sp modelId="{3FC530B8-3306-46FF-9A32-54F1B6926098}">
      <dsp:nvSpPr>
        <dsp:cNvPr id="0" name=""/>
        <dsp:cNvSpPr/>
      </dsp:nvSpPr>
      <dsp:spPr>
        <a:xfrm>
          <a:off x="2287069" y="1492329"/>
          <a:ext cx="559221" cy="24431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Leasing</a:t>
          </a:r>
        </a:p>
      </dsp:txBody>
      <dsp:txXfrm>
        <a:off x="2287069" y="1492329"/>
        <a:ext cx="559221" cy="244316"/>
      </dsp:txXfrm>
    </dsp:sp>
    <dsp:sp modelId="{7E37AE0C-A678-4D55-AA56-131416818982}">
      <dsp:nvSpPr>
        <dsp:cNvPr id="0" name=""/>
        <dsp:cNvSpPr/>
      </dsp:nvSpPr>
      <dsp:spPr>
        <a:xfrm>
          <a:off x="2858034" y="1492329"/>
          <a:ext cx="559221" cy="24431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Operating</a:t>
          </a:r>
        </a:p>
      </dsp:txBody>
      <dsp:txXfrm>
        <a:off x="2858034" y="1492329"/>
        <a:ext cx="559221" cy="244316"/>
      </dsp:txXfrm>
    </dsp:sp>
    <dsp:sp modelId="{E132D8FA-6D69-42A3-B380-F16B7C57A8C4}">
      <dsp:nvSpPr>
        <dsp:cNvPr id="0" name=""/>
        <dsp:cNvSpPr/>
      </dsp:nvSpPr>
      <dsp:spPr>
        <a:xfrm>
          <a:off x="3440743" y="597360"/>
          <a:ext cx="3414048" cy="24431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t>Transitional Supportive Housing (TSH)</a:t>
          </a:r>
        </a:p>
      </dsp:txBody>
      <dsp:txXfrm>
        <a:off x="3440743" y="597360"/>
        <a:ext cx="3414048" cy="244316"/>
      </dsp:txXfrm>
    </dsp:sp>
    <dsp:sp modelId="{472FB27F-C5C0-4CF5-94F5-6645C6C5E598}">
      <dsp:nvSpPr>
        <dsp:cNvPr id="0" name=""/>
        <dsp:cNvSpPr/>
      </dsp:nvSpPr>
      <dsp:spPr>
        <a:xfrm>
          <a:off x="3440743" y="895683"/>
          <a:ext cx="1701152" cy="24431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Single-Site</a:t>
          </a:r>
        </a:p>
      </dsp:txBody>
      <dsp:txXfrm>
        <a:off x="3440743" y="895683"/>
        <a:ext cx="1701152" cy="244316"/>
      </dsp:txXfrm>
    </dsp:sp>
    <dsp:sp modelId="{1297F07F-0E12-4033-919A-529421A89DA5}">
      <dsp:nvSpPr>
        <dsp:cNvPr id="0" name=""/>
        <dsp:cNvSpPr/>
      </dsp:nvSpPr>
      <dsp:spPr>
        <a:xfrm>
          <a:off x="3440743" y="1194006"/>
          <a:ext cx="559221" cy="24431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Owned</a:t>
          </a:r>
        </a:p>
      </dsp:txBody>
      <dsp:txXfrm>
        <a:off x="3440743" y="1194006"/>
        <a:ext cx="559221" cy="244316"/>
      </dsp:txXfrm>
    </dsp:sp>
    <dsp:sp modelId="{B9A1E995-AD45-4169-981D-36814634A3B0}">
      <dsp:nvSpPr>
        <dsp:cNvPr id="0" name=""/>
        <dsp:cNvSpPr/>
      </dsp:nvSpPr>
      <dsp:spPr>
        <a:xfrm>
          <a:off x="3440743" y="1492329"/>
          <a:ext cx="559221" cy="24431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PBRA</a:t>
          </a:r>
        </a:p>
      </dsp:txBody>
      <dsp:txXfrm>
        <a:off x="3440743" y="1492329"/>
        <a:ext cx="559221" cy="244316"/>
      </dsp:txXfrm>
    </dsp:sp>
    <dsp:sp modelId="{9808D4D1-C2A3-4842-BDF6-B1EB6BF775C3}">
      <dsp:nvSpPr>
        <dsp:cNvPr id="0" name=""/>
        <dsp:cNvSpPr/>
      </dsp:nvSpPr>
      <dsp:spPr>
        <a:xfrm>
          <a:off x="4011708" y="1194006"/>
          <a:ext cx="1130187" cy="24431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Leased</a:t>
          </a:r>
        </a:p>
      </dsp:txBody>
      <dsp:txXfrm>
        <a:off x="4011708" y="1194006"/>
        <a:ext cx="1130187" cy="244316"/>
      </dsp:txXfrm>
    </dsp:sp>
    <dsp:sp modelId="{933F0E81-EA34-4B35-B315-801276BB53C8}">
      <dsp:nvSpPr>
        <dsp:cNvPr id="0" name=""/>
        <dsp:cNvSpPr/>
      </dsp:nvSpPr>
      <dsp:spPr>
        <a:xfrm>
          <a:off x="4011708" y="1492329"/>
          <a:ext cx="559221" cy="24431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Master Leasing</a:t>
          </a:r>
        </a:p>
      </dsp:txBody>
      <dsp:txXfrm>
        <a:off x="4011708" y="1492329"/>
        <a:ext cx="559221" cy="244316"/>
      </dsp:txXfrm>
    </dsp:sp>
    <dsp:sp modelId="{18CF7BF0-DDC1-467D-A664-AEF8A1C84C56}">
      <dsp:nvSpPr>
        <dsp:cNvPr id="0" name=""/>
        <dsp:cNvSpPr/>
      </dsp:nvSpPr>
      <dsp:spPr>
        <a:xfrm>
          <a:off x="4582674" y="1492329"/>
          <a:ext cx="559221" cy="24431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Operating</a:t>
          </a:r>
        </a:p>
      </dsp:txBody>
      <dsp:txXfrm>
        <a:off x="4582674" y="1492329"/>
        <a:ext cx="559221" cy="244316"/>
      </dsp:txXfrm>
    </dsp:sp>
    <dsp:sp modelId="{7CE4C90D-050F-4D40-B75D-C5F19E002553}">
      <dsp:nvSpPr>
        <dsp:cNvPr id="0" name=""/>
        <dsp:cNvSpPr/>
      </dsp:nvSpPr>
      <dsp:spPr>
        <a:xfrm>
          <a:off x="5153639" y="895683"/>
          <a:ext cx="1701152" cy="24431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Scattered-Site</a:t>
          </a:r>
        </a:p>
      </dsp:txBody>
      <dsp:txXfrm>
        <a:off x="5153639" y="895683"/>
        <a:ext cx="1701152" cy="244316"/>
      </dsp:txXfrm>
    </dsp:sp>
    <dsp:sp modelId="{2826843C-3871-4BD9-9E6D-E7F01C237C24}">
      <dsp:nvSpPr>
        <dsp:cNvPr id="0" name=""/>
        <dsp:cNvSpPr/>
      </dsp:nvSpPr>
      <dsp:spPr>
        <a:xfrm>
          <a:off x="5153639" y="1194006"/>
          <a:ext cx="559221" cy="24431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Owned</a:t>
          </a:r>
        </a:p>
      </dsp:txBody>
      <dsp:txXfrm>
        <a:off x="5153639" y="1194006"/>
        <a:ext cx="559221" cy="244316"/>
      </dsp:txXfrm>
    </dsp:sp>
    <dsp:sp modelId="{7656BD3E-1BE5-4162-98E3-614EDC513FB6}">
      <dsp:nvSpPr>
        <dsp:cNvPr id="0" name=""/>
        <dsp:cNvSpPr/>
      </dsp:nvSpPr>
      <dsp:spPr>
        <a:xfrm>
          <a:off x="5153639" y="1492329"/>
          <a:ext cx="559221" cy="24431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PBRA</a:t>
          </a:r>
        </a:p>
      </dsp:txBody>
      <dsp:txXfrm>
        <a:off x="5153639" y="1492329"/>
        <a:ext cx="559221" cy="244316"/>
      </dsp:txXfrm>
    </dsp:sp>
    <dsp:sp modelId="{32E5C864-0E11-490C-AF14-D40F4CCB5F00}">
      <dsp:nvSpPr>
        <dsp:cNvPr id="0" name=""/>
        <dsp:cNvSpPr/>
      </dsp:nvSpPr>
      <dsp:spPr>
        <a:xfrm>
          <a:off x="5724604" y="1194006"/>
          <a:ext cx="1130187" cy="24431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Leased</a:t>
          </a:r>
        </a:p>
      </dsp:txBody>
      <dsp:txXfrm>
        <a:off x="5724604" y="1194006"/>
        <a:ext cx="1130187" cy="244316"/>
      </dsp:txXfrm>
    </dsp:sp>
    <dsp:sp modelId="{DA45CBDA-30BD-4D5A-84B9-217A079DE5E2}">
      <dsp:nvSpPr>
        <dsp:cNvPr id="0" name=""/>
        <dsp:cNvSpPr/>
      </dsp:nvSpPr>
      <dsp:spPr>
        <a:xfrm>
          <a:off x="5724604" y="1492329"/>
          <a:ext cx="559221" cy="24431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Master Leasing </a:t>
          </a:r>
        </a:p>
      </dsp:txBody>
      <dsp:txXfrm>
        <a:off x="5724604" y="1492329"/>
        <a:ext cx="559221" cy="244316"/>
      </dsp:txXfrm>
    </dsp:sp>
    <dsp:sp modelId="{B76682FE-8E37-49A2-AE62-41633511FE4B}">
      <dsp:nvSpPr>
        <dsp:cNvPr id="0" name=""/>
        <dsp:cNvSpPr/>
      </dsp:nvSpPr>
      <dsp:spPr>
        <a:xfrm>
          <a:off x="6295570" y="1492329"/>
          <a:ext cx="559221" cy="24431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Operating</a:t>
          </a:r>
        </a:p>
      </dsp:txBody>
      <dsp:txXfrm>
        <a:off x="6295570" y="1492329"/>
        <a:ext cx="559221" cy="24431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8E3F44-B8F8-4570-862B-656D7E835D42}">
      <dsp:nvSpPr>
        <dsp:cNvPr id="0" name=""/>
        <dsp:cNvSpPr/>
      </dsp:nvSpPr>
      <dsp:spPr>
        <a:xfrm>
          <a:off x="6242735" y="5324313"/>
          <a:ext cx="91440" cy="269963"/>
        </a:xfrm>
        <a:custGeom>
          <a:avLst/>
          <a:gdLst/>
          <a:ahLst/>
          <a:cxnLst/>
          <a:rect l="0" t="0" r="0" b="0"/>
          <a:pathLst>
            <a:path>
              <a:moveTo>
                <a:pt x="45720" y="0"/>
              </a:moveTo>
              <a:lnTo>
                <a:pt x="45720" y="2699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B41DBE-A2A0-4A3D-9705-D59D2F08EF2F}">
      <dsp:nvSpPr>
        <dsp:cNvPr id="0" name=""/>
        <dsp:cNvSpPr/>
      </dsp:nvSpPr>
      <dsp:spPr>
        <a:xfrm>
          <a:off x="5721197" y="4464917"/>
          <a:ext cx="567258" cy="269963"/>
        </a:xfrm>
        <a:custGeom>
          <a:avLst/>
          <a:gdLst/>
          <a:ahLst/>
          <a:cxnLst/>
          <a:rect l="0" t="0" r="0" b="0"/>
          <a:pathLst>
            <a:path>
              <a:moveTo>
                <a:pt x="0" y="0"/>
              </a:moveTo>
              <a:lnTo>
                <a:pt x="0" y="183972"/>
              </a:lnTo>
              <a:lnTo>
                <a:pt x="567258" y="183972"/>
              </a:lnTo>
              <a:lnTo>
                <a:pt x="567258" y="2699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0420F2-937D-4978-B957-EE6D8E1DC9A6}">
      <dsp:nvSpPr>
        <dsp:cNvPr id="0" name=""/>
        <dsp:cNvSpPr/>
      </dsp:nvSpPr>
      <dsp:spPr>
        <a:xfrm>
          <a:off x="5108218" y="5324313"/>
          <a:ext cx="91440" cy="269963"/>
        </a:xfrm>
        <a:custGeom>
          <a:avLst/>
          <a:gdLst/>
          <a:ahLst/>
          <a:cxnLst/>
          <a:rect l="0" t="0" r="0" b="0"/>
          <a:pathLst>
            <a:path>
              <a:moveTo>
                <a:pt x="45720" y="0"/>
              </a:moveTo>
              <a:lnTo>
                <a:pt x="45720" y="2699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6DB0D9-6AE6-4B14-B718-F3B1D9514C0B}">
      <dsp:nvSpPr>
        <dsp:cNvPr id="0" name=""/>
        <dsp:cNvSpPr/>
      </dsp:nvSpPr>
      <dsp:spPr>
        <a:xfrm>
          <a:off x="5153938" y="4464917"/>
          <a:ext cx="567258" cy="269963"/>
        </a:xfrm>
        <a:custGeom>
          <a:avLst/>
          <a:gdLst/>
          <a:ahLst/>
          <a:cxnLst/>
          <a:rect l="0" t="0" r="0" b="0"/>
          <a:pathLst>
            <a:path>
              <a:moveTo>
                <a:pt x="567258" y="0"/>
              </a:moveTo>
              <a:lnTo>
                <a:pt x="567258" y="183972"/>
              </a:lnTo>
              <a:lnTo>
                <a:pt x="0" y="183972"/>
              </a:lnTo>
              <a:lnTo>
                <a:pt x="0" y="2699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A9D83D-D525-43EE-BEAE-4F2B50A13FE4}">
      <dsp:nvSpPr>
        <dsp:cNvPr id="0" name=""/>
        <dsp:cNvSpPr/>
      </dsp:nvSpPr>
      <dsp:spPr>
        <a:xfrm>
          <a:off x="5675477" y="3605521"/>
          <a:ext cx="91440" cy="269963"/>
        </a:xfrm>
        <a:custGeom>
          <a:avLst/>
          <a:gdLst/>
          <a:ahLst/>
          <a:cxnLst/>
          <a:rect l="0" t="0" r="0" b="0"/>
          <a:pathLst>
            <a:path>
              <a:moveTo>
                <a:pt x="45720" y="0"/>
              </a:moveTo>
              <a:lnTo>
                <a:pt x="45720" y="2699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22E2FB-FC86-45B4-9E31-60BE1D27A1A4}">
      <dsp:nvSpPr>
        <dsp:cNvPr id="0" name=""/>
        <dsp:cNvSpPr/>
      </dsp:nvSpPr>
      <dsp:spPr>
        <a:xfrm>
          <a:off x="4870309" y="2746124"/>
          <a:ext cx="850887" cy="269963"/>
        </a:xfrm>
        <a:custGeom>
          <a:avLst/>
          <a:gdLst/>
          <a:ahLst/>
          <a:cxnLst/>
          <a:rect l="0" t="0" r="0" b="0"/>
          <a:pathLst>
            <a:path>
              <a:moveTo>
                <a:pt x="0" y="0"/>
              </a:moveTo>
              <a:lnTo>
                <a:pt x="0" y="183972"/>
              </a:lnTo>
              <a:lnTo>
                <a:pt x="850887" y="183972"/>
              </a:lnTo>
              <a:lnTo>
                <a:pt x="850887" y="2699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8FF0DE-81AE-4D4A-BF8D-F9F2BAF1B32F}">
      <dsp:nvSpPr>
        <dsp:cNvPr id="0" name=""/>
        <dsp:cNvSpPr/>
      </dsp:nvSpPr>
      <dsp:spPr>
        <a:xfrm>
          <a:off x="3973701" y="4464917"/>
          <a:ext cx="91440" cy="269963"/>
        </a:xfrm>
        <a:custGeom>
          <a:avLst/>
          <a:gdLst/>
          <a:ahLst/>
          <a:cxnLst/>
          <a:rect l="0" t="0" r="0" b="0"/>
          <a:pathLst>
            <a:path>
              <a:moveTo>
                <a:pt x="45720" y="0"/>
              </a:moveTo>
              <a:lnTo>
                <a:pt x="45720" y="269963"/>
              </a:lnTo>
            </a:path>
          </a:pathLst>
        </a:custGeom>
        <a:noFill/>
        <a:ln w="6350" cap="flat" cmpd="sng" algn="ctr">
          <a:solidFill>
            <a:schemeClr val="accent5"/>
          </a:solidFill>
          <a:prstDash val="solid"/>
          <a:miter lim="800000"/>
        </a:ln>
        <a:effectLst/>
      </dsp:spPr>
      <dsp:style>
        <a:lnRef idx="1">
          <a:schemeClr val="accent5"/>
        </a:lnRef>
        <a:fillRef idx="0">
          <a:schemeClr val="accent5"/>
        </a:fillRef>
        <a:effectRef idx="0">
          <a:schemeClr val="accent5"/>
        </a:effectRef>
        <a:fontRef idx="minor">
          <a:schemeClr val="tx1"/>
        </a:fontRef>
      </dsp:style>
    </dsp:sp>
    <dsp:sp modelId="{4A363771-E962-44A4-8D98-D48AF729C001}">
      <dsp:nvSpPr>
        <dsp:cNvPr id="0" name=""/>
        <dsp:cNvSpPr/>
      </dsp:nvSpPr>
      <dsp:spPr>
        <a:xfrm>
          <a:off x="3973701" y="3605521"/>
          <a:ext cx="91440" cy="269963"/>
        </a:xfrm>
        <a:custGeom>
          <a:avLst/>
          <a:gdLst/>
          <a:ahLst/>
          <a:cxnLst/>
          <a:rect l="0" t="0" r="0" b="0"/>
          <a:pathLst>
            <a:path>
              <a:moveTo>
                <a:pt x="45720" y="0"/>
              </a:moveTo>
              <a:lnTo>
                <a:pt x="45720" y="2699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12DFCD-B9EC-4DFA-ADBD-11DB3FCCD6F5}">
      <dsp:nvSpPr>
        <dsp:cNvPr id="0" name=""/>
        <dsp:cNvSpPr/>
      </dsp:nvSpPr>
      <dsp:spPr>
        <a:xfrm>
          <a:off x="4019421" y="2746124"/>
          <a:ext cx="850887" cy="269963"/>
        </a:xfrm>
        <a:custGeom>
          <a:avLst/>
          <a:gdLst/>
          <a:ahLst/>
          <a:cxnLst/>
          <a:rect l="0" t="0" r="0" b="0"/>
          <a:pathLst>
            <a:path>
              <a:moveTo>
                <a:pt x="850887" y="0"/>
              </a:moveTo>
              <a:lnTo>
                <a:pt x="850887" y="183972"/>
              </a:lnTo>
              <a:lnTo>
                <a:pt x="0" y="183972"/>
              </a:lnTo>
              <a:lnTo>
                <a:pt x="0" y="2699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E43F7B-EE3B-4757-AF33-557237C55B00}">
      <dsp:nvSpPr>
        <dsp:cNvPr id="0" name=""/>
        <dsp:cNvSpPr/>
      </dsp:nvSpPr>
      <dsp:spPr>
        <a:xfrm>
          <a:off x="4824589" y="1886728"/>
          <a:ext cx="91440" cy="269963"/>
        </a:xfrm>
        <a:custGeom>
          <a:avLst/>
          <a:gdLst/>
          <a:ahLst/>
          <a:cxnLst/>
          <a:rect l="0" t="0" r="0" b="0"/>
          <a:pathLst>
            <a:path>
              <a:moveTo>
                <a:pt x="45720" y="0"/>
              </a:moveTo>
              <a:lnTo>
                <a:pt x="45720" y="2699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05A66B-724E-4F1B-9887-F6299AEDC661}">
      <dsp:nvSpPr>
        <dsp:cNvPr id="0" name=""/>
        <dsp:cNvSpPr/>
      </dsp:nvSpPr>
      <dsp:spPr>
        <a:xfrm>
          <a:off x="3485704" y="1027331"/>
          <a:ext cx="1384604" cy="269963"/>
        </a:xfrm>
        <a:custGeom>
          <a:avLst/>
          <a:gdLst/>
          <a:ahLst/>
          <a:cxnLst/>
          <a:rect l="0" t="0" r="0" b="0"/>
          <a:pathLst>
            <a:path>
              <a:moveTo>
                <a:pt x="0" y="0"/>
              </a:moveTo>
              <a:lnTo>
                <a:pt x="0" y="183972"/>
              </a:lnTo>
              <a:lnTo>
                <a:pt x="1384604" y="183972"/>
              </a:lnTo>
              <a:lnTo>
                <a:pt x="1384604" y="2699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80C9E9-9E17-4315-9D4C-75C2DD06707D}">
      <dsp:nvSpPr>
        <dsp:cNvPr id="0" name=""/>
        <dsp:cNvSpPr/>
      </dsp:nvSpPr>
      <dsp:spPr>
        <a:xfrm>
          <a:off x="2839185" y="3605521"/>
          <a:ext cx="91440" cy="269963"/>
        </a:xfrm>
        <a:custGeom>
          <a:avLst/>
          <a:gdLst/>
          <a:ahLst/>
          <a:cxnLst/>
          <a:rect l="0" t="0" r="0" b="0"/>
          <a:pathLst>
            <a:path>
              <a:moveTo>
                <a:pt x="45720" y="0"/>
              </a:moveTo>
              <a:lnTo>
                <a:pt x="45720" y="2699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64E664-AAEB-46E6-BC0D-9254B6CC1F1D}">
      <dsp:nvSpPr>
        <dsp:cNvPr id="0" name=""/>
        <dsp:cNvSpPr/>
      </dsp:nvSpPr>
      <dsp:spPr>
        <a:xfrm>
          <a:off x="2101099" y="2746124"/>
          <a:ext cx="783805" cy="269963"/>
        </a:xfrm>
        <a:custGeom>
          <a:avLst/>
          <a:gdLst/>
          <a:ahLst/>
          <a:cxnLst/>
          <a:rect l="0" t="0" r="0" b="0"/>
          <a:pathLst>
            <a:path>
              <a:moveTo>
                <a:pt x="0" y="0"/>
              </a:moveTo>
              <a:lnTo>
                <a:pt x="0" y="183972"/>
              </a:lnTo>
              <a:lnTo>
                <a:pt x="783805" y="183972"/>
              </a:lnTo>
              <a:lnTo>
                <a:pt x="783805" y="2699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2FE881-08BD-4B64-93DC-1B6912F78B89}">
      <dsp:nvSpPr>
        <dsp:cNvPr id="0" name=""/>
        <dsp:cNvSpPr/>
      </dsp:nvSpPr>
      <dsp:spPr>
        <a:xfrm>
          <a:off x="2689720" y="7043106"/>
          <a:ext cx="91440" cy="269963"/>
        </a:xfrm>
        <a:custGeom>
          <a:avLst/>
          <a:gdLst/>
          <a:ahLst/>
          <a:cxnLst/>
          <a:rect l="0" t="0" r="0" b="0"/>
          <a:pathLst>
            <a:path>
              <a:moveTo>
                <a:pt x="45720" y="0"/>
              </a:moveTo>
              <a:lnTo>
                <a:pt x="45720" y="2699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2D0DD8-E41C-4046-B37E-8D68A3A657E1}">
      <dsp:nvSpPr>
        <dsp:cNvPr id="0" name=""/>
        <dsp:cNvSpPr/>
      </dsp:nvSpPr>
      <dsp:spPr>
        <a:xfrm>
          <a:off x="2168181" y="6183710"/>
          <a:ext cx="567258" cy="269963"/>
        </a:xfrm>
        <a:custGeom>
          <a:avLst/>
          <a:gdLst/>
          <a:ahLst/>
          <a:cxnLst/>
          <a:rect l="0" t="0" r="0" b="0"/>
          <a:pathLst>
            <a:path>
              <a:moveTo>
                <a:pt x="0" y="0"/>
              </a:moveTo>
              <a:lnTo>
                <a:pt x="0" y="183972"/>
              </a:lnTo>
              <a:lnTo>
                <a:pt x="567258" y="183972"/>
              </a:lnTo>
              <a:lnTo>
                <a:pt x="567258" y="2699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1099C9-261A-4E39-97EA-DC99D4F293E0}">
      <dsp:nvSpPr>
        <dsp:cNvPr id="0" name=""/>
        <dsp:cNvSpPr/>
      </dsp:nvSpPr>
      <dsp:spPr>
        <a:xfrm>
          <a:off x="1555203" y="7043106"/>
          <a:ext cx="91440" cy="269963"/>
        </a:xfrm>
        <a:custGeom>
          <a:avLst/>
          <a:gdLst/>
          <a:ahLst/>
          <a:cxnLst/>
          <a:rect l="0" t="0" r="0" b="0"/>
          <a:pathLst>
            <a:path>
              <a:moveTo>
                <a:pt x="45720" y="0"/>
              </a:moveTo>
              <a:lnTo>
                <a:pt x="45720" y="2699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BD6ED2-EC1E-42B4-BC3A-52CED455D5D0}">
      <dsp:nvSpPr>
        <dsp:cNvPr id="0" name=""/>
        <dsp:cNvSpPr/>
      </dsp:nvSpPr>
      <dsp:spPr>
        <a:xfrm>
          <a:off x="1600923" y="6183710"/>
          <a:ext cx="567258" cy="269963"/>
        </a:xfrm>
        <a:custGeom>
          <a:avLst/>
          <a:gdLst/>
          <a:ahLst/>
          <a:cxnLst/>
          <a:rect l="0" t="0" r="0" b="0"/>
          <a:pathLst>
            <a:path>
              <a:moveTo>
                <a:pt x="567258" y="0"/>
              </a:moveTo>
              <a:lnTo>
                <a:pt x="567258" y="183972"/>
              </a:lnTo>
              <a:lnTo>
                <a:pt x="0" y="183972"/>
              </a:lnTo>
              <a:lnTo>
                <a:pt x="0" y="2699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C271BB-A521-4B8F-A802-BFB1BD77852C}">
      <dsp:nvSpPr>
        <dsp:cNvPr id="0" name=""/>
        <dsp:cNvSpPr/>
      </dsp:nvSpPr>
      <dsp:spPr>
        <a:xfrm>
          <a:off x="2122461" y="5324313"/>
          <a:ext cx="91440" cy="269963"/>
        </a:xfrm>
        <a:custGeom>
          <a:avLst/>
          <a:gdLst/>
          <a:ahLst/>
          <a:cxnLst/>
          <a:rect l="0" t="0" r="0" b="0"/>
          <a:pathLst>
            <a:path>
              <a:moveTo>
                <a:pt x="45720" y="0"/>
              </a:moveTo>
              <a:lnTo>
                <a:pt x="45720" y="2699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95D2B6-6701-42DA-A99E-865D17C6BC6B}">
      <dsp:nvSpPr>
        <dsp:cNvPr id="0" name=""/>
        <dsp:cNvSpPr/>
      </dsp:nvSpPr>
      <dsp:spPr>
        <a:xfrm>
          <a:off x="1317294" y="4464917"/>
          <a:ext cx="850887" cy="269963"/>
        </a:xfrm>
        <a:custGeom>
          <a:avLst/>
          <a:gdLst/>
          <a:ahLst/>
          <a:cxnLst/>
          <a:rect l="0" t="0" r="0" b="0"/>
          <a:pathLst>
            <a:path>
              <a:moveTo>
                <a:pt x="0" y="0"/>
              </a:moveTo>
              <a:lnTo>
                <a:pt x="0" y="183972"/>
              </a:lnTo>
              <a:lnTo>
                <a:pt x="850887" y="183972"/>
              </a:lnTo>
              <a:lnTo>
                <a:pt x="850887" y="2699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9BA2CA-F2AA-4107-852C-3CCC7C537E4E}">
      <dsp:nvSpPr>
        <dsp:cNvPr id="0" name=""/>
        <dsp:cNvSpPr/>
      </dsp:nvSpPr>
      <dsp:spPr>
        <a:xfrm>
          <a:off x="420686" y="6183710"/>
          <a:ext cx="91440" cy="269963"/>
        </a:xfrm>
        <a:custGeom>
          <a:avLst/>
          <a:gdLst/>
          <a:ahLst/>
          <a:cxnLst/>
          <a:rect l="0" t="0" r="0" b="0"/>
          <a:pathLst>
            <a:path>
              <a:moveTo>
                <a:pt x="45720" y="0"/>
              </a:moveTo>
              <a:lnTo>
                <a:pt x="45720" y="2699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4A8F10-E6C7-4C03-9534-7B87F218103D}">
      <dsp:nvSpPr>
        <dsp:cNvPr id="0" name=""/>
        <dsp:cNvSpPr/>
      </dsp:nvSpPr>
      <dsp:spPr>
        <a:xfrm>
          <a:off x="420686" y="5324313"/>
          <a:ext cx="91440" cy="269963"/>
        </a:xfrm>
        <a:custGeom>
          <a:avLst/>
          <a:gdLst/>
          <a:ahLst/>
          <a:cxnLst/>
          <a:rect l="0" t="0" r="0" b="0"/>
          <a:pathLst>
            <a:path>
              <a:moveTo>
                <a:pt x="45720" y="0"/>
              </a:moveTo>
              <a:lnTo>
                <a:pt x="45720" y="2699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EAD4BE-C588-4CAC-B192-38D48297E445}">
      <dsp:nvSpPr>
        <dsp:cNvPr id="0" name=""/>
        <dsp:cNvSpPr/>
      </dsp:nvSpPr>
      <dsp:spPr>
        <a:xfrm>
          <a:off x="466406" y="4464917"/>
          <a:ext cx="850887" cy="269963"/>
        </a:xfrm>
        <a:custGeom>
          <a:avLst/>
          <a:gdLst/>
          <a:ahLst/>
          <a:cxnLst/>
          <a:rect l="0" t="0" r="0" b="0"/>
          <a:pathLst>
            <a:path>
              <a:moveTo>
                <a:pt x="850887" y="0"/>
              </a:moveTo>
              <a:lnTo>
                <a:pt x="850887" y="183972"/>
              </a:lnTo>
              <a:lnTo>
                <a:pt x="0" y="183972"/>
              </a:lnTo>
              <a:lnTo>
                <a:pt x="0" y="2699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C212A0-E478-4707-9DEF-DD491731E80B}">
      <dsp:nvSpPr>
        <dsp:cNvPr id="0" name=""/>
        <dsp:cNvSpPr/>
      </dsp:nvSpPr>
      <dsp:spPr>
        <a:xfrm>
          <a:off x="1271574" y="3605521"/>
          <a:ext cx="91440" cy="269963"/>
        </a:xfrm>
        <a:custGeom>
          <a:avLst/>
          <a:gdLst/>
          <a:ahLst/>
          <a:cxnLst/>
          <a:rect l="0" t="0" r="0" b="0"/>
          <a:pathLst>
            <a:path>
              <a:moveTo>
                <a:pt x="45720" y="0"/>
              </a:moveTo>
              <a:lnTo>
                <a:pt x="45720" y="2699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DE4305-6BEE-4567-8055-BF058B31F6AA}">
      <dsp:nvSpPr>
        <dsp:cNvPr id="0" name=""/>
        <dsp:cNvSpPr/>
      </dsp:nvSpPr>
      <dsp:spPr>
        <a:xfrm>
          <a:off x="1317294" y="2746124"/>
          <a:ext cx="783805" cy="269963"/>
        </a:xfrm>
        <a:custGeom>
          <a:avLst/>
          <a:gdLst/>
          <a:ahLst/>
          <a:cxnLst/>
          <a:rect l="0" t="0" r="0" b="0"/>
          <a:pathLst>
            <a:path>
              <a:moveTo>
                <a:pt x="783805" y="0"/>
              </a:moveTo>
              <a:lnTo>
                <a:pt x="783805" y="183972"/>
              </a:lnTo>
              <a:lnTo>
                <a:pt x="0" y="183972"/>
              </a:lnTo>
              <a:lnTo>
                <a:pt x="0" y="2699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4BA3D9-6304-45BF-ACD1-4574C36C3731}">
      <dsp:nvSpPr>
        <dsp:cNvPr id="0" name=""/>
        <dsp:cNvSpPr/>
      </dsp:nvSpPr>
      <dsp:spPr>
        <a:xfrm>
          <a:off x="2055379" y="1886728"/>
          <a:ext cx="91440" cy="269963"/>
        </a:xfrm>
        <a:custGeom>
          <a:avLst/>
          <a:gdLst/>
          <a:ahLst/>
          <a:cxnLst/>
          <a:rect l="0" t="0" r="0" b="0"/>
          <a:pathLst>
            <a:path>
              <a:moveTo>
                <a:pt x="45720" y="0"/>
              </a:moveTo>
              <a:lnTo>
                <a:pt x="45720" y="2699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61AE56-CE90-4222-9960-4A0CDDF4E0BD}">
      <dsp:nvSpPr>
        <dsp:cNvPr id="0" name=""/>
        <dsp:cNvSpPr/>
      </dsp:nvSpPr>
      <dsp:spPr>
        <a:xfrm>
          <a:off x="2101099" y="1027331"/>
          <a:ext cx="1384604" cy="269963"/>
        </a:xfrm>
        <a:custGeom>
          <a:avLst/>
          <a:gdLst/>
          <a:ahLst/>
          <a:cxnLst/>
          <a:rect l="0" t="0" r="0" b="0"/>
          <a:pathLst>
            <a:path>
              <a:moveTo>
                <a:pt x="1384604" y="0"/>
              </a:moveTo>
              <a:lnTo>
                <a:pt x="1384604" y="183972"/>
              </a:lnTo>
              <a:lnTo>
                <a:pt x="0" y="183972"/>
              </a:lnTo>
              <a:lnTo>
                <a:pt x="0" y="2699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16DB4A-B4B0-47B6-9632-F62F9858960C}">
      <dsp:nvSpPr>
        <dsp:cNvPr id="0" name=""/>
        <dsp:cNvSpPr/>
      </dsp:nvSpPr>
      <dsp:spPr>
        <a:xfrm>
          <a:off x="2588490" y="437898"/>
          <a:ext cx="1794429" cy="589433"/>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4E4F7B4-787C-41FA-AD90-F90BAF9818EC}">
      <dsp:nvSpPr>
        <dsp:cNvPr id="0" name=""/>
        <dsp:cNvSpPr/>
      </dsp:nvSpPr>
      <dsp:spPr>
        <a:xfrm>
          <a:off x="2691627" y="535879"/>
          <a:ext cx="1794429" cy="58943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Does the owner live in the unit?</a:t>
          </a:r>
        </a:p>
      </dsp:txBody>
      <dsp:txXfrm>
        <a:off x="2708891" y="553143"/>
        <a:ext cx="1759901" cy="554905"/>
      </dsp:txXfrm>
    </dsp:sp>
    <dsp:sp modelId="{1C287013-79A2-420E-9ED2-58025FF106C4}">
      <dsp:nvSpPr>
        <dsp:cNvPr id="0" name=""/>
        <dsp:cNvSpPr/>
      </dsp:nvSpPr>
      <dsp:spPr>
        <a:xfrm>
          <a:off x="1636979" y="1297295"/>
          <a:ext cx="928241" cy="589433"/>
        </a:xfrm>
        <a:prstGeom prst="roundRect">
          <a:avLst>
            <a:gd name="adj" fmla="val 10000"/>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sp>
    <dsp:sp modelId="{F12333DC-4CB8-457D-9E4B-BDD4C936F717}">
      <dsp:nvSpPr>
        <dsp:cNvPr id="0" name=""/>
        <dsp:cNvSpPr/>
      </dsp:nvSpPr>
      <dsp:spPr>
        <a:xfrm>
          <a:off x="1740117" y="1395276"/>
          <a:ext cx="928241" cy="589433"/>
        </a:xfrm>
        <a:prstGeom prst="roundRect">
          <a:avLst>
            <a:gd name="adj" fmla="val 10000"/>
          </a:avLst>
        </a:prstGeom>
        <a:solidFill>
          <a:schemeClr val="lt1">
            <a:alpha val="90000"/>
            <a:hueOff val="0"/>
            <a:satOff val="0"/>
            <a:lumOff val="0"/>
            <a:alphaOff val="0"/>
          </a:schemeClr>
        </a:solidFill>
        <a:ln w="6350" cap="flat" cmpd="sng" algn="ctr">
          <a:solidFill>
            <a:schemeClr val="accent3"/>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kern="1200"/>
            <a:t>Yes</a:t>
          </a:r>
        </a:p>
      </dsp:txBody>
      <dsp:txXfrm>
        <a:off x="1757381" y="1412540"/>
        <a:ext cx="893713" cy="554905"/>
      </dsp:txXfrm>
    </dsp:sp>
    <dsp:sp modelId="{58ABD3B6-8397-436A-A3FE-FB61AFD9BC0A}">
      <dsp:nvSpPr>
        <dsp:cNvPr id="0" name=""/>
        <dsp:cNvSpPr/>
      </dsp:nvSpPr>
      <dsp:spPr>
        <a:xfrm>
          <a:off x="1203885" y="2156691"/>
          <a:ext cx="1794429" cy="589433"/>
        </a:xfrm>
        <a:prstGeom prst="roundRect">
          <a:avLst>
            <a:gd name="adj" fmla="val 10000"/>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a:scene3d>
          <a:camera prst="orthographicFront"/>
          <a:lightRig rig="flat" dir="t"/>
        </a:scene3d>
        <a:sp3d/>
      </dsp:spPr>
      <dsp:style>
        <a:lnRef idx="1">
          <a:schemeClr val="accent1"/>
        </a:lnRef>
        <a:fillRef idx="2">
          <a:schemeClr val="accent1"/>
        </a:fillRef>
        <a:effectRef idx="1">
          <a:schemeClr val="accent1"/>
        </a:effectRef>
        <a:fontRef idx="minor">
          <a:schemeClr val="dk1"/>
        </a:fontRef>
      </dsp:style>
    </dsp:sp>
    <dsp:sp modelId="{E06DA392-4121-48FE-898C-EA9B995AC736}">
      <dsp:nvSpPr>
        <dsp:cNvPr id="0" name=""/>
        <dsp:cNvSpPr/>
      </dsp:nvSpPr>
      <dsp:spPr>
        <a:xfrm>
          <a:off x="1307022" y="2254672"/>
          <a:ext cx="1794429" cy="58943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Are there enough bedrooms to accommodate both the client and owner households?</a:t>
          </a:r>
        </a:p>
      </dsp:txBody>
      <dsp:txXfrm>
        <a:off x="1324286" y="2271936"/>
        <a:ext cx="1759901" cy="554905"/>
      </dsp:txXfrm>
    </dsp:sp>
    <dsp:sp modelId="{99E397A4-D061-4294-8191-9D0C146B0CB0}">
      <dsp:nvSpPr>
        <dsp:cNvPr id="0" name=""/>
        <dsp:cNvSpPr/>
      </dsp:nvSpPr>
      <dsp:spPr>
        <a:xfrm>
          <a:off x="853173" y="3016087"/>
          <a:ext cx="928241" cy="589433"/>
        </a:xfrm>
        <a:prstGeom prst="roundRect">
          <a:avLst>
            <a:gd name="adj" fmla="val 10000"/>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sp>
    <dsp:sp modelId="{2DFED99B-A02C-40B9-82A6-E22AE7E6381C}">
      <dsp:nvSpPr>
        <dsp:cNvPr id="0" name=""/>
        <dsp:cNvSpPr/>
      </dsp:nvSpPr>
      <dsp:spPr>
        <a:xfrm>
          <a:off x="956311" y="3114068"/>
          <a:ext cx="928241" cy="589433"/>
        </a:xfrm>
        <a:prstGeom prst="roundRect">
          <a:avLst>
            <a:gd name="adj" fmla="val 10000"/>
          </a:avLst>
        </a:prstGeom>
        <a:solidFill>
          <a:schemeClr val="lt1">
            <a:alpha val="90000"/>
            <a:hueOff val="0"/>
            <a:satOff val="0"/>
            <a:lumOff val="0"/>
            <a:alphaOff val="0"/>
          </a:schemeClr>
        </a:solidFill>
        <a:ln w="6350" cap="flat" cmpd="sng" algn="ctr">
          <a:solidFill>
            <a:schemeClr val="accent3"/>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kern="1200"/>
            <a:t>Yes</a:t>
          </a:r>
        </a:p>
      </dsp:txBody>
      <dsp:txXfrm>
        <a:off x="973575" y="3131332"/>
        <a:ext cx="893713" cy="554905"/>
      </dsp:txXfrm>
    </dsp:sp>
    <dsp:sp modelId="{086AC636-8BD2-4D7D-BBD1-784A7432974E}">
      <dsp:nvSpPr>
        <dsp:cNvPr id="0" name=""/>
        <dsp:cNvSpPr/>
      </dsp:nvSpPr>
      <dsp:spPr>
        <a:xfrm>
          <a:off x="420079" y="3875484"/>
          <a:ext cx="1794429" cy="589433"/>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FE8AA0D-0029-40FD-A077-5942C1A64F35}">
      <dsp:nvSpPr>
        <dsp:cNvPr id="0" name=""/>
        <dsp:cNvSpPr/>
      </dsp:nvSpPr>
      <dsp:spPr>
        <a:xfrm>
          <a:off x="523217" y="3973465"/>
          <a:ext cx="1794429" cy="58943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Is the owner related to any household member by blood or marriage?</a:t>
          </a:r>
        </a:p>
      </dsp:txBody>
      <dsp:txXfrm>
        <a:off x="540481" y="3990729"/>
        <a:ext cx="1759901" cy="554905"/>
      </dsp:txXfrm>
    </dsp:sp>
    <dsp:sp modelId="{2448E857-2D6C-404B-A975-6B5CAA3D17BB}">
      <dsp:nvSpPr>
        <dsp:cNvPr id="0" name=""/>
        <dsp:cNvSpPr/>
      </dsp:nvSpPr>
      <dsp:spPr>
        <a:xfrm>
          <a:off x="2286" y="4734880"/>
          <a:ext cx="928241" cy="589433"/>
        </a:xfrm>
        <a:prstGeom prst="roundRect">
          <a:avLst>
            <a:gd name="adj" fmla="val 10000"/>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sp>
    <dsp:sp modelId="{2D1D20DF-E31C-4195-800E-C284CACED65E}">
      <dsp:nvSpPr>
        <dsp:cNvPr id="0" name=""/>
        <dsp:cNvSpPr/>
      </dsp:nvSpPr>
      <dsp:spPr>
        <a:xfrm>
          <a:off x="105424" y="4832861"/>
          <a:ext cx="928241" cy="589433"/>
        </a:xfrm>
        <a:prstGeom prst="roundRect">
          <a:avLst>
            <a:gd name="adj" fmla="val 10000"/>
          </a:avLst>
        </a:prstGeom>
        <a:solidFill>
          <a:schemeClr val="lt1">
            <a:alpha val="90000"/>
            <a:hueOff val="0"/>
            <a:satOff val="0"/>
            <a:lumOff val="0"/>
            <a:alphaOff val="0"/>
          </a:schemeClr>
        </a:solidFill>
        <a:ln w="6350" cap="flat" cmpd="sng" algn="ctr">
          <a:solidFill>
            <a:schemeClr val="accent3"/>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kern="1200"/>
            <a:t>Yes</a:t>
          </a:r>
        </a:p>
      </dsp:txBody>
      <dsp:txXfrm>
        <a:off x="122688" y="4850125"/>
        <a:ext cx="893713" cy="554905"/>
      </dsp:txXfrm>
    </dsp:sp>
    <dsp:sp modelId="{F71F2237-E56A-4259-8A34-8825B6A735BB}">
      <dsp:nvSpPr>
        <dsp:cNvPr id="0" name=""/>
        <dsp:cNvSpPr/>
      </dsp:nvSpPr>
      <dsp:spPr>
        <a:xfrm>
          <a:off x="2286" y="5594277"/>
          <a:ext cx="928241" cy="589433"/>
        </a:xfrm>
        <a:prstGeom prst="roundRect">
          <a:avLst>
            <a:gd name="adj" fmla="val 10000"/>
          </a:avLst>
        </a:prstGeom>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a:scene3d>
          <a:camera prst="orthographicFront"/>
          <a:lightRig rig="flat" dir="t"/>
        </a:scene3d>
        <a:sp3d/>
      </dsp:spPr>
      <dsp:style>
        <a:lnRef idx="1">
          <a:schemeClr val="accent2"/>
        </a:lnRef>
        <a:fillRef idx="2">
          <a:schemeClr val="accent2"/>
        </a:fillRef>
        <a:effectRef idx="1">
          <a:schemeClr val="accent2"/>
        </a:effectRef>
        <a:fontRef idx="minor">
          <a:schemeClr val="dk1"/>
        </a:fontRef>
      </dsp:style>
    </dsp:sp>
    <dsp:sp modelId="{1FCEEEA3-A83E-4E3D-8721-FEB322BF53C3}">
      <dsp:nvSpPr>
        <dsp:cNvPr id="0" name=""/>
        <dsp:cNvSpPr/>
      </dsp:nvSpPr>
      <dsp:spPr>
        <a:xfrm>
          <a:off x="105424" y="5692258"/>
          <a:ext cx="928241" cy="589433"/>
        </a:xfrm>
        <a:prstGeom prst="roundRect">
          <a:avLst>
            <a:gd name="adj" fmla="val 10000"/>
          </a:avLst>
        </a:prstGeom>
        <a:solidFill>
          <a:schemeClr val="lt1">
            <a:alpha val="90000"/>
            <a:hueOff val="0"/>
            <a:satOff val="0"/>
            <a:lumOff val="0"/>
            <a:alphaOff val="0"/>
          </a:schemeClr>
        </a:solidFill>
        <a:ln w="6350" cap="flat" cmpd="sng" algn="ctr">
          <a:solidFill>
            <a:schemeClr val="accent2"/>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kern="1200"/>
            <a:t>You cannot pay this owner.</a:t>
          </a:r>
        </a:p>
      </dsp:txBody>
      <dsp:txXfrm>
        <a:off x="122688" y="5709522"/>
        <a:ext cx="893713" cy="554905"/>
      </dsp:txXfrm>
    </dsp:sp>
    <dsp:sp modelId="{59A00DA6-4271-42E4-A393-2D8BAE0EFCC6}">
      <dsp:nvSpPr>
        <dsp:cNvPr id="0" name=""/>
        <dsp:cNvSpPr/>
      </dsp:nvSpPr>
      <dsp:spPr>
        <a:xfrm>
          <a:off x="2286" y="6453673"/>
          <a:ext cx="928241" cy="1479441"/>
        </a:xfrm>
        <a:prstGeom prst="roundRect">
          <a:avLst>
            <a:gd name="adj" fmla="val 10000"/>
          </a:avLst>
        </a:prstGeom>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sp>
    <dsp:sp modelId="{983596D4-044E-411E-95A7-AE9C4EAB624C}">
      <dsp:nvSpPr>
        <dsp:cNvPr id="0" name=""/>
        <dsp:cNvSpPr/>
      </dsp:nvSpPr>
      <dsp:spPr>
        <a:xfrm>
          <a:off x="105424" y="6551654"/>
          <a:ext cx="928241" cy="1479441"/>
        </a:xfrm>
        <a:prstGeom prst="roundRect">
          <a:avLst>
            <a:gd name="adj" fmla="val 10000"/>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solidFill>
                <a:srgbClr val="C00000"/>
              </a:solidFill>
            </a:rPr>
            <a:t>NOTE:</a:t>
          </a:r>
          <a:r>
            <a:rPr lang="en-US" sz="800" b="0" kern="1200">
              <a:solidFill>
                <a:srgbClr val="C00000"/>
              </a:solidFill>
            </a:rPr>
            <a:t> A Project Sponsor may approve the unit if they determine that approving the unit would provide a reasonable accommodation for household members with disabilities.</a:t>
          </a:r>
        </a:p>
      </dsp:txBody>
      <dsp:txXfrm>
        <a:off x="132611" y="6578841"/>
        <a:ext cx="873867" cy="1425067"/>
      </dsp:txXfrm>
    </dsp:sp>
    <dsp:sp modelId="{86437429-71F8-48E7-B4DA-1377EB9EC492}">
      <dsp:nvSpPr>
        <dsp:cNvPr id="0" name=""/>
        <dsp:cNvSpPr/>
      </dsp:nvSpPr>
      <dsp:spPr>
        <a:xfrm>
          <a:off x="1704061" y="4734880"/>
          <a:ext cx="928241" cy="589433"/>
        </a:xfrm>
        <a:prstGeom prst="roundRect">
          <a:avLst>
            <a:gd name="adj" fmla="val 10000"/>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sp>
    <dsp:sp modelId="{6E265304-F110-4345-90DE-C8CF71CFA32D}">
      <dsp:nvSpPr>
        <dsp:cNvPr id="0" name=""/>
        <dsp:cNvSpPr/>
      </dsp:nvSpPr>
      <dsp:spPr>
        <a:xfrm>
          <a:off x="1807199" y="4832861"/>
          <a:ext cx="928241" cy="589433"/>
        </a:xfrm>
        <a:prstGeom prst="roundRect">
          <a:avLst>
            <a:gd name="adj" fmla="val 10000"/>
          </a:avLst>
        </a:prstGeom>
        <a:solidFill>
          <a:schemeClr val="lt1">
            <a:alpha val="90000"/>
            <a:hueOff val="0"/>
            <a:satOff val="0"/>
            <a:lumOff val="0"/>
            <a:alphaOff val="0"/>
          </a:schemeClr>
        </a:solidFill>
        <a:ln w="6350" cap="flat" cmpd="sng" algn="ctr">
          <a:solidFill>
            <a:schemeClr val="accent3"/>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kern="1200"/>
            <a:t>No</a:t>
          </a:r>
        </a:p>
      </dsp:txBody>
      <dsp:txXfrm>
        <a:off x="1824463" y="4850125"/>
        <a:ext cx="893713" cy="554905"/>
      </dsp:txXfrm>
    </dsp:sp>
    <dsp:sp modelId="{73823A58-CA92-4F0A-BEC1-FFE87CF7C155}">
      <dsp:nvSpPr>
        <dsp:cNvPr id="0" name=""/>
        <dsp:cNvSpPr/>
      </dsp:nvSpPr>
      <dsp:spPr>
        <a:xfrm>
          <a:off x="1265207" y="5594277"/>
          <a:ext cx="1805948" cy="589433"/>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8AE3842-256C-4786-BB3B-A3F59B4878E8}">
      <dsp:nvSpPr>
        <dsp:cNvPr id="0" name=""/>
        <dsp:cNvSpPr/>
      </dsp:nvSpPr>
      <dsp:spPr>
        <a:xfrm>
          <a:off x="1368345" y="5692258"/>
          <a:ext cx="1805948" cy="58943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Do you have the owner's IRS Form W-9?</a:t>
          </a:r>
        </a:p>
      </dsp:txBody>
      <dsp:txXfrm>
        <a:off x="1385609" y="5709522"/>
        <a:ext cx="1771420" cy="554905"/>
      </dsp:txXfrm>
    </dsp:sp>
    <dsp:sp modelId="{FB94D9FC-6C10-459B-B7E6-C5DB71B85728}">
      <dsp:nvSpPr>
        <dsp:cNvPr id="0" name=""/>
        <dsp:cNvSpPr/>
      </dsp:nvSpPr>
      <dsp:spPr>
        <a:xfrm>
          <a:off x="1136802" y="6453673"/>
          <a:ext cx="928241" cy="589433"/>
        </a:xfrm>
        <a:prstGeom prst="roundRect">
          <a:avLst>
            <a:gd name="adj" fmla="val 10000"/>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sp>
    <dsp:sp modelId="{A9BB4B6D-B6CD-4984-8673-165A873C9ECB}">
      <dsp:nvSpPr>
        <dsp:cNvPr id="0" name=""/>
        <dsp:cNvSpPr/>
      </dsp:nvSpPr>
      <dsp:spPr>
        <a:xfrm>
          <a:off x="1239940" y="6551654"/>
          <a:ext cx="928241" cy="589433"/>
        </a:xfrm>
        <a:prstGeom prst="roundRect">
          <a:avLst>
            <a:gd name="adj" fmla="val 10000"/>
          </a:avLst>
        </a:prstGeom>
        <a:solidFill>
          <a:schemeClr val="lt1">
            <a:alpha val="90000"/>
            <a:hueOff val="0"/>
            <a:satOff val="0"/>
            <a:lumOff val="0"/>
            <a:alphaOff val="0"/>
          </a:schemeClr>
        </a:solidFill>
        <a:ln w="6350" cap="flat" cmpd="sng" algn="ctr">
          <a:solidFill>
            <a:schemeClr val="accent3"/>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kern="1200"/>
            <a:t>Yes</a:t>
          </a:r>
        </a:p>
      </dsp:txBody>
      <dsp:txXfrm>
        <a:off x="1257204" y="6568918"/>
        <a:ext cx="893713" cy="554905"/>
      </dsp:txXfrm>
    </dsp:sp>
    <dsp:sp modelId="{94CC134E-6229-4ADB-A4B6-135B656712EA}">
      <dsp:nvSpPr>
        <dsp:cNvPr id="0" name=""/>
        <dsp:cNvSpPr/>
      </dsp:nvSpPr>
      <dsp:spPr>
        <a:xfrm>
          <a:off x="1136802" y="7313070"/>
          <a:ext cx="928241" cy="589433"/>
        </a:xfrm>
        <a:prstGeom prst="roundRect">
          <a:avLst>
            <a:gd name="adj" fmla="val 10000"/>
          </a:avLst>
        </a:prstGeom>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sp>
    <dsp:sp modelId="{FAFB380D-5DCC-492C-9076-F56BDD0E0924}">
      <dsp:nvSpPr>
        <dsp:cNvPr id="0" name=""/>
        <dsp:cNvSpPr/>
      </dsp:nvSpPr>
      <dsp:spPr>
        <a:xfrm>
          <a:off x="1239940" y="7411051"/>
          <a:ext cx="928241" cy="589433"/>
        </a:xfrm>
        <a:prstGeom prst="roundRect">
          <a:avLst>
            <a:gd name="adj" fmla="val 10000"/>
          </a:avLst>
        </a:prstGeom>
        <a:solidFill>
          <a:schemeClr val="lt1">
            <a:alpha val="90000"/>
            <a:hueOff val="0"/>
            <a:satOff val="0"/>
            <a:lumOff val="0"/>
            <a:alphaOff val="0"/>
          </a:schemeClr>
        </a:solidFill>
        <a:ln w="6350" cap="flat" cmpd="sng" algn="ctr">
          <a:solidFill>
            <a:schemeClr val="accent6"/>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kern="1200"/>
            <a:t>You can pay this owner.</a:t>
          </a:r>
        </a:p>
      </dsp:txBody>
      <dsp:txXfrm>
        <a:off x="1257204" y="7428315"/>
        <a:ext cx="893713" cy="554905"/>
      </dsp:txXfrm>
    </dsp:sp>
    <dsp:sp modelId="{6EBEBEF6-6227-4098-A9BE-9EDA6BC92228}">
      <dsp:nvSpPr>
        <dsp:cNvPr id="0" name=""/>
        <dsp:cNvSpPr/>
      </dsp:nvSpPr>
      <dsp:spPr>
        <a:xfrm>
          <a:off x="2271319" y="6453673"/>
          <a:ext cx="928241" cy="589433"/>
        </a:xfrm>
        <a:prstGeom prst="roundRect">
          <a:avLst>
            <a:gd name="adj" fmla="val 10000"/>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sp>
    <dsp:sp modelId="{D1FFFED2-0C36-4B70-8589-E8560BB374D5}">
      <dsp:nvSpPr>
        <dsp:cNvPr id="0" name=""/>
        <dsp:cNvSpPr/>
      </dsp:nvSpPr>
      <dsp:spPr>
        <a:xfrm>
          <a:off x="2374457" y="6551654"/>
          <a:ext cx="928241" cy="589433"/>
        </a:xfrm>
        <a:prstGeom prst="roundRect">
          <a:avLst>
            <a:gd name="adj" fmla="val 10000"/>
          </a:avLst>
        </a:prstGeom>
        <a:solidFill>
          <a:schemeClr val="lt1">
            <a:alpha val="90000"/>
            <a:hueOff val="0"/>
            <a:satOff val="0"/>
            <a:lumOff val="0"/>
            <a:alphaOff val="0"/>
          </a:schemeClr>
        </a:solidFill>
        <a:ln w="6350" cap="flat" cmpd="sng" algn="ctr">
          <a:solidFill>
            <a:schemeClr val="accent3"/>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kern="1200"/>
            <a:t>No</a:t>
          </a:r>
        </a:p>
      </dsp:txBody>
      <dsp:txXfrm>
        <a:off x="2391721" y="6568918"/>
        <a:ext cx="893713" cy="554905"/>
      </dsp:txXfrm>
    </dsp:sp>
    <dsp:sp modelId="{568FEB13-0A89-496F-827B-CC14E8DFAE75}">
      <dsp:nvSpPr>
        <dsp:cNvPr id="0" name=""/>
        <dsp:cNvSpPr/>
      </dsp:nvSpPr>
      <dsp:spPr>
        <a:xfrm>
          <a:off x="2271319" y="7313070"/>
          <a:ext cx="928241" cy="589433"/>
        </a:xfrm>
        <a:prstGeom prst="roundRect">
          <a:avLst>
            <a:gd name="adj" fmla="val 10000"/>
          </a:avLst>
        </a:prstGeom>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a:scene3d>
          <a:camera prst="orthographicFront"/>
          <a:lightRig rig="flat" dir="t"/>
        </a:scene3d>
        <a:sp3d/>
      </dsp:spPr>
      <dsp:style>
        <a:lnRef idx="1">
          <a:schemeClr val="accent2"/>
        </a:lnRef>
        <a:fillRef idx="2">
          <a:schemeClr val="accent2"/>
        </a:fillRef>
        <a:effectRef idx="1">
          <a:schemeClr val="accent2"/>
        </a:effectRef>
        <a:fontRef idx="minor">
          <a:schemeClr val="dk1"/>
        </a:fontRef>
      </dsp:style>
    </dsp:sp>
    <dsp:sp modelId="{BED0D3CA-C679-4D98-8ED0-994D8BB3EEAF}">
      <dsp:nvSpPr>
        <dsp:cNvPr id="0" name=""/>
        <dsp:cNvSpPr/>
      </dsp:nvSpPr>
      <dsp:spPr>
        <a:xfrm>
          <a:off x="2374457" y="7411051"/>
          <a:ext cx="928241" cy="589433"/>
        </a:xfrm>
        <a:prstGeom prst="roundRect">
          <a:avLst>
            <a:gd name="adj" fmla="val 10000"/>
          </a:avLst>
        </a:prstGeom>
        <a:solidFill>
          <a:schemeClr val="lt1">
            <a:alpha val="90000"/>
            <a:hueOff val="0"/>
            <a:satOff val="0"/>
            <a:lumOff val="0"/>
            <a:alphaOff val="0"/>
          </a:schemeClr>
        </a:solidFill>
        <a:ln w="6350" cap="flat" cmpd="sng" algn="ctr">
          <a:solidFill>
            <a:schemeClr val="accent2"/>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kern="1200"/>
            <a:t>You cannot pay this owner until you have their W-9.</a:t>
          </a:r>
        </a:p>
      </dsp:txBody>
      <dsp:txXfrm>
        <a:off x="2391721" y="7428315"/>
        <a:ext cx="893713" cy="554905"/>
      </dsp:txXfrm>
    </dsp:sp>
    <dsp:sp modelId="{9DE28170-34DD-4FB6-BF21-5AA679580E46}">
      <dsp:nvSpPr>
        <dsp:cNvPr id="0" name=""/>
        <dsp:cNvSpPr/>
      </dsp:nvSpPr>
      <dsp:spPr>
        <a:xfrm>
          <a:off x="2420784" y="3016087"/>
          <a:ext cx="928241" cy="589433"/>
        </a:xfrm>
        <a:prstGeom prst="roundRect">
          <a:avLst>
            <a:gd name="adj" fmla="val 10000"/>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sp>
    <dsp:sp modelId="{663049B5-6373-4B77-BC4A-D7342C3C1747}">
      <dsp:nvSpPr>
        <dsp:cNvPr id="0" name=""/>
        <dsp:cNvSpPr/>
      </dsp:nvSpPr>
      <dsp:spPr>
        <a:xfrm>
          <a:off x="2523922" y="3114068"/>
          <a:ext cx="928241" cy="589433"/>
        </a:xfrm>
        <a:prstGeom prst="roundRect">
          <a:avLst>
            <a:gd name="adj" fmla="val 10000"/>
          </a:avLst>
        </a:prstGeom>
        <a:solidFill>
          <a:schemeClr val="lt1">
            <a:alpha val="90000"/>
            <a:hueOff val="0"/>
            <a:satOff val="0"/>
            <a:lumOff val="0"/>
            <a:alphaOff val="0"/>
          </a:schemeClr>
        </a:solidFill>
        <a:ln w="6350" cap="flat" cmpd="sng" algn="ctr">
          <a:solidFill>
            <a:schemeClr val="accent3"/>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kern="1200"/>
            <a:t>No</a:t>
          </a:r>
        </a:p>
      </dsp:txBody>
      <dsp:txXfrm>
        <a:off x="2541186" y="3131332"/>
        <a:ext cx="893713" cy="554905"/>
      </dsp:txXfrm>
    </dsp:sp>
    <dsp:sp modelId="{F2850B31-A576-485A-BD32-7B2DC2EFD52D}">
      <dsp:nvSpPr>
        <dsp:cNvPr id="0" name=""/>
        <dsp:cNvSpPr/>
      </dsp:nvSpPr>
      <dsp:spPr>
        <a:xfrm>
          <a:off x="2420784" y="3875484"/>
          <a:ext cx="928241" cy="589433"/>
        </a:xfrm>
        <a:prstGeom prst="roundRect">
          <a:avLst>
            <a:gd name="adj" fmla="val 10000"/>
          </a:avLst>
        </a:prstGeom>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a:scene3d>
          <a:camera prst="orthographicFront"/>
          <a:lightRig rig="flat" dir="t"/>
        </a:scene3d>
        <a:sp3d/>
      </dsp:spPr>
      <dsp:style>
        <a:lnRef idx="1">
          <a:schemeClr val="accent2"/>
        </a:lnRef>
        <a:fillRef idx="2">
          <a:schemeClr val="accent2"/>
        </a:fillRef>
        <a:effectRef idx="1">
          <a:schemeClr val="accent2"/>
        </a:effectRef>
        <a:fontRef idx="minor">
          <a:schemeClr val="dk1"/>
        </a:fontRef>
      </dsp:style>
    </dsp:sp>
    <dsp:sp modelId="{6B701666-03A1-4D1C-B1A0-FCCECB0541C5}">
      <dsp:nvSpPr>
        <dsp:cNvPr id="0" name=""/>
        <dsp:cNvSpPr/>
      </dsp:nvSpPr>
      <dsp:spPr>
        <a:xfrm>
          <a:off x="2523922" y="3973465"/>
          <a:ext cx="928241" cy="589433"/>
        </a:xfrm>
        <a:prstGeom prst="roundRect">
          <a:avLst>
            <a:gd name="adj" fmla="val 10000"/>
          </a:avLst>
        </a:prstGeom>
        <a:solidFill>
          <a:schemeClr val="lt1">
            <a:alpha val="90000"/>
            <a:hueOff val="0"/>
            <a:satOff val="0"/>
            <a:lumOff val="0"/>
            <a:alphaOff val="0"/>
          </a:schemeClr>
        </a:solidFill>
        <a:ln w="6350" cap="flat" cmpd="sng" algn="ctr">
          <a:solidFill>
            <a:schemeClr val="accent2"/>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kern="1200"/>
            <a:t>You cannot pay this owner.</a:t>
          </a:r>
        </a:p>
      </dsp:txBody>
      <dsp:txXfrm>
        <a:off x="2541186" y="3990729"/>
        <a:ext cx="893713" cy="554905"/>
      </dsp:txXfrm>
    </dsp:sp>
    <dsp:sp modelId="{1421A347-00D4-41B7-9BFB-B40D67ED16C4}">
      <dsp:nvSpPr>
        <dsp:cNvPr id="0" name=""/>
        <dsp:cNvSpPr/>
      </dsp:nvSpPr>
      <dsp:spPr>
        <a:xfrm>
          <a:off x="4406188" y="1297295"/>
          <a:ext cx="928241" cy="589433"/>
        </a:xfrm>
        <a:prstGeom prst="roundRect">
          <a:avLst>
            <a:gd name="adj" fmla="val 10000"/>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sp>
    <dsp:sp modelId="{3C0026CB-570D-4FB6-9D91-1115855B4CC7}">
      <dsp:nvSpPr>
        <dsp:cNvPr id="0" name=""/>
        <dsp:cNvSpPr/>
      </dsp:nvSpPr>
      <dsp:spPr>
        <a:xfrm>
          <a:off x="4509326" y="1395276"/>
          <a:ext cx="928241" cy="589433"/>
        </a:xfrm>
        <a:prstGeom prst="roundRect">
          <a:avLst>
            <a:gd name="adj" fmla="val 10000"/>
          </a:avLst>
        </a:prstGeom>
        <a:solidFill>
          <a:schemeClr val="lt1">
            <a:alpha val="90000"/>
            <a:hueOff val="0"/>
            <a:satOff val="0"/>
            <a:lumOff val="0"/>
            <a:alphaOff val="0"/>
          </a:schemeClr>
        </a:solidFill>
        <a:ln w="6350" cap="flat" cmpd="sng" algn="ctr">
          <a:solidFill>
            <a:schemeClr val="accent3"/>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kern="1200"/>
            <a:t>No</a:t>
          </a:r>
        </a:p>
      </dsp:txBody>
      <dsp:txXfrm>
        <a:off x="4526590" y="1412540"/>
        <a:ext cx="893713" cy="554905"/>
      </dsp:txXfrm>
    </dsp:sp>
    <dsp:sp modelId="{D5E99A19-C8D5-472B-AE7D-C5FE521CD0E3}">
      <dsp:nvSpPr>
        <dsp:cNvPr id="0" name=""/>
        <dsp:cNvSpPr/>
      </dsp:nvSpPr>
      <dsp:spPr>
        <a:xfrm>
          <a:off x="3973094" y="2156691"/>
          <a:ext cx="1794429" cy="589433"/>
        </a:xfrm>
        <a:prstGeom prst="roundRect">
          <a:avLst>
            <a:gd name="adj" fmla="val 10000"/>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a:scene3d>
          <a:camera prst="orthographicFront"/>
          <a:lightRig rig="flat" dir="t"/>
        </a:scene3d>
        <a:sp3d/>
      </dsp:spPr>
      <dsp:style>
        <a:lnRef idx="1">
          <a:schemeClr val="accent1"/>
        </a:lnRef>
        <a:fillRef idx="2">
          <a:schemeClr val="accent1"/>
        </a:fillRef>
        <a:effectRef idx="1">
          <a:schemeClr val="accent1"/>
        </a:effectRef>
        <a:fontRef idx="minor">
          <a:schemeClr val="dk1"/>
        </a:fontRef>
      </dsp:style>
    </dsp:sp>
    <dsp:sp modelId="{7435D853-5424-4E00-976A-AB43151198DC}">
      <dsp:nvSpPr>
        <dsp:cNvPr id="0" name=""/>
        <dsp:cNvSpPr/>
      </dsp:nvSpPr>
      <dsp:spPr>
        <a:xfrm>
          <a:off x="4076232" y="2254672"/>
          <a:ext cx="1794429" cy="58943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Is the owner the parent, child, grandparent, grandchild, sister, or brother of any household member?</a:t>
          </a:r>
        </a:p>
      </dsp:txBody>
      <dsp:txXfrm>
        <a:off x="4093496" y="2271936"/>
        <a:ext cx="1759901" cy="554905"/>
      </dsp:txXfrm>
    </dsp:sp>
    <dsp:sp modelId="{753C62EC-C1AB-4CED-BE5B-38381CDE299C}">
      <dsp:nvSpPr>
        <dsp:cNvPr id="0" name=""/>
        <dsp:cNvSpPr/>
      </dsp:nvSpPr>
      <dsp:spPr>
        <a:xfrm>
          <a:off x="3555301" y="3016087"/>
          <a:ext cx="928241" cy="589433"/>
        </a:xfrm>
        <a:prstGeom prst="roundRect">
          <a:avLst>
            <a:gd name="adj" fmla="val 10000"/>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sp>
    <dsp:sp modelId="{D7DF41A5-A564-42D1-BBD1-5C26F51BBE40}">
      <dsp:nvSpPr>
        <dsp:cNvPr id="0" name=""/>
        <dsp:cNvSpPr/>
      </dsp:nvSpPr>
      <dsp:spPr>
        <a:xfrm>
          <a:off x="3658439" y="3114068"/>
          <a:ext cx="928241" cy="589433"/>
        </a:xfrm>
        <a:prstGeom prst="roundRect">
          <a:avLst>
            <a:gd name="adj" fmla="val 10000"/>
          </a:avLst>
        </a:prstGeom>
        <a:solidFill>
          <a:schemeClr val="lt1">
            <a:alpha val="90000"/>
            <a:hueOff val="0"/>
            <a:satOff val="0"/>
            <a:lumOff val="0"/>
            <a:alphaOff val="0"/>
          </a:schemeClr>
        </a:solidFill>
        <a:ln w="6350" cap="flat" cmpd="sng" algn="ctr">
          <a:solidFill>
            <a:schemeClr val="accent3"/>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kern="1200"/>
            <a:t>Yes</a:t>
          </a:r>
        </a:p>
      </dsp:txBody>
      <dsp:txXfrm>
        <a:off x="3675703" y="3131332"/>
        <a:ext cx="893713" cy="554905"/>
      </dsp:txXfrm>
    </dsp:sp>
    <dsp:sp modelId="{CB057AD0-9676-491C-B1BE-6BB9F9E31356}">
      <dsp:nvSpPr>
        <dsp:cNvPr id="0" name=""/>
        <dsp:cNvSpPr/>
      </dsp:nvSpPr>
      <dsp:spPr>
        <a:xfrm>
          <a:off x="3555301" y="3875484"/>
          <a:ext cx="928241" cy="589433"/>
        </a:xfrm>
        <a:prstGeom prst="roundRect">
          <a:avLst>
            <a:gd name="adj" fmla="val 10000"/>
          </a:avLst>
        </a:prstGeom>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a:scene3d>
          <a:camera prst="orthographicFront"/>
          <a:lightRig rig="flat" dir="t"/>
        </a:scene3d>
        <a:sp3d/>
      </dsp:spPr>
      <dsp:style>
        <a:lnRef idx="1">
          <a:schemeClr val="accent2"/>
        </a:lnRef>
        <a:fillRef idx="2">
          <a:schemeClr val="accent2"/>
        </a:fillRef>
        <a:effectRef idx="1">
          <a:schemeClr val="accent2"/>
        </a:effectRef>
        <a:fontRef idx="minor">
          <a:schemeClr val="dk1"/>
        </a:fontRef>
      </dsp:style>
    </dsp:sp>
    <dsp:sp modelId="{ED7B5BEE-F9C3-4198-B485-7658222E3676}">
      <dsp:nvSpPr>
        <dsp:cNvPr id="0" name=""/>
        <dsp:cNvSpPr/>
      </dsp:nvSpPr>
      <dsp:spPr>
        <a:xfrm>
          <a:off x="3658439" y="3973465"/>
          <a:ext cx="928241" cy="589433"/>
        </a:xfrm>
        <a:prstGeom prst="roundRect">
          <a:avLst>
            <a:gd name="adj" fmla="val 10000"/>
          </a:avLst>
        </a:prstGeom>
        <a:solidFill>
          <a:schemeClr val="lt1">
            <a:alpha val="90000"/>
            <a:hueOff val="0"/>
            <a:satOff val="0"/>
            <a:lumOff val="0"/>
            <a:alphaOff val="0"/>
          </a:schemeClr>
        </a:solidFill>
        <a:ln w="6350" cap="flat" cmpd="sng" algn="ctr">
          <a:solidFill>
            <a:schemeClr val="accent2"/>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kern="1200"/>
            <a:t>You cannot pay this owner.</a:t>
          </a:r>
        </a:p>
      </dsp:txBody>
      <dsp:txXfrm>
        <a:off x="3675703" y="3990729"/>
        <a:ext cx="893713" cy="554905"/>
      </dsp:txXfrm>
    </dsp:sp>
    <dsp:sp modelId="{6B9CF6FC-AD7D-4D1C-BDF4-E72A80BEDB1A}">
      <dsp:nvSpPr>
        <dsp:cNvPr id="0" name=""/>
        <dsp:cNvSpPr/>
      </dsp:nvSpPr>
      <dsp:spPr>
        <a:xfrm>
          <a:off x="3555301" y="4734880"/>
          <a:ext cx="928241" cy="1480402"/>
        </a:xfrm>
        <a:prstGeom prst="roundRect">
          <a:avLst>
            <a:gd name="adj" fmla="val 10000"/>
          </a:avLst>
        </a:prstGeom>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sp>
    <dsp:sp modelId="{1BCC0DF7-8C70-4BAF-BB37-87AECFC4E104}">
      <dsp:nvSpPr>
        <dsp:cNvPr id="0" name=""/>
        <dsp:cNvSpPr/>
      </dsp:nvSpPr>
      <dsp:spPr>
        <a:xfrm>
          <a:off x="3658439" y="4832861"/>
          <a:ext cx="928241" cy="1480402"/>
        </a:xfrm>
        <a:prstGeom prst="roundRect">
          <a:avLst>
            <a:gd name="adj" fmla="val 10000"/>
          </a:avLst>
        </a:prstGeom>
        <a:solidFill>
          <a:schemeClr val="lt1">
            <a:alpha val="90000"/>
            <a:hueOff val="0"/>
            <a:satOff val="0"/>
            <a:lumOff val="0"/>
            <a:alphaOff val="0"/>
          </a:schemeClr>
        </a:solidFill>
        <a:ln w="6350" cap="flat" cmpd="sng" algn="ctr">
          <a:solidFill>
            <a:schemeClr val="accent4"/>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solidFill>
                <a:srgbClr val="C00000"/>
              </a:solidFill>
            </a:rPr>
            <a:t>NOTE:</a:t>
          </a:r>
          <a:r>
            <a:rPr lang="en-US" sz="800" b="0" kern="1200">
              <a:solidFill>
                <a:srgbClr val="C00000"/>
              </a:solidFill>
            </a:rPr>
            <a:t> A Project Sponsor may approve the unit if they determine that approving the unit would provide a reasonable accommodation for household members with disabilities.</a:t>
          </a:r>
        </a:p>
      </dsp:txBody>
      <dsp:txXfrm>
        <a:off x="3685626" y="4860048"/>
        <a:ext cx="873867" cy="1426028"/>
      </dsp:txXfrm>
    </dsp:sp>
    <dsp:sp modelId="{B1CAFCAA-45E9-4152-BE75-398DB76C8757}">
      <dsp:nvSpPr>
        <dsp:cNvPr id="0" name=""/>
        <dsp:cNvSpPr/>
      </dsp:nvSpPr>
      <dsp:spPr>
        <a:xfrm>
          <a:off x="5257076" y="3016087"/>
          <a:ext cx="928241" cy="589433"/>
        </a:xfrm>
        <a:prstGeom prst="roundRect">
          <a:avLst>
            <a:gd name="adj" fmla="val 10000"/>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sp>
    <dsp:sp modelId="{3F181E96-5125-4A9D-9C7F-9DA67B1011CC}">
      <dsp:nvSpPr>
        <dsp:cNvPr id="0" name=""/>
        <dsp:cNvSpPr/>
      </dsp:nvSpPr>
      <dsp:spPr>
        <a:xfrm>
          <a:off x="5360214" y="3114068"/>
          <a:ext cx="928241" cy="589433"/>
        </a:xfrm>
        <a:prstGeom prst="roundRect">
          <a:avLst>
            <a:gd name="adj" fmla="val 10000"/>
          </a:avLst>
        </a:prstGeom>
        <a:solidFill>
          <a:schemeClr val="lt1">
            <a:alpha val="90000"/>
            <a:hueOff val="0"/>
            <a:satOff val="0"/>
            <a:lumOff val="0"/>
            <a:alphaOff val="0"/>
          </a:schemeClr>
        </a:solidFill>
        <a:ln w="6350" cap="flat" cmpd="sng" algn="ctr">
          <a:solidFill>
            <a:schemeClr val="accent3"/>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kern="1200"/>
            <a:t>No</a:t>
          </a:r>
        </a:p>
      </dsp:txBody>
      <dsp:txXfrm>
        <a:off x="5377478" y="3131332"/>
        <a:ext cx="893713" cy="554905"/>
      </dsp:txXfrm>
    </dsp:sp>
    <dsp:sp modelId="{5BCDF3A6-EB33-4077-9968-EA51F0245B38}">
      <dsp:nvSpPr>
        <dsp:cNvPr id="0" name=""/>
        <dsp:cNvSpPr/>
      </dsp:nvSpPr>
      <dsp:spPr>
        <a:xfrm>
          <a:off x="4818222" y="3875484"/>
          <a:ext cx="1805948" cy="589433"/>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437E7CE-0F53-4CD7-AB33-3581C8AEDDE1}">
      <dsp:nvSpPr>
        <dsp:cNvPr id="0" name=""/>
        <dsp:cNvSpPr/>
      </dsp:nvSpPr>
      <dsp:spPr>
        <a:xfrm>
          <a:off x="4921360" y="3973465"/>
          <a:ext cx="1805948" cy="58943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Do you have the owner's IRS Form W-9?</a:t>
          </a:r>
        </a:p>
      </dsp:txBody>
      <dsp:txXfrm>
        <a:off x="4938624" y="3990729"/>
        <a:ext cx="1771420" cy="554905"/>
      </dsp:txXfrm>
    </dsp:sp>
    <dsp:sp modelId="{86312DB4-49EF-4E09-9971-4502E2C77085}">
      <dsp:nvSpPr>
        <dsp:cNvPr id="0" name=""/>
        <dsp:cNvSpPr/>
      </dsp:nvSpPr>
      <dsp:spPr>
        <a:xfrm>
          <a:off x="4689818" y="4734880"/>
          <a:ext cx="928241" cy="589433"/>
        </a:xfrm>
        <a:prstGeom prst="roundRect">
          <a:avLst>
            <a:gd name="adj" fmla="val 10000"/>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sp>
    <dsp:sp modelId="{90EC5BA3-4858-466B-B78F-7F8B364FB115}">
      <dsp:nvSpPr>
        <dsp:cNvPr id="0" name=""/>
        <dsp:cNvSpPr/>
      </dsp:nvSpPr>
      <dsp:spPr>
        <a:xfrm>
          <a:off x="4792956" y="4832861"/>
          <a:ext cx="928241" cy="589433"/>
        </a:xfrm>
        <a:prstGeom prst="roundRect">
          <a:avLst>
            <a:gd name="adj" fmla="val 10000"/>
          </a:avLst>
        </a:prstGeom>
        <a:solidFill>
          <a:schemeClr val="lt1">
            <a:alpha val="90000"/>
            <a:hueOff val="0"/>
            <a:satOff val="0"/>
            <a:lumOff val="0"/>
            <a:alphaOff val="0"/>
          </a:schemeClr>
        </a:solidFill>
        <a:ln w="6350" cap="flat" cmpd="sng" algn="ctr">
          <a:solidFill>
            <a:schemeClr val="accent3"/>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kern="1200"/>
            <a:t>Yes</a:t>
          </a:r>
        </a:p>
      </dsp:txBody>
      <dsp:txXfrm>
        <a:off x="4810220" y="4850125"/>
        <a:ext cx="893713" cy="554905"/>
      </dsp:txXfrm>
    </dsp:sp>
    <dsp:sp modelId="{121EF3F1-B38F-4DD3-AB0C-A2CE0F0A3ED8}">
      <dsp:nvSpPr>
        <dsp:cNvPr id="0" name=""/>
        <dsp:cNvSpPr/>
      </dsp:nvSpPr>
      <dsp:spPr>
        <a:xfrm>
          <a:off x="4689818" y="5594277"/>
          <a:ext cx="928241" cy="589433"/>
        </a:xfrm>
        <a:prstGeom prst="roundRect">
          <a:avLst>
            <a:gd name="adj" fmla="val 10000"/>
          </a:avLst>
        </a:prstGeom>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sp>
    <dsp:sp modelId="{0B82F3A7-975E-4F3D-BD08-C87136B65269}">
      <dsp:nvSpPr>
        <dsp:cNvPr id="0" name=""/>
        <dsp:cNvSpPr/>
      </dsp:nvSpPr>
      <dsp:spPr>
        <a:xfrm>
          <a:off x="4792956" y="5692258"/>
          <a:ext cx="928241" cy="589433"/>
        </a:xfrm>
        <a:prstGeom prst="roundRect">
          <a:avLst>
            <a:gd name="adj" fmla="val 10000"/>
          </a:avLst>
        </a:prstGeom>
        <a:solidFill>
          <a:schemeClr val="lt1">
            <a:alpha val="90000"/>
            <a:hueOff val="0"/>
            <a:satOff val="0"/>
            <a:lumOff val="0"/>
            <a:alphaOff val="0"/>
          </a:schemeClr>
        </a:solidFill>
        <a:ln w="6350" cap="flat" cmpd="sng" algn="ctr">
          <a:solidFill>
            <a:schemeClr val="accent6"/>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kern="1200"/>
            <a:t>You can pay this owner.</a:t>
          </a:r>
        </a:p>
      </dsp:txBody>
      <dsp:txXfrm>
        <a:off x="4810220" y="5709522"/>
        <a:ext cx="893713" cy="554905"/>
      </dsp:txXfrm>
    </dsp:sp>
    <dsp:sp modelId="{913EDDDA-F6EC-4839-9551-AA631048EAD0}">
      <dsp:nvSpPr>
        <dsp:cNvPr id="0" name=""/>
        <dsp:cNvSpPr/>
      </dsp:nvSpPr>
      <dsp:spPr>
        <a:xfrm>
          <a:off x="5824334" y="4734880"/>
          <a:ext cx="928241" cy="589433"/>
        </a:xfrm>
        <a:prstGeom prst="roundRect">
          <a:avLst>
            <a:gd name="adj" fmla="val 10000"/>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sp>
    <dsp:sp modelId="{E5181B57-9C20-428C-B1DB-330480A7BF2D}">
      <dsp:nvSpPr>
        <dsp:cNvPr id="0" name=""/>
        <dsp:cNvSpPr/>
      </dsp:nvSpPr>
      <dsp:spPr>
        <a:xfrm>
          <a:off x="5927472" y="4832861"/>
          <a:ext cx="928241" cy="589433"/>
        </a:xfrm>
        <a:prstGeom prst="roundRect">
          <a:avLst>
            <a:gd name="adj" fmla="val 10000"/>
          </a:avLst>
        </a:prstGeom>
        <a:solidFill>
          <a:schemeClr val="lt1">
            <a:alpha val="90000"/>
            <a:hueOff val="0"/>
            <a:satOff val="0"/>
            <a:lumOff val="0"/>
            <a:alphaOff val="0"/>
          </a:schemeClr>
        </a:solidFill>
        <a:ln w="6350" cap="flat" cmpd="sng" algn="ctr">
          <a:solidFill>
            <a:schemeClr val="accent3"/>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kern="1200"/>
            <a:t>No</a:t>
          </a:r>
        </a:p>
      </dsp:txBody>
      <dsp:txXfrm>
        <a:off x="5944736" y="4850125"/>
        <a:ext cx="893713" cy="554905"/>
      </dsp:txXfrm>
    </dsp:sp>
    <dsp:sp modelId="{57733B21-4E53-4054-A0D5-CD4819832574}">
      <dsp:nvSpPr>
        <dsp:cNvPr id="0" name=""/>
        <dsp:cNvSpPr/>
      </dsp:nvSpPr>
      <dsp:spPr>
        <a:xfrm>
          <a:off x="5824334" y="5594277"/>
          <a:ext cx="928241" cy="589433"/>
        </a:xfrm>
        <a:prstGeom prst="roundRect">
          <a:avLst>
            <a:gd name="adj" fmla="val 10000"/>
          </a:avLst>
        </a:prstGeom>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a:scene3d>
          <a:camera prst="orthographicFront"/>
          <a:lightRig rig="flat" dir="t"/>
        </a:scene3d>
        <a:sp3d/>
      </dsp:spPr>
      <dsp:style>
        <a:lnRef idx="1">
          <a:schemeClr val="accent2"/>
        </a:lnRef>
        <a:fillRef idx="2">
          <a:schemeClr val="accent2"/>
        </a:fillRef>
        <a:effectRef idx="1">
          <a:schemeClr val="accent2"/>
        </a:effectRef>
        <a:fontRef idx="minor">
          <a:schemeClr val="dk1"/>
        </a:fontRef>
      </dsp:style>
    </dsp:sp>
    <dsp:sp modelId="{FD7CED38-76FF-49C8-8179-F82812E77090}">
      <dsp:nvSpPr>
        <dsp:cNvPr id="0" name=""/>
        <dsp:cNvSpPr/>
      </dsp:nvSpPr>
      <dsp:spPr>
        <a:xfrm>
          <a:off x="5927472" y="5692258"/>
          <a:ext cx="928241" cy="589433"/>
        </a:xfrm>
        <a:prstGeom prst="roundRect">
          <a:avLst>
            <a:gd name="adj" fmla="val 10000"/>
          </a:avLst>
        </a:prstGeom>
        <a:solidFill>
          <a:schemeClr val="lt1">
            <a:alpha val="90000"/>
            <a:hueOff val="0"/>
            <a:satOff val="0"/>
            <a:lumOff val="0"/>
            <a:alphaOff val="0"/>
          </a:schemeClr>
        </a:solidFill>
        <a:ln w="6350" cap="flat" cmpd="sng" algn="ctr">
          <a:solidFill>
            <a:schemeClr val="accent2"/>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kern="1200"/>
            <a:t>You cannot pay this owner until you have their W-9.</a:t>
          </a:r>
        </a:p>
      </dsp:txBody>
      <dsp:txXfrm>
        <a:off x="5944736" y="5709522"/>
        <a:ext cx="893713" cy="55490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E5589D-DA03-46F6-BCE4-02000666191B}">
      <dsp:nvSpPr>
        <dsp:cNvPr id="0" name=""/>
        <dsp:cNvSpPr/>
      </dsp:nvSpPr>
      <dsp:spPr>
        <a:xfrm rot="16200000">
          <a:off x="-2289177" y="2290732"/>
          <a:ext cx="6309360" cy="1727894"/>
        </a:xfrm>
        <a:prstGeom prst="rect">
          <a:avLst/>
        </a:prstGeom>
        <a:solidFill>
          <a:srgbClr val="F3A447">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0" rIns="50800" bIns="0" numCol="1" spcCol="1270" anchor="t" anchorCtr="0">
          <a:noAutofit/>
        </a:bodyPr>
        <a:lstStyle/>
        <a:p>
          <a:pPr marL="0" lvl="0" indent="0" algn="l" defTabSz="444500">
            <a:lnSpc>
              <a:spcPct val="90000"/>
            </a:lnSpc>
            <a:spcBef>
              <a:spcPct val="0"/>
            </a:spcBef>
            <a:spcAft>
              <a:spcPct val="35000"/>
            </a:spcAft>
            <a:buNone/>
          </a:pPr>
          <a:endParaRPr lang="en-US" sz="1000" kern="1200">
            <a:solidFill>
              <a:sysClr val="windowText" lastClr="000000">
                <a:lumMod val="75000"/>
                <a:lumOff val="25000"/>
              </a:sysClr>
            </a:solidFill>
            <a:latin typeface="Calibri" panose="020F0502020204030204"/>
            <a:ea typeface="+mn-ea"/>
            <a:cs typeface="+mn-cs"/>
          </a:endParaRPr>
        </a:p>
        <a:p>
          <a:pPr marL="0" lvl="0" indent="0" algn="l" defTabSz="444500">
            <a:lnSpc>
              <a:spcPct val="90000"/>
            </a:lnSpc>
            <a:spcBef>
              <a:spcPct val="0"/>
            </a:spcBef>
            <a:spcAft>
              <a:spcPct val="35000"/>
            </a:spcAft>
            <a:buNone/>
          </a:pPr>
          <a:r>
            <a:rPr lang="en-US" sz="1000" b="1" kern="1200">
              <a:solidFill>
                <a:sysClr val="windowText" lastClr="000000">
                  <a:lumMod val="75000"/>
                  <a:lumOff val="25000"/>
                </a:sysClr>
              </a:solidFill>
              <a:latin typeface="Calibri" panose="020F0502020204030204"/>
              <a:ea typeface="+mn-ea"/>
              <a:cs typeface="+mn-cs"/>
            </a:rPr>
            <a:t>Owners</a:t>
          </a:r>
        </a:p>
        <a:p>
          <a:pPr marL="57150" lvl="1" indent="-57150" algn="l" defTabSz="355600">
            <a:lnSpc>
              <a:spcPct val="90000"/>
            </a:lnSpc>
            <a:spcBef>
              <a:spcPct val="0"/>
            </a:spcBef>
            <a:spcAft>
              <a:spcPct val="15000"/>
            </a:spcAft>
            <a:buChar char="•"/>
          </a:pPr>
          <a:r>
            <a:rPr lang="en-US" sz="800" kern="1200">
              <a:solidFill>
                <a:sysClr val="windowText" lastClr="000000">
                  <a:lumMod val="75000"/>
                  <a:lumOff val="25000"/>
                </a:sysClr>
              </a:solidFill>
              <a:latin typeface="Calibri" panose="020F0502020204030204"/>
              <a:ea typeface="+mn-ea"/>
              <a:cs typeface="+mn-cs"/>
            </a:rPr>
            <a:t>Owners must use the </a:t>
          </a:r>
          <a:r>
            <a:rPr lang="en-US" sz="800" b="1" kern="1200">
              <a:solidFill>
                <a:srgbClr val="8162AE"/>
              </a:solidFill>
              <a:latin typeface="Calibri" panose="020F0502020204030204"/>
              <a:ea typeface="+mn-ea"/>
              <a:cs typeface="+mn-cs"/>
            </a:rPr>
            <a:t>VAWA Lease Addendum</a:t>
          </a:r>
          <a:r>
            <a:rPr lang="en-US" sz="800" kern="1200">
              <a:solidFill>
                <a:sysClr val="windowText" lastClr="000000">
                  <a:lumMod val="75000"/>
                  <a:lumOff val="25000"/>
                </a:sysClr>
              </a:solidFill>
              <a:latin typeface="Calibri" panose="020F0502020204030204"/>
              <a:ea typeface="+mn-ea"/>
              <a:cs typeface="+mn-cs"/>
            </a:rPr>
            <a:t>. The Addendum incorporates eviction prohibitions, lease construction provisions, and confidentiality requirements for documentation submitted by survivors requesting emergency transfers and of each survivor's housing location. </a:t>
          </a:r>
        </a:p>
        <a:p>
          <a:pPr marL="57150" lvl="1" indent="-57150" algn="l" defTabSz="311150">
            <a:lnSpc>
              <a:spcPct val="90000"/>
            </a:lnSpc>
            <a:spcBef>
              <a:spcPct val="0"/>
            </a:spcBef>
            <a:spcAft>
              <a:spcPct val="15000"/>
            </a:spcAft>
            <a:buChar char="•"/>
          </a:pPr>
          <a:endParaRPr lang="en-US" sz="700" kern="1200">
            <a:solidFill>
              <a:sysClr val="windowText" lastClr="000000">
                <a:lumMod val="75000"/>
                <a:lumOff val="2500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en-US" sz="800" kern="1200">
              <a:solidFill>
                <a:sysClr val="windowText" lastClr="000000">
                  <a:lumMod val="75000"/>
                  <a:lumOff val="25000"/>
                </a:sysClr>
              </a:solidFill>
              <a:latin typeface="Calibri" panose="020F0502020204030204"/>
              <a:ea typeface="+mn-ea"/>
              <a:cs typeface="+mn-cs"/>
            </a:rPr>
            <a:t>The </a:t>
          </a:r>
          <a:r>
            <a:rPr lang="en-US" sz="800" b="1" kern="1200">
              <a:solidFill>
                <a:srgbClr val="8162AE"/>
              </a:solidFill>
              <a:latin typeface="Calibri" panose="020F0502020204030204"/>
              <a:ea typeface="+mn-ea"/>
              <a:cs typeface="+mn-cs"/>
            </a:rPr>
            <a:t>VAWA Lease Addendum</a:t>
          </a:r>
          <a:r>
            <a:rPr lang="en-US" sz="800" kern="1200">
              <a:solidFill>
                <a:sysClr val="windowText" lastClr="000000">
                  <a:lumMod val="75000"/>
                  <a:lumOff val="25000"/>
                </a:sysClr>
              </a:solidFill>
              <a:latin typeface="Calibri" panose="020F0502020204030204"/>
              <a:ea typeface="+mn-ea"/>
              <a:cs typeface="+mn-cs"/>
            </a:rPr>
            <a:t> provides that a survivor may terminate their lease without penalty if they meet emergency transfer requirements.</a:t>
          </a:r>
        </a:p>
        <a:p>
          <a:pPr marL="57150" lvl="1" indent="-57150" algn="l" defTabSz="311150">
            <a:lnSpc>
              <a:spcPct val="90000"/>
            </a:lnSpc>
            <a:spcBef>
              <a:spcPct val="0"/>
            </a:spcBef>
            <a:spcAft>
              <a:spcPct val="15000"/>
            </a:spcAft>
            <a:buChar char="•"/>
          </a:pPr>
          <a:endParaRPr lang="en-US" sz="700" kern="1200">
            <a:solidFill>
              <a:sysClr val="windowText" lastClr="000000">
                <a:lumMod val="75000"/>
                <a:lumOff val="2500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en-US" sz="800" kern="1200">
              <a:solidFill>
                <a:sysClr val="windowText" lastClr="000000">
                  <a:lumMod val="75000"/>
                  <a:lumOff val="25000"/>
                </a:sysClr>
              </a:solidFill>
              <a:latin typeface="Calibri" panose="020F0502020204030204"/>
              <a:ea typeface="+mn-ea"/>
              <a:cs typeface="+mn-cs"/>
            </a:rPr>
            <a:t>Owners must provide the </a:t>
          </a:r>
          <a:r>
            <a:rPr lang="en-US" sz="800" b="1" kern="1200">
              <a:solidFill>
                <a:srgbClr val="8162AE"/>
              </a:solidFill>
              <a:latin typeface="Calibri" panose="020F0502020204030204"/>
              <a:ea typeface="+mn-ea"/>
              <a:cs typeface="+mn-cs"/>
            </a:rPr>
            <a:t>VAWA Notice of Occupancy Rights</a:t>
          </a:r>
          <a:r>
            <a:rPr lang="en-US" sz="800" kern="1200">
              <a:solidFill>
                <a:sysClr val="windowText" lastClr="000000">
                  <a:lumMod val="75000"/>
                  <a:lumOff val="25000"/>
                </a:sysClr>
              </a:solidFill>
              <a:latin typeface="Calibri" panose="020F0502020204030204"/>
              <a:ea typeface="+mn-ea"/>
              <a:cs typeface="+mn-cs"/>
            </a:rPr>
            <a:t> and </a:t>
          </a:r>
          <a:r>
            <a:rPr lang="en-US" sz="800" b="1" kern="1200">
              <a:solidFill>
                <a:srgbClr val="8162AE"/>
              </a:solidFill>
              <a:latin typeface="Calibri" panose="020F0502020204030204"/>
              <a:ea typeface="+mn-ea"/>
              <a:cs typeface="+mn-cs"/>
            </a:rPr>
            <a:t>VAWA Certification Form</a:t>
          </a:r>
          <a:r>
            <a:rPr lang="en-US" sz="800" kern="1200">
              <a:solidFill>
                <a:srgbClr val="8162AE"/>
              </a:solidFill>
              <a:latin typeface="Calibri" panose="020F0502020204030204"/>
              <a:ea typeface="+mn-ea"/>
              <a:cs typeface="+mn-cs"/>
            </a:rPr>
            <a:t> </a:t>
          </a:r>
          <a:r>
            <a:rPr lang="en-US" sz="800" kern="1200">
              <a:solidFill>
                <a:sysClr val="windowText" lastClr="000000">
                  <a:lumMod val="75000"/>
                  <a:lumOff val="25000"/>
                </a:sysClr>
              </a:solidFill>
              <a:latin typeface="Calibri" panose="020F0502020204030204"/>
              <a:ea typeface="+mn-ea"/>
              <a:cs typeface="+mn-cs"/>
            </a:rPr>
            <a:t>with any notification of eviction they provide to the household. </a:t>
          </a:r>
        </a:p>
        <a:p>
          <a:pPr marL="57150" lvl="1" indent="-57150" algn="l" defTabSz="311150">
            <a:lnSpc>
              <a:spcPct val="90000"/>
            </a:lnSpc>
            <a:spcBef>
              <a:spcPct val="0"/>
            </a:spcBef>
            <a:spcAft>
              <a:spcPct val="15000"/>
            </a:spcAft>
            <a:buChar char="•"/>
          </a:pPr>
          <a:endParaRPr lang="en-US" sz="700" kern="1200">
            <a:solidFill>
              <a:sysClr val="windowText" lastClr="000000">
                <a:lumMod val="75000"/>
                <a:lumOff val="2500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en-US" sz="800" kern="1200">
              <a:solidFill>
                <a:sysClr val="windowText" lastClr="000000">
                  <a:lumMod val="75000"/>
                  <a:lumOff val="25000"/>
                </a:sysClr>
              </a:solidFill>
              <a:latin typeface="Calibri" panose="020F0502020204030204"/>
              <a:ea typeface="+mn-ea"/>
              <a:cs typeface="+mn-cs"/>
            </a:rPr>
            <a:t>Owners may bifurcate a lease to evict an accused perpetrator without regard to whether the accused perpetrator is a signatory to the lease and without evicting or otherwise penalizing the survivor or other beneficiaries</a:t>
          </a:r>
        </a:p>
        <a:p>
          <a:pPr marL="57150" lvl="1" indent="-57150" algn="l" defTabSz="311150">
            <a:lnSpc>
              <a:spcPct val="90000"/>
            </a:lnSpc>
            <a:spcBef>
              <a:spcPct val="0"/>
            </a:spcBef>
            <a:spcAft>
              <a:spcPct val="15000"/>
            </a:spcAft>
            <a:buChar char="•"/>
          </a:pPr>
          <a:endParaRPr lang="en-US" sz="700" kern="1200">
            <a:solidFill>
              <a:sysClr val="windowText" lastClr="000000">
                <a:lumMod val="75000"/>
                <a:lumOff val="2500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en-US" sz="800" kern="1200">
              <a:solidFill>
                <a:sysClr val="windowText" lastClr="000000">
                  <a:lumMod val="75000"/>
                  <a:lumOff val="25000"/>
                </a:sysClr>
              </a:solidFill>
              <a:latin typeface="Calibri" panose="020F0502020204030204"/>
              <a:ea typeface="+mn-ea"/>
              <a:cs typeface="+mn-cs"/>
            </a:rPr>
            <a:t>If an owner will bifurcate a lease, they must do so in accordance with Federal, State, or local law for lease termination.</a:t>
          </a:r>
        </a:p>
      </dsp:txBody>
      <dsp:txXfrm rot="5400000">
        <a:off x="1556" y="-1"/>
        <a:ext cx="1727894" cy="6309360"/>
      </dsp:txXfrm>
    </dsp:sp>
    <dsp:sp modelId="{55C67DBF-395E-43BB-8944-B37A86AFCD7E}">
      <dsp:nvSpPr>
        <dsp:cNvPr id="0" name=""/>
        <dsp:cNvSpPr/>
      </dsp:nvSpPr>
      <dsp:spPr>
        <a:xfrm rot="16200000">
          <a:off x="-431691" y="2290732"/>
          <a:ext cx="6309360" cy="1727894"/>
        </a:xfrm>
        <a:prstGeom prst="rect">
          <a:avLst/>
        </a:prstGeom>
        <a:solidFill>
          <a:srgbClr val="E7BC29">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3500" bIns="0" numCol="1" spcCol="1270" anchor="t" anchorCtr="0">
          <a:noAutofit/>
        </a:bodyPr>
        <a:lstStyle/>
        <a:p>
          <a:pPr marL="0" lvl="0" indent="0" algn="l" defTabSz="444500">
            <a:lnSpc>
              <a:spcPct val="90000"/>
            </a:lnSpc>
            <a:spcBef>
              <a:spcPct val="0"/>
            </a:spcBef>
            <a:spcAft>
              <a:spcPct val="35000"/>
            </a:spcAft>
            <a:buNone/>
          </a:pPr>
          <a:endParaRPr lang="en-US" sz="1000" kern="1200">
            <a:solidFill>
              <a:sysClr val="windowText" lastClr="000000">
                <a:lumMod val="75000"/>
                <a:lumOff val="25000"/>
              </a:sysClr>
            </a:solidFill>
            <a:latin typeface="Calibri" panose="020F0502020204030204"/>
            <a:ea typeface="+mn-ea"/>
            <a:cs typeface="+mn-cs"/>
          </a:endParaRPr>
        </a:p>
        <a:p>
          <a:pPr marL="0" lvl="0" indent="0" algn="l" defTabSz="444500">
            <a:lnSpc>
              <a:spcPct val="90000"/>
            </a:lnSpc>
            <a:spcBef>
              <a:spcPct val="0"/>
            </a:spcBef>
            <a:spcAft>
              <a:spcPct val="35000"/>
            </a:spcAft>
            <a:buNone/>
          </a:pPr>
          <a:r>
            <a:rPr lang="en-US" sz="1000" b="1" kern="1200">
              <a:solidFill>
                <a:sysClr val="windowText" lastClr="000000">
                  <a:lumMod val="75000"/>
                  <a:lumOff val="25000"/>
                </a:sysClr>
              </a:solidFill>
              <a:latin typeface="Calibri" panose="020F0502020204030204"/>
              <a:ea typeface="+mn-ea"/>
              <a:cs typeface="+mn-cs"/>
            </a:rPr>
            <a:t>Survivors</a:t>
          </a:r>
        </a:p>
        <a:p>
          <a:pPr marL="57150" lvl="1" indent="-57150" algn="l" defTabSz="355600">
            <a:lnSpc>
              <a:spcPct val="90000"/>
            </a:lnSpc>
            <a:spcBef>
              <a:spcPct val="0"/>
            </a:spcBef>
            <a:spcAft>
              <a:spcPct val="15000"/>
            </a:spcAft>
            <a:buChar char="•"/>
          </a:pPr>
          <a:r>
            <a:rPr lang="en-US" sz="800" kern="1200">
              <a:solidFill>
                <a:sysClr val="windowText" lastClr="000000">
                  <a:lumMod val="75000"/>
                  <a:lumOff val="25000"/>
                </a:sysClr>
              </a:solidFill>
              <a:latin typeface="Calibri" panose="020F0502020204030204"/>
              <a:ea typeface="+mn-ea"/>
              <a:cs typeface="+mn-cs"/>
            </a:rPr>
            <a:t>The Violence Against Women Act (VAWA) provides protections and remedies for program applicants and beneficiaries who survived domestic violence, dating violence, sexual assault, or stalking.</a:t>
          </a:r>
        </a:p>
        <a:p>
          <a:pPr marL="57150" lvl="1" indent="-57150" algn="l" defTabSz="311150">
            <a:lnSpc>
              <a:spcPct val="90000"/>
            </a:lnSpc>
            <a:spcBef>
              <a:spcPct val="0"/>
            </a:spcBef>
            <a:spcAft>
              <a:spcPct val="15000"/>
            </a:spcAft>
            <a:buChar char="•"/>
          </a:pPr>
          <a:endParaRPr lang="en-US" sz="700" kern="1200">
            <a:solidFill>
              <a:sysClr val="windowText" lastClr="000000">
                <a:lumMod val="75000"/>
                <a:lumOff val="2500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en-US" sz="800" kern="1200">
              <a:solidFill>
                <a:sysClr val="windowText" lastClr="000000">
                  <a:lumMod val="75000"/>
                  <a:lumOff val="25000"/>
                </a:sysClr>
              </a:solidFill>
              <a:latin typeface="Calibri" panose="020F0502020204030204"/>
              <a:ea typeface="+mn-ea"/>
              <a:cs typeface="+mn-cs"/>
            </a:rPr>
            <a:t>Despite the name of this law, program applicants and beneficiaries may avail themselves of VAWA protections and remedies regardless of their sex, gender identity, or sexual orientation. Survivors cannot be discriminated against on the basis of any protected characteristic, including race, color, national origin, religion, sex, familial status, disability, or age.</a:t>
          </a:r>
        </a:p>
        <a:p>
          <a:pPr marL="57150" lvl="1" indent="-57150" algn="l" defTabSz="311150">
            <a:lnSpc>
              <a:spcPct val="90000"/>
            </a:lnSpc>
            <a:spcBef>
              <a:spcPct val="0"/>
            </a:spcBef>
            <a:spcAft>
              <a:spcPct val="15000"/>
            </a:spcAft>
            <a:buChar char="•"/>
          </a:pPr>
          <a:endParaRPr lang="en-US" sz="700" kern="1200">
            <a:solidFill>
              <a:sysClr val="windowText" lastClr="000000">
                <a:lumMod val="75000"/>
                <a:lumOff val="2500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en-US" sz="800" kern="1200">
              <a:solidFill>
                <a:sysClr val="windowText" lastClr="000000">
                  <a:lumMod val="75000"/>
                  <a:lumOff val="25000"/>
                </a:sysClr>
              </a:solidFill>
              <a:latin typeface="Calibri" panose="020F0502020204030204"/>
              <a:ea typeface="+mn-ea"/>
              <a:cs typeface="+mn-cs"/>
            </a:rPr>
            <a:t>In the event of an incident of domestic violence, dating violence, sexual assault, or stalking, Project Sponsors may request, in writing, that the survivor submit documentation as specified under Permissible Documentation. </a:t>
          </a:r>
        </a:p>
        <a:p>
          <a:pPr marL="57150" lvl="1" indent="-57150" algn="l" defTabSz="311150">
            <a:lnSpc>
              <a:spcPct val="90000"/>
            </a:lnSpc>
            <a:spcBef>
              <a:spcPct val="0"/>
            </a:spcBef>
            <a:spcAft>
              <a:spcPct val="15000"/>
            </a:spcAft>
            <a:buChar char="•"/>
          </a:pPr>
          <a:endParaRPr lang="en-US" sz="700" kern="1200">
            <a:solidFill>
              <a:sysClr val="windowText" lastClr="000000">
                <a:lumMod val="75000"/>
                <a:lumOff val="2500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en-US" sz="800" kern="1200">
              <a:solidFill>
                <a:sysClr val="windowText" lastClr="000000">
                  <a:lumMod val="75000"/>
                  <a:lumOff val="25000"/>
                </a:sysClr>
              </a:solidFill>
              <a:latin typeface="Calibri" panose="020F0502020204030204"/>
              <a:ea typeface="+mn-ea"/>
              <a:cs typeface="+mn-cs"/>
            </a:rPr>
            <a:t>If the survivor requests protections, they must submit the request to the Project Sponsor. The Project Sponsor will work with the owner to facilitate protections on the survivor's behalf. Project Sponsors must follow VAWA documentation and confidentiality requirements.</a:t>
          </a:r>
        </a:p>
        <a:p>
          <a:pPr marL="57150" lvl="1" indent="-57150" algn="l" defTabSz="311150">
            <a:lnSpc>
              <a:spcPct val="90000"/>
            </a:lnSpc>
            <a:spcBef>
              <a:spcPct val="0"/>
            </a:spcBef>
            <a:spcAft>
              <a:spcPct val="15000"/>
            </a:spcAft>
            <a:buChar char="•"/>
          </a:pPr>
          <a:endParaRPr lang="en-US" sz="700" kern="1200">
            <a:solidFill>
              <a:sysClr val="windowText" lastClr="000000">
                <a:lumMod val="75000"/>
                <a:lumOff val="2500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en-US" sz="800" kern="1200">
              <a:solidFill>
                <a:sysClr val="windowText" lastClr="000000">
                  <a:lumMod val="75000"/>
                  <a:lumOff val="25000"/>
                </a:sysClr>
              </a:solidFill>
              <a:latin typeface="Calibri" panose="020F0502020204030204"/>
              <a:ea typeface="+mn-ea"/>
              <a:cs typeface="+mn-cs"/>
            </a:rPr>
            <a:t>Project Sponsors also determine on a case-by-case basis whether to provide rental assistance to remaining beneficiaries if lease bifurcation or an emergency transfer results in division of the household. </a:t>
          </a:r>
        </a:p>
        <a:p>
          <a:pPr marL="57150" lvl="1" indent="-57150" algn="l" defTabSz="311150">
            <a:lnSpc>
              <a:spcPct val="90000"/>
            </a:lnSpc>
            <a:spcBef>
              <a:spcPct val="0"/>
            </a:spcBef>
            <a:spcAft>
              <a:spcPct val="15000"/>
            </a:spcAft>
            <a:buChar char="•"/>
          </a:pPr>
          <a:endParaRPr lang="en-US" sz="700" kern="1200">
            <a:solidFill>
              <a:sysClr val="windowText" lastClr="000000">
                <a:lumMod val="75000"/>
                <a:lumOff val="2500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en-US" sz="800" kern="1200">
              <a:solidFill>
                <a:sysClr val="windowText" lastClr="000000">
                  <a:lumMod val="75000"/>
                  <a:lumOff val="25000"/>
                </a:sysClr>
              </a:solidFill>
              <a:latin typeface="Calibri" panose="020F0502020204030204"/>
              <a:ea typeface="+mn-ea"/>
              <a:cs typeface="+mn-cs"/>
            </a:rPr>
            <a:t>Project Sponsors should undertake whatever actions permissible and feasible to assist the survivor to remain in their unit or transfer to a new unit, and for the Project Sponsor to bear the costs of any transfer, where permissible.</a:t>
          </a:r>
        </a:p>
      </dsp:txBody>
      <dsp:txXfrm rot="5400000">
        <a:off x="1859042" y="-1"/>
        <a:ext cx="1727894" cy="6309360"/>
      </dsp:txXfrm>
    </dsp:sp>
    <dsp:sp modelId="{76E4D4D8-AD0A-438D-A9D6-0A048FA28521}">
      <dsp:nvSpPr>
        <dsp:cNvPr id="0" name=""/>
        <dsp:cNvSpPr/>
      </dsp:nvSpPr>
      <dsp:spPr>
        <a:xfrm rot="16200000">
          <a:off x="1417319" y="2299208"/>
          <a:ext cx="6309360" cy="1710943"/>
        </a:xfrm>
        <a:prstGeom prst="rect">
          <a:avLst/>
        </a:prstGeom>
        <a:solidFill>
          <a:srgbClr val="D092A7">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0" rIns="50800" bIns="0" numCol="1" spcCol="1270" anchor="t" anchorCtr="0">
          <a:noAutofit/>
        </a:bodyPr>
        <a:lstStyle/>
        <a:p>
          <a:pPr marL="0" lvl="0" indent="0" algn="l" defTabSz="444500">
            <a:lnSpc>
              <a:spcPct val="90000"/>
            </a:lnSpc>
            <a:spcBef>
              <a:spcPct val="0"/>
            </a:spcBef>
            <a:spcAft>
              <a:spcPct val="35000"/>
            </a:spcAft>
            <a:buNone/>
          </a:pPr>
          <a:endParaRPr lang="en-US" sz="1000" kern="1200">
            <a:solidFill>
              <a:sysClr val="windowText" lastClr="000000">
                <a:lumMod val="75000"/>
                <a:lumOff val="25000"/>
              </a:sysClr>
            </a:solidFill>
            <a:latin typeface="Calibri" panose="020F0502020204030204"/>
            <a:ea typeface="+mn-ea"/>
            <a:cs typeface="+mn-cs"/>
          </a:endParaRPr>
        </a:p>
        <a:p>
          <a:pPr marL="0" lvl="0" indent="0" algn="l" defTabSz="444500">
            <a:lnSpc>
              <a:spcPct val="90000"/>
            </a:lnSpc>
            <a:spcBef>
              <a:spcPct val="0"/>
            </a:spcBef>
            <a:spcAft>
              <a:spcPct val="35000"/>
            </a:spcAft>
            <a:buNone/>
          </a:pPr>
          <a:r>
            <a:rPr lang="en-US" sz="1000" b="1" kern="1200">
              <a:solidFill>
                <a:sysClr val="windowText" lastClr="000000">
                  <a:lumMod val="75000"/>
                  <a:lumOff val="25000"/>
                </a:sysClr>
              </a:solidFill>
              <a:latin typeface="Calibri" panose="020F0502020204030204"/>
              <a:ea typeface="+mn-ea"/>
              <a:cs typeface="+mn-cs"/>
            </a:rPr>
            <a:t>Grace Periods</a:t>
          </a:r>
        </a:p>
        <a:p>
          <a:pPr marL="57150" lvl="1" indent="-57150" algn="l" defTabSz="355600">
            <a:lnSpc>
              <a:spcPct val="90000"/>
            </a:lnSpc>
            <a:spcBef>
              <a:spcPct val="0"/>
            </a:spcBef>
            <a:spcAft>
              <a:spcPct val="15000"/>
            </a:spcAft>
            <a:buChar char="•"/>
          </a:pPr>
          <a:r>
            <a:rPr lang="en-US" sz="800" kern="1200">
              <a:solidFill>
                <a:sysClr val="windowText" lastClr="000000">
                  <a:lumMod val="75000"/>
                  <a:lumOff val="25000"/>
                </a:sysClr>
              </a:solidFill>
              <a:latin typeface="Calibri" panose="020F0502020204030204"/>
              <a:ea typeface="+mn-ea"/>
              <a:cs typeface="+mn-cs"/>
            </a:rPr>
            <a:t>Project Sponsors must collaborate with their AA to develop a reasonable survivor grace period policy for continued program participation by surviving or remaining household members. Among other considerations, the policy must address VAWA lease bifurcations where the accused perpetrator is the eligible individual and the survivor is a remaining beneficiary. </a:t>
          </a:r>
        </a:p>
        <a:p>
          <a:pPr marL="57150" lvl="1" indent="-57150" algn="l" defTabSz="311150">
            <a:lnSpc>
              <a:spcPct val="90000"/>
            </a:lnSpc>
            <a:spcBef>
              <a:spcPct val="0"/>
            </a:spcBef>
            <a:spcAft>
              <a:spcPct val="15000"/>
            </a:spcAft>
            <a:buChar char="•"/>
          </a:pPr>
          <a:endParaRPr lang="en-US" sz="700" kern="1200">
            <a:solidFill>
              <a:sysClr val="windowText" lastClr="000000">
                <a:lumMod val="75000"/>
                <a:lumOff val="2500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en-US" sz="800" kern="1200">
              <a:solidFill>
                <a:sysClr val="windowText" lastClr="000000">
                  <a:lumMod val="75000"/>
                  <a:lumOff val="25000"/>
                </a:sysClr>
              </a:solidFill>
              <a:latin typeface="Calibri" panose="020F0502020204030204"/>
              <a:ea typeface="+mn-ea"/>
              <a:cs typeface="+mn-cs"/>
            </a:rPr>
            <a:t>Project Sponsors must provide survivors and remaining beneficiaries a minimum of 90 calendar days and a maximum of 12 months from the date of lease bifurcation to establish eligibility for the DSHS HOPWA Program, establish eligibility for another housing program, or find alternative housing.</a:t>
          </a:r>
        </a:p>
        <a:p>
          <a:pPr marL="57150" lvl="1" indent="-57150" algn="l" defTabSz="311150">
            <a:lnSpc>
              <a:spcPct val="90000"/>
            </a:lnSpc>
            <a:spcBef>
              <a:spcPct val="0"/>
            </a:spcBef>
            <a:spcAft>
              <a:spcPct val="15000"/>
            </a:spcAft>
            <a:buChar char="•"/>
          </a:pPr>
          <a:endParaRPr lang="en-US" sz="700" kern="1200">
            <a:solidFill>
              <a:sysClr val="windowText" lastClr="000000">
                <a:lumMod val="75000"/>
                <a:lumOff val="2500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en-US" sz="800" kern="1200">
              <a:solidFill>
                <a:sysClr val="windowText" lastClr="000000">
                  <a:lumMod val="75000"/>
                  <a:lumOff val="25000"/>
                </a:sysClr>
              </a:solidFill>
              <a:latin typeface="Calibri" panose="020F0502020204030204"/>
              <a:ea typeface="+mn-ea"/>
              <a:cs typeface="+mn-cs"/>
            </a:rPr>
            <a:t>Project Sponsors must notify survivors and remaining beneficiaries of the duration of the grace period and may assist them with information on other available housing programs and with moving expenses.</a:t>
          </a:r>
        </a:p>
        <a:p>
          <a:pPr marL="57150" lvl="1" indent="-57150" algn="l" defTabSz="311150">
            <a:lnSpc>
              <a:spcPct val="90000"/>
            </a:lnSpc>
            <a:spcBef>
              <a:spcPct val="0"/>
            </a:spcBef>
            <a:spcAft>
              <a:spcPct val="15000"/>
            </a:spcAft>
            <a:buChar char="•"/>
          </a:pPr>
          <a:endParaRPr lang="en-US" sz="700" kern="1200">
            <a:solidFill>
              <a:sysClr val="windowText" lastClr="000000">
                <a:lumMod val="75000"/>
                <a:lumOff val="2500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en-US" sz="800" kern="1200">
              <a:solidFill>
                <a:sysClr val="windowText" lastClr="000000">
                  <a:lumMod val="75000"/>
                  <a:lumOff val="25000"/>
                </a:sysClr>
              </a:solidFill>
              <a:latin typeface="Calibri" panose="020F0502020204030204"/>
              <a:ea typeface="+mn-ea"/>
              <a:cs typeface="+mn-cs"/>
            </a:rPr>
            <a:t>Project Sponsors must provide housing assistance and supportive services to survivors and remaining beneficiaries during the grace period.</a:t>
          </a:r>
        </a:p>
      </dsp:txBody>
      <dsp:txXfrm rot="5400000">
        <a:off x="3716527" y="0"/>
        <a:ext cx="1710943" cy="6309360"/>
      </dsp:txXfrm>
    </dsp:sp>
    <dsp:sp modelId="{BA2E6380-8818-4947-A630-F3CD38E6C611}">
      <dsp:nvSpPr>
        <dsp:cNvPr id="0" name=""/>
        <dsp:cNvSpPr/>
      </dsp:nvSpPr>
      <dsp:spPr>
        <a:xfrm rot="16200000">
          <a:off x="3266331" y="2290732"/>
          <a:ext cx="6309360" cy="1727894"/>
        </a:xfrm>
        <a:prstGeom prst="rect">
          <a:avLst/>
        </a:prstGeom>
        <a:solidFill>
          <a:srgbClr val="9C85C0">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0" tIns="0" rIns="44450" bIns="0" numCol="1" spcCol="1270" anchor="t" anchorCtr="0">
          <a:noAutofit/>
        </a:bodyPr>
        <a:lstStyle/>
        <a:p>
          <a:pPr marL="0" lvl="0" indent="0" algn="l" defTabSz="444500">
            <a:lnSpc>
              <a:spcPct val="90000"/>
            </a:lnSpc>
            <a:spcBef>
              <a:spcPct val="0"/>
            </a:spcBef>
            <a:spcAft>
              <a:spcPct val="35000"/>
            </a:spcAft>
            <a:buNone/>
          </a:pPr>
          <a:endParaRPr lang="en-US" sz="1000" kern="1200">
            <a:solidFill>
              <a:sysClr val="windowText" lastClr="000000">
                <a:lumMod val="75000"/>
                <a:lumOff val="25000"/>
              </a:sysClr>
            </a:solidFill>
            <a:latin typeface="Calibri" panose="020F0502020204030204"/>
            <a:ea typeface="+mn-ea"/>
            <a:cs typeface="+mn-cs"/>
          </a:endParaRPr>
        </a:p>
        <a:p>
          <a:pPr marL="0" lvl="0" indent="0" algn="l" defTabSz="444500">
            <a:lnSpc>
              <a:spcPct val="90000"/>
            </a:lnSpc>
            <a:spcBef>
              <a:spcPct val="0"/>
            </a:spcBef>
            <a:spcAft>
              <a:spcPct val="35000"/>
            </a:spcAft>
            <a:buNone/>
          </a:pPr>
          <a:r>
            <a:rPr lang="en-US" sz="1000" b="1" kern="1200">
              <a:solidFill>
                <a:sysClr val="windowText" lastClr="000000">
                  <a:lumMod val="75000"/>
                  <a:lumOff val="25000"/>
                </a:sysClr>
              </a:solidFill>
              <a:latin typeface="Calibri" panose="020F0502020204030204"/>
              <a:ea typeface="+mn-ea"/>
              <a:cs typeface="+mn-cs"/>
            </a:rPr>
            <a:t>Notification Requirements</a:t>
          </a:r>
        </a:p>
        <a:p>
          <a:pPr marL="57150" lvl="1" indent="-57150" algn="l" defTabSz="355600">
            <a:lnSpc>
              <a:spcPct val="90000"/>
            </a:lnSpc>
            <a:spcBef>
              <a:spcPct val="0"/>
            </a:spcBef>
            <a:spcAft>
              <a:spcPct val="15000"/>
            </a:spcAft>
            <a:buChar char="•"/>
          </a:pPr>
          <a:r>
            <a:rPr lang="en-US" sz="800" kern="1200">
              <a:solidFill>
                <a:sysClr val="windowText" lastClr="000000">
                  <a:lumMod val="75000"/>
                  <a:lumOff val="25000"/>
                </a:sysClr>
              </a:solidFill>
              <a:latin typeface="Calibri" panose="020F0502020204030204"/>
              <a:ea typeface="+mn-ea"/>
              <a:cs typeface="+mn-cs"/>
            </a:rPr>
            <a:t>Project Sponsors must provide the </a:t>
          </a:r>
          <a:r>
            <a:rPr lang="en-US" sz="800" b="1" kern="1200">
              <a:solidFill>
                <a:srgbClr val="8162AE"/>
              </a:solidFill>
              <a:latin typeface="Calibri" panose="020F0502020204030204"/>
              <a:ea typeface="+mn-ea"/>
              <a:cs typeface="+mn-cs"/>
            </a:rPr>
            <a:t>VAWA Notice of Occupancy Rights</a:t>
          </a:r>
          <a:r>
            <a:rPr lang="en-US" sz="800" kern="1200">
              <a:solidFill>
                <a:sysClr val="windowText" lastClr="000000">
                  <a:lumMod val="75000"/>
                  <a:lumOff val="25000"/>
                </a:sysClr>
              </a:solidFill>
              <a:latin typeface="Calibri" panose="020F0502020204030204"/>
              <a:ea typeface="+mn-ea"/>
              <a:cs typeface="+mn-cs"/>
            </a:rPr>
            <a:t> and </a:t>
          </a:r>
          <a:r>
            <a:rPr lang="en-US" sz="800" b="1" kern="1200">
              <a:solidFill>
                <a:srgbClr val="8162AE"/>
              </a:solidFill>
              <a:latin typeface="Calibri" panose="020F0502020204030204"/>
              <a:ea typeface="+mn-ea"/>
              <a:cs typeface="+mn-cs"/>
            </a:rPr>
            <a:t>VAWA Certification Form</a:t>
          </a:r>
          <a:r>
            <a:rPr lang="en-US" sz="800" kern="1200">
              <a:solidFill>
                <a:sysClr val="windowText" lastClr="000000">
                  <a:lumMod val="75000"/>
                  <a:lumOff val="25000"/>
                </a:sysClr>
              </a:solidFill>
              <a:latin typeface="Calibri" panose="020F0502020204030204"/>
              <a:ea typeface="+mn-ea"/>
              <a:cs typeface="+mn-cs"/>
            </a:rPr>
            <a:t> to households at the following times: When approving or denying rental assistance, with any notification of termination of rental assistance, and during annual recertifications. </a:t>
          </a:r>
        </a:p>
        <a:p>
          <a:pPr marL="57150" lvl="1" indent="-57150" algn="l" defTabSz="311150">
            <a:lnSpc>
              <a:spcPct val="90000"/>
            </a:lnSpc>
            <a:spcBef>
              <a:spcPct val="0"/>
            </a:spcBef>
            <a:spcAft>
              <a:spcPct val="15000"/>
            </a:spcAft>
            <a:buChar char="•"/>
          </a:pPr>
          <a:endParaRPr lang="en-US" sz="700" kern="1200">
            <a:solidFill>
              <a:sysClr val="windowText" lastClr="000000">
                <a:lumMod val="75000"/>
                <a:lumOff val="2500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en-US" sz="800" kern="1200">
              <a:solidFill>
                <a:sysClr val="windowText" lastClr="000000">
                  <a:lumMod val="75000"/>
                  <a:lumOff val="25000"/>
                </a:sysClr>
              </a:solidFill>
              <a:latin typeface="Calibri" panose="020F0502020204030204"/>
              <a:ea typeface="+mn-ea"/>
              <a:cs typeface="+mn-cs"/>
            </a:rPr>
            <a:t>The Notice and Certification must be made available in multiple languages.</a:t>
          </a:r>
        </a:p>
        <a:p>
          <a:pPr marL="57150" lvl="1" indent="-57150" algn="l" defTabSz="311150">
            <a:lnSpc>
              <a:spcPct val="90000"/>
            </a:lnSpc>
            <a:spcBef>
              <a:spcPct val="0"/>
            </a:spcBef>
            <a:spcAft>
              <a:spcPct val="15000"/>
            </a:spcAft>
            <a:buChar char="•"/>
          </a:pPr>
          <a:endParaRPr lang="en-US" sz="700" kern="1200">
            <a:solidFill>
              <a:sysClr val="windowText" lastClr="000000">
                <a:lumMod val="75000"/>
                <a:lumOff val="2500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en-US" sz="800" kern="1200">
              <a:solidFill>
                <a:sysClr val="windowText" lastClr="000000">
                  <a:lumMod val="75000"/>
                  <a:lumOff val="25000"/>
                </a:sysClr>
              </a:solidFill>
              <a:latin typeface="Calibri" panose="020F0502020204030204"/>
              <a:ea typeface="+mn-ea"/>
              <a:cs typeface="+mn-cs"/>
            </a:rPr>
            <a:t>The </a:t>
          </a:r>
          <a:r>
            <a:rPr lang="en-US" sz="800" b="1" kern="1200">
              <a:solidFill>
                <a:srgbClr val="8162AE"/>
              </a:solidFill>
              <a:latin typeface="Calibri" panose="020F0502020204030204"/>
              <a:ea typeface="+mn-ea"/>
              <a:cs typeface="+mn-cs"/>
            </a:rPr>
            <a:t>VAWA Notice of Occupancy Rights</a:t>
          </a:r>
          <a:r>
            <a:rPr lang="en-US" sz="800" kern="1200">
              <a:solidFill>
                <a:sysClr val="windowText" lastClr="000000">
                  <a:lumMod val="75000"/>
                  <a:lumOff val="25000"/>
                </a:sysClr>
              </a:solidFill>
              <a:latin typeface="Calibri" panose="020F0502020204030204"/>
              <a:ea typeface="+mn-ea"/>
              <a:cs typeface="+mn-cs"/>
            </a:rPr>
            <a:t> explains the VAWA protections and any limitations on those protections. </a:t>
          </a:r>
        </a:p>
        <a:p>
          <a:pPr marL="57150" lvl="1" indent="-57150" algn="l" defTabSz="311150">
            <a:lnSpc>
              <a:spcPct val="90000"/>
            </a:lnSpc>
            <a:spcBef>
              <a:spcPct val="0"/>
            </a:spcBef>
            <a:spcAft>
              <a:spcPct val="15000"/>
            </a:spcAft>
            <a:buChar char="•"/>
          </a:pPr>
          <a:endParaRPr lang="en-US" sz="700" kern="1200">
            <a:solidFill>
              <a:sysClr val="windowText" lastClr="000000">
                <a:lumMod val="75000"/>
                <a:lumOff val="2500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en-US" sz="800" kern="1200">
              <a:solidFill>
                <a:sysClr val="windowText" lastClr="000000">
                  <a:lumMod val="75000"/>
                  <a:lumOff val="25000"/>
                </a:sysClr>
              </a:solidFill>
              <a:latin typeface="Calibri" panose="020F0502020204030204"/>
              <a:ea typeface="+mn-ea"/>
              <a:cs typeface="+mn-cs"/>
            </a:rPr>
            <a:t>In the event of an incident of domestic violence, dating violence, sexual assault, or stalking, Project Sponsors may request, in writing, that the survivor submit documentation as specified under Permissible Documentation. </a:t>
          </a:r>
        </a:p>
      </dsp:txBody>
      <dsp:txXfrm rot="5400000">
        <a:off x="5557064" y="-1"/>
        <a:ext cx="1727894" cy="6309360"/>
      </dsp:txXfrm>
    </dsp:sp>
    <dsp:sp modelId="{D8A4076F-9452-4CAA-A3D7-AF5D4514B86A}">
      <dsp:nvSpPr>
        <dsp:cNvPr id="0" name=""/>
        <dsp:cNvSpPr/>
      </dsp:nvSpPr>
      <dsp:spPr>
        <a:xfrm rot="16200000">
          <a:off x="5123817" y="2290732"/>
          <a:ext cx="6309360" cy="1727894"/>
        </a:xfrm>
        <a:prstGeom prst="rect">
          <a:avLst/>
        </a:prstGeom>
        <a:solidFill>
          <a:srgbClr val="809EC2">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0" rIns="50800" bIns="0" numCol="1" spcCol="1270" anchor="t" anchorCtr="0">
          <a:noAutofit/>
        </a:bodyPr>
        <a:lstStyle/>
        <a:p>
          <a:pPr marL="0" lvl="0" indent="0" algn="l" defTabSz="444500">
            <a:lnSpc>
              <a:spcPct val="90000"/>
            </a:lnSpc>
            <a:spcBef>
              <a:spcPct val="0"/>
            </a:spcBef>
            <a:spcAft>
              <a:spcPct val="35000"/>
            </a:spcAft>
            <a:buNone/>
          </a:pPr>
          <a:endParaRPr lang="en-US" sz="1000" kern="1200">
            <a:solidFill>
              <a:sysClr val="windowText" lastClr="000000">
                <a:lumMod val="75000"/>
                <a:lumOff val="25000"/>
              </a:sysClr>
            </a:solidFill>
            <a:latin typeface="Calibri" panose="020F0502020204030204"/>
            <a:ea typeface="+mn-ea"/>
            <a:cs typeface="+mn-cs"/>
          </a:endParaRPr>
        </a:p>
        <a:p>
          <a:pPr marL="0" lvl="0" indent="0" algn="l" defTabSz="444500">
            <a:lnSpc>
              <a:spcPct val="90000"/>
            </a:lnSpc>
            <a:spcBef>
              <a:spcPct val="0"/>
            </a:spcBef>
            <a:spcAft>
              <a:spcPct val="35000"/>
            </a:spcAft>
            <a:buNone/>
          </a:pPr>
          <a:r>
            <a:rPr lang="en-US" sz="1000" b="1" kern="1200">
              <a:solidFill>
                <a:sysClr val="windowText" lastClr="000000">
                  <a:lumMod val="75000"/>
                  <a:lumOff val="25000"/>
                </a:sysClr>
              </a:solidFill>
              <a:latin typeface="Calibri" panose="020F0502020204030204"/>
              <a:ea typeface="+mn-ea"/>
              <a:cs typeface="+mn-cs"/>
            </a:rPr>
            <a:t>Emergency Transfers</a:t>
          </a:r>
        </a:p>
        <a:p>
          <a:pPr marL="57150" lvl="1" indent="-57150" algn="l" defTabSz="355600">
            <a:lnSpc>
              <a:spcPct val="90000"/>
            </a:lnSpc>
            <a:spcBef>
              <a:spcPct val="0"/>
            </a:spcBef>
            <a:spcAft>
              <a:spcPct val="15000"/>
            </a:spcAft>
            <a:buChar char="•"/>
          </a:pPr>
          <a:r>
            <a:rPr lang="en-US" sz="800" kern="1200">
              <a:solidFill>
                <a:sysClr val="windowText" lastClr="000000">
                  <a:lumMod val="75000"/>
                  <a:lumOff val="25000"/>
                </a:sysClr>
              </a:solidFill>
              <a:latin typeface="Calibri" panose="020F0502020204030204"/>
              <a:ea typeface="+mn-ea"/>
              <a:cs typeface="+mn-cs"/>
            </a:rPr>
            <a:t>Project Sponsors must adopt the </a:t>
          </a:r>
          <a:r>
            <a:rPr lang="en-US" sz="800" b="1" kern="1200">
              <a:solidFill>
                <a:srgbClr val="8162AE"/>
              </a:solidFill>
              <a:latin typeface="Calibri" panose="020F0502020204030204"/>
              <a:ea typeface="+mn-ea"/>
              <a:cs typeface="+mn-cs"/>
            </a:rPr>
            <a:t>VAWA Emergency Transfer Plan</a:t>
          </a:r>
          <a:r>
            <a:rPr lang="en-US" sz="800" kern="1200">
              <a:solidFill>
                <a:sysClr val="windowText" lastClr="000000">
                  <a:lumMod val="75000"/>
                  <a:lumOff val="25000"/>
                </a:sysClr>
              </a:solidFill>
              <a:latin typeface="Calibri" panose="020F0502020204030204"/>
              <a:ea typeface="+mn-ea"/>
              <a:cs typeface="+mn-cs"/>
            </a:rPr>
            <a:t>. The Plan describes the procedure for survivors who meet emergency transfer requirements to move quickly with continued rental assistance. Project Sponsors must make the Plan available upon request and, when feasible, must make its plan publicly available.</a:t>
          </a:r>
        </a:p>
        <a:p>
          <a:pPr marL="57150" lvl="1" indent="-57150" algn="l" defTabSz="311150">
            <a:lnSpc>
              <a:spcPct val="90000"/>
            </a:lnSpc>
            <a:spcBef>
              <a:spcPct val="0"/>
            </a:spcBef>
            <a:spcAft>
              <a:spcPct val="15000"/>
            </a:spcAft>
            <a:buChar char="•"/>
          </a:pPr>
          <a:endParaRPr lang="en-US" sz="700" kern="1200">
            <a:solidFill>
              <a:sysClr val="windowText" lastClr="000000">
                <a:lumMod val="75000"/>
                <a:lumOff val="2500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en-US" sz="800" kern="1200">
              <a:solidFill>
                <a:sysClr val="windowText" lastClr="000000">
                  <a:lumMod val="75000"/>
                  <a:lumOff val="25000"/>
                </a:sysClr>
              </a:solidFill>
              <a:latin typeface="Calibri" panose="020F0502020204030204"/>
              <a:ea typeface="+mn-ea"/>
              <a:cs typeface="+mn-cs"/>
            </a:rPr>
            <a:t>To qualify for emergency transfer, the survivor must request a transfer in writing using the </a:t>
          </a:r>
          <a:r>
            <a:rPr lang="en-US" sz="800" b="1" kern="1200">
              <a:solidFill>
                <a:srgbClr val="8162AE"/>
              </a:solidFill>
              <a:latin typeface="Calibri" panose="020F0502020204030204"/>
              <a:ea typeface="+mn-ea"/>
              <a:cs typeface="+mn-cs"/>
            </a:rPr>
            <a:t>VAWA Emergency Transfer Form</a:t>
          </a:r>
          <a:r>
            <a:rPr lang="en-US" sz="800" kern="1200">
              <a:solidFill>
                <a:sysClr val="windowText" lastClr="000000">
                  <a:lumMod val="75000"/>
                  <a:lumOff val="25000"/>
                </a:sysClr>
              </a:solidFill>
              <a:latin typeface="Calibri" panose="020F0502020204030204"/>
              <a:ea typeface="+mn-ea"/>
              <a:cs typeface="+mn-cs"/>
            </a:rPr>
            <a:t>. The Form must be made available in multiple languages. Project Sponsors must provide reasonable accommodations to this policy for survivors with disabilities. Also, the survivor must reasonably believe that remaining in the unit they currently occupy poses an actual and imminent threat.</a:t>
          </a:r>
        </a:p>
        <a:p>
          <a:pPr marL="57150" lvl="1" indent="-57150" algn="l" defTabSz="311150">
            <a:lnSpc>
              <a:spcPct val="90000"/>
            </a:lnSpc>
            <a:spcBef>
              <a:spcPct val="0"/>
            </a:spcBef>
            <a:spcAft>
              <a:spcPct val="15000"/>
            </a:spcAft>
            <a:buChar char="•"/>
          </a:pPr>
          <a:endParaRPr lang="en-US" sz="700" kern="1200">
            <a:solidFill>
              <a:sysClr val="windowText" lastClr="000000">
                <a:lumMod val="75000"/>
                <a:lumOff val="2500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en-US" sz="800" kern="1200">
              <a:solidFill>
                <a:sysClr val="windowText" lastClr="000000">
                  <a:lumMod val="75000"/>
                  <a:lumOff val="25000"/>
                </a:sysClr>
              </a:solidFill>
              <a:latin typeface="Calibri" panose="020F0502020204030204"/>
              <a:ea typeface="+mn-ea"/>
              <a:cs typeface="+mn-cs"/>
            </a:rPr>
            <a:t>If they survived sexual assault, the survivor must reasonably believe that remaining in the unit they currently occupy poses an actual and imminent threat, or the sexual assault occurred on the premises during the 90-calendar-day period preceding the date of the emergency transfer request.</a:t>
          </a:r>
        </a:p>
        <a:p>
          <a:pPr marL="57150" lvl="1" indent="-57150" algn="l" defTabSz="311150">
            <a:lnSpc>
              <a:spcPct val="90000"/>
            </a:lnSpc>
            <a:spcBef>
              <a:spcPct val="0"/>
            </a:spcBef>
            <a:spcAft>
              <a:spcPct val="15000"/>
            </a:spcAft>
            <a:buChar char="•"/>
          </a:pPr>
          <a:endParaRPr lang="en-US" sz="700" kern="1200">
            <a:solidFill>
              <a:sysClr val="windowText" lastClr="000000">
                <a:lumMod val="75000"/>
                <a:lumOff val="2500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en-US" sz="800" kern="1200">
              <a:solidFill>
                <a:sysClr val="windowText" lastClr="000000">
                  <a:lumMod val="75000"/>
                  <a:lumOff val="25000"/>
                </a:sysClr>
              </a:solidFill>
              <a:latin typeface="Calibri" panose="020F0502020204030204"/>
              <a:ea typeface="+mn-ea"/>
              <a:cs typeface="+mn-cs"/>
            </a:rPr>
            <a:t>The Plan may require a survivor requesting emergency transfer to submit documentation as specified under Permissible Documentation.</a:t>
          </a:r>
        </a:p>
        <a:p>
          <a:pPr marL="57150" lvl="1" indent="-57150" algn="l" defTabSz="311150">
            <a:lnSpc>
              <a:spcPct val="90000"/>
            </a:lnSpc>
            <a:spcBef>
              <a:spcPct val="0"/>
            </a:spcBef>
            <a:spcAft>
              <a:spcPct val="15000"/>
            </a:spcAft>
            <a:buChar char="•"/>
          </a:pPr>
          <a:endParaRPr lang="en-US" sz="700" kern="1200">
            <a:solidFill>
              <a:sysClr val="windowText" lastClr="000000">
                <a:lumMod val="75000"/>
                <a:lumOff val="2500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en-US" sz="800" kern="1200">
              <a:solidFill>
                <a:sysClr val="windowText" lastClr="000000">
                  <a:lumMod val="75000"/>
                  <a:lumOff val="25000"/>
                </a:sysClr>
              </a:solidFill>
              <a:latin typeface="Calibri" panose="020F0502020204030204"/>
              <a:ea typeface="+mn-ea"/>
              <a:cs typeface="+mn-cs"/>
            </a:rPr>
            <a:t>Project Sponsors must maintain emergency transfer data, including outcome data for each request, and report this data to HUD annually. Project Sponsors must maintain emergency transfer records for a 4-year period.</a:t>
          </a:r>
        </a:p>
      </dsp:txBody>
      <dsp:txXfrm rot="5400000">
        <a:off x="7414550" y="-1"/>
        <a:ext cx="1727894" cy="630936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A2ECFA-501A-4667-9C83-BC04BDEA37BF}">
      <dsp:nvSpPr>
        <dsp:cNvPr id="0" name=""/>
        <dsp:cNvSpPr/>
      </dsp:nvSpPr>
      <dsp:spPr>
        <a:xfrm>
          <a:off x="4026" y="757081"/>
          <a:ext cx="1085483" cy="3669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25400" rIns="71120" bIns="25400" numCol="1" spcCol="1270" anchor="ctr" anchorCtr="0">
          <a:noAutofit/>
        </a:bodyPr>
        <a:lstStyle/>
        <a:p>
          <a:pPr marL="0" lvl="0" indent="0" algn="r" defTabSz="444500">
            <a:lnSpc>
              <a:spcPct val="90000"/>
            </a:lnSpc>
            <a:spcBef>
              <a:spcPct val="0"/>
            </a:spcBef>
            <a:spcAft>
              <a:spcPct val="35000"/>
            </a:spcAft>
            <a:buNone/>
          </a:pPr>
          <a:r>
            <a:rPr lang="en-US" sz="1000" b="1" i="0" kern="1200">
              <a:solidFill>
                <a:sysClr val="windowText" lastClr="000000">
                  <a:lumMod val="75000"/>
                  <a:lumOff val="25000"/>
                </a:sysClr>
              </a:solidFill>
              <a:latin typeface="Calibri" panose="020F0502020204030204"/>
              <a:ea typeface="+mn-ea"/>
              <a:cs typeface="+mn-cs"/>
            </a:rPr>
            <a:t>Request for</a:t>
          </a:r>
        </a:p>
        <a:p>
          <a:pPr marL="0" lvl="0" indent="0" algn="r" defTabSz="444500">
            <a:lnSpc>
              <a:spcPct val="90000"/>
            </a:lnSpc>
            <a:spcBef>
              <a:spcPct val="0"/>
            </a:spcBef>
            <a:spcAft>
              <a:spcPct val="35000"/>
            </a:spcAft>
            <a:buNone/>
          </a:pPr>
          <a:r>
            <a:rPr lang="en-US" sz="1000" b="1" i="0" kern="1200">
              <a:solidFill>
                <a:sysClr val="windowText" lastClr="000000">
                  <a:lumMod val="75000"/>
                  <a:lumOff val="25000"/>
                </a:sysClr>
              </a:solidFill>
              <a:latin typeface="Calibri" panose="020F0502020204030204"/>
              <a:ea typeface="+mn-ea"/>
              <a:cs typeface="+mn-cs"/>
            </a:rPr>
            <a:t>Documentation</a:t>
          </a:r>
        </a:p>
      </dsp:txBody>
      <dsp:txXfrm>
        <a:off x="4026" y="757081"/>
        <a:ext cx="1085483" cy="366993"/>
      </dsp:txXfrm>
    </dsp:sp>
    <dsp:sp modelId="{37B11A56-2E3E-46D8-B8B4-970C3EE581F4}">
      <dsp:nvSpPr>
        <dsp:cNvPr id="0" name=""/>
        <dsp:cNvSpPr/>
      </dsp:nvSpPr>
      <dsp:spPr>
        <a:xfrm>
          <a:off x="1089509" y="23093"/>
          <a:ext cx="180913" cy="1834969"/>
        </a:xfrm>
        <a:prstGeom prst="leftBrace">
          <a:avLst>
            <a:gd name="adj1" fmla="val 35000"/>
            <a:gd name="adj2" fmla="val 50000"/>
          </a:avLst>
        </a:prstGeom>
        <a:noFill/>
        <a:ln w="12700" cap="flat" cmpd="sng" algn="ctr">
          <a:solidFill>
            <a:srgbClr val="E7BC29">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78479D3-0EE8-4794-83D6-A0B1D65AA960}">
      <dsp:nvSpPr>
        <dsp:cNvPr id="0" name=""/>
        <dsp:cNvSpPr/>
      </dsp:nvSpPr>
      <dsp:spPr>
        <a:xfrm>
          <a:off x="1451159" y="6524"/>
          <a:ext cx="7688814" cy="1868108"/>
        </a:xfrm>
        <a:prstGeom prst="rect">
          <a:avLst/>
        </a:prstGeom>
        <a:solidFill>
          <a:srgbClr val="E7BC29">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l" defTabSz="444500">
            <a:lnSpc>
              <a:spcPct val="100000"/>
            </a:lnSpc>
            <a:spcBef>
              <a:spcPct val="0"/>
            </a:spcBef>
            <a:spcAft>
              <a:spcPts val="0"/>
            </a:spcAft>
            <a:buChar char="•"/>
          </a:pPr>
          <a:r>
            <a:rPr lang="en-US" sz="1000" kern="1200">
              <a:solidFill>
                <a:sysClr val="windowText" lastClr="000000">
                  <a:lumMod val="75000"/>
                  <a:lumOff val="25000"/>
                </a:sysClr>
              </a:solidFill>
              <a:latin typeface="Calibri" panose="020F0502020204030204"/>
              <a:ea typeface="+mn-ea"/>
              <a:cs typeface="+mn-cs"/>
            </a:rPr>
            <a:t>If an applicant or beneficiary informs a Project Sponsor they survived an incident of domestic violence, dating violence, sexual assault, or stalking, the Project Sponsor may request, in writing, that the applicant or beneficiary submit documentation of survivor status as specified under Permissible Documentation.</a:t>
          </a:r>
        </a:p>
        <a:p>
          <a:pPr marL="57150" lvl="1" indent="-57150" algn="l" defTabSz="400050">
            <a:lnSpc>
              <a:spcPct val="100000"/>
            </a:lnSpc>
            <a:spcBef>
              <a:spcPct val="0"/>
            </a:spcBef>
            <a:spcAft>
              <a:spcPts val="0"/>
            </a:spcAft>
            <a:buChar char="•"/>
          </a:pPr>
          <a:endParaRPr lang="en-US" sz="900" kern="1200">
            <a:solidFill>
              <a:sysClr val="windowText" lastClr="000000">
                <a:lumMod val="75000"/>
                <a:lumOff val="25000"/>
              </a:sysClr>
            </a:solidFill>
            <a:latin typeface="Calibri" panose="020F0502020204030204"/>
            <a:ea typeface="+mn-ea"/>
            <a:cs typeface="+mn-cs"/>
          </a:endParaRPr>
        </a:p>
        <a:p>
          <a:pPr marL="57150" lvl="1" indent="-57150" algn="l" defTabSz="444500">
            <a:lnSpc>
              <a:spcPct val="100000"/>
            </a:lnSpc>
            <a:spcBef>
              <a:spcPct val="0"/>
            </a:spcBef>
            <a:spcAft>
              <a:spcPts val="0"/>
            </a:spcAft>
            <a:buChar char="•"/>
          </a:pPr>
          <a:r>
            <a:rPr lang="en-US" sz="1000" kern="1200">
              <a:solidFill>
                <a:sysClr val="windowText" lastClr="000000">
                  <a:lumMod val="75000"/>
                  <a:lumOff val="25000"/>
                </a:sysClr>
              </a:solidFill>
              <a:latin typeface="Calibri" panose="020F0502020204030204"/>
              <a:ea typeface="+mn-ea"/>
              <a:cs typeface="+mn-cs"/>
            </a:rPr>
            <a:t>Project Sponsors do not need to request that an applicant or beneficiary submit documentation of survivor status.</a:t>
          </a:r>
        </a:p>
        <a:p>
          <a:pPr marL="57150" lvl="1" indent="-57150" algn="l" defTabSz="400050">
            <a:lnSpc>
              <a:spcPct val="90000"/>
            </a:lnSpc>
            <a:spcBef>
              <a:spcPct val="0"/>
            </a:spcBef>
            <a:spcAft>
              <a:spcPct val="15000"/>
            </a:spcAft>
            <a:buChar char="•"/>
          </a:pPr>
          <a:endParaRPr lang="en-US" sz="900" kern="1200">
            <a:solidFill>
              <a:sysClr val="windowText" lastClr="000000">
                <a:lumMod val="75000"/>
                <a:lumOff val="25000"/>
              </a:sysClr>
            </a:solidFill>
            <a:latin typeface="Calibri" panose="020F0502020204030204"/>
            <a:ea typeface="+mn-ea"/>
            <a:cs typeface="+mn-cs"/>
          </a:endParaRPr>
        </a:p>
        <a:p>
          <a:pPr marL="57150" lvl="1" indent="-57150" algn="l" defTabSz="444500">
            <a:lnSpc>
              <a:spcPct val="100000"/>
            </a:lnSpc>
            <a:spcBef>
              <a:spcPct val="0"/>
            </a:spcBef>
            <a:spcAft>
              <a:spcPts val="0"/>
            </a:spcAft>
            <a:buChar char="•"/>
          </a:pPr>
          <a:r>
            <a:rPr lang="en-US" sz="1000" kern="1200">
              <a:solidFill>
                <a:sysClr val="windowText" lastClr="000000">
                  <a:lumMod val="75000"/>
                  <a:lumOff val="25000"/>
                </a:sysClr>
              </a:solidFill>
              <a:latin typeface="Calibri" panose="020F0502020204030204"/>
              <a:ea typeface="+mn-ea"/>
              <a:cs typeface="+mn-cs"/>
            </a:rPr>
            <a:t>If an applicant or beneficiary does not provide the requested documentation within 14 business days after the date they receive the request in writing, the Project Sponsor may:</a:t>
          </a:r>
        </a:p>
        <a:p>
          <a:pPr marL="274320" lvl="2" indent="-57150" algn="l" defTabSz="444500">
            <a:lnSpc>
              <a:spcPct val="100000"/>
            </a:lnSpc>
            <a:spcBef>
              <a:spcPct val="0"/>
            </a:spcBef>
            <a:spcAft>
              <a:spcPts val="0"/>
            </a:spcAft>
            <a:buChar char="•"/>
          </a:pPr>
          <a:r>
            <a:rPr lang="en-US" sz="1000" kern="1200">
              <a:solidFill>
                <a:sysClr val="windowText" lastClr="000000">
                  <a:lumMod val="75000"/>
                  <a:lumOff val="25000"/>
                </a:sysClr>
              </a:solidFill>
              <a:latin typeface="Calibri" panose="020F0502020204030204"/>
              <a:ea typeface="+mn-ea"/>
              <a:cs typeface="+mn-cs"/>
            </a:rPr>
            <a:t>Deny admission by the applicant or beneficiary to the DSHS HOPWA Program;</a:t>
          </a:r>
        </a:p>
        <a:p>
          <a:pPr marL="274320" lvl="2" indent="-57150" algn="l" defTabSz="444500">
            <a:lnSpc>
              <a:spcPct val="100000"/>
            </a:lnSpc>
            <a:spcBef>
              <a:spcPct val="0"/>
            </a:spcBef>
            <a:spcAft>
              <a:spcPts val="0"/>
            </a:spcAft>
            <a:buChar char="•"/>
          </a:pPr>
          <a:r>
            <a:rPr lang="en-US" sz="1000" kern="1200">
              <a:solidFill>
                <a:sysClr val="windowText" lastClr="000000">
                  <a:lumMod val="75000"/>
                  <a:lumOff val="25000"/>
                </a:sysClr>
              </a:solidFill>
              <a:latin typeface="Calibri" panose="020F0502020204030204"/>
              <a:ea typeface="+mn-ea"/>
              <a:cs typeface="+mn-cs"/>
            </a:rPr>
            <a:t>Deny housing assistance and supportive services to the applicant or beneficiary;</a:t>
          </a:r>
        </a:p>
        <a:p>
          <a:pPr marL="274320" lvl="2" indent="-57150" algn="l" defTabSz="444500">
            <a:lnSpc>
              <a:spcPct val="100000"/>
            </a:lnSpc>
            <a:spcBef>
              <a:spcPct val="0"/>
            </a:spcBef>
            <a:spcAft>
              <a:spcPts val="0"/>
            </a:spcAft>
            <a:buChar char="•"/>
          </a:pPr>
          <a:r>
            <a:rPr lang="en-US" sz="1000" kern="1200">
              <a:solidFill>
                <a:sysClr val="windowText" lastClr="000000">
                  <a:lumMod val="75000"/>
                  <a:lumOff val="25000"/>
                </a:sysClr>
              </a:solidFill>
              <a:latin typeface="Calibri" panose="020F0502020204030204"/>
              <a:ea typeface="+mn-ea"/>
              <a:cs typeface="+mn-cs"/>
            </a:rPr>
            <a:t>Terminate the participation of the beneficiary in the DSHS HOPWA Program; or</a:t>
          </a:r>
        </a:p>
        <a:p>
          <a:pPr marL="274320" lvl="2" indent="-57150" algn="l" defTabSz="444500">
            <a:lnSpc>
              <a:spcPct val="100000"/>
            </a:lnSpc>
            <a:spcBef>
              <a:spcPct val="0"/>
            </a:spcBef>
            <a:spcAft>
              <a:spcPts val="0"/>
            </a:spcAft>
            <a:buChar char="•"/>
          </a:pPr>
          <a:r>
            <a:rPr lang="en-US" sz="1000" kern="1200">
              <a:solidFill>
                <a:sysClr val="windowText" lastClr="000000">
                  <a:lumMod val="75000"/>
                  <a:lumOff val="25000"/>
                </a:sysClr>
              </a:solidFill>
              <a:latin typeface="Calibri" panose="020F0502020204030204"/>
              <a:ea typeface="+mn-ea"/>
              <a:cs typeface="+mn-cs"/>
            </a:rPr>
            <a:t>At the Project Sponsor's discretion, extend the 14-business-day deadline.</a:t>
          </a:r>
        </a:p>
      </dsp:txBody>
      <dsp:txXfrm>
        <a:off x="1451159" y="6524"/>
        <a:ext cx="7688814" cy="1868108"/>
      </dsp:txXfrm>
    </dsp:sp>
    <dsp:sp modelId="{07546064-6274-479D-9BB7-8F658CDB775B}">
      <dsp:nvSpPr>
        <dsp:cNvPr id="0" name=""/>
        <dsp:cNvSpPr/>
      </dsp:nvSpPr>
      <dsp:spPr>
        <a:xfrm>
          <a:off x="4026" y="2932077"/>
          <a:ext cx="1085483" cy="9320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25400" rIns="71120" bIns="25400" numCol="1" spcCol="1270" anchor="ctr" anchorCtr="0">
          <a:noAutofit/>
        </a:bodyPr>
        <a:lstStyle/>
        <a:p>
          <a:pPr marL="0" lvl="0" indent="0" algn="r" defTabSz="444500">
            <a:lnSpc>
              <a:spcPct val="90000"/>
            </a:lnSpc>
            <a:spcBef>
              <a:spcPct val="0"/>
            </a:spcBef>
            <a:spcAft>
              <a:spcPct val="35000"/>
            </a:spcAft>
            <a:buNone/>
          </a:pPr>
          <a:r>
            <a:rPr lang="en-US" sz="1000" b="1" i="0" kern="1200">
              <a:solidFill>
                <a:sysClr val="windowText" lastClr="000000">
                  <a:lumMod val="75000"/>
                  <a:lumOff val="25000"/>
                </a:sysClr>
              </a:solidFill>
              <a:latin typeface="Calibri" panose="020F0502020204030204"/>
              <a:ea typeface="+mn-ea"/>
              <a:cs typeface="+mn-cs"/>
            </a:rPr>
            <a:t>Permissible</a:t>
          </a:r>
        </a:p>
        <a:p>
          <a:pPr marL="0" lvl="0" indent="0" algn="r" defTabSz="444500">
            <a:lnSpc>
              <a:spcPct val="90000"/>
            </a:lnSpc>
            <a:spcBef>
              <a:spcPct val="0"/>
            </a:spcBef>
            <a:spcAft>
              <a:spcPct val="35000"/>
            </a:spcAft>
            <a:buNone/>
          </a:pPr>
          <a:r>
            <a:rPr lang="en-US" sz="1000" b="1" i="0" kern="1200">
              <a:solidFill>
                <a:sysClr val="windowText" lastClr="000000">
                  <a:lumMod val="75000"/>
                  <a:lumOff val="25000"/>
                </a:sysClr>
              </a:solidFill>
              <a:latin typeface="Calibri" panose="020F0502020204030204"/>
              <a:ea typeface="+mn-ea"/>
              <a:cs typeface="+mn-cs"/>
            </a:rPr>
            <a:t>Documentation</a:t>
          </a:r>
        </a:p>
        <a:p>
          <a:pPr marL="0" lvl="0" indent="0" algn="r" defTabSz="444500">
            <a:lnSpc>
              <a:spcPct val="90000"/>
            </a:lnSpc>
            <a:spcBef>
              <a:spcPct val="0"/>
            </a:spcBef>
            <a:spcAft>
              <a:spcPct val="35000"/>
            </a:spcAft>
            <a:buNone/>
          </a:pPr>
          <a:r>
            <a:rPr lang="en-US" sz="1000" b="1" i="0" kern="1200">
              <a:solidFill>
                <a:sysClr val="windowText" lastClr="000000">
                  <a:lumMod val="75000"/>
                  <a:lumOff val="25000"/>
                </a:sysClr>
              </a:solidFill>
              <a:latin typeface="Calibri" panose="020F0502020204030204"/>
              <a:ea typeface="+mn-ea"/>
              <a:cs typeface="+mn-cs"/>
            </a:rPr>
            <a:t>&amp;</a:t>
          </a:r>
        </a:p>
        <a:p>
          <a:pPr marL="0" lvl="0" indent="0" algn="r" defTabSz="444500">
            <a:lnSpc>
              <a:spcPct val="90000"/>
            </a:lnSpc>
            <a:spcBef>
              <a:spcPct val="0"/>
            </a:spcBef>
            <a:spcAft>
              <a:spcPct val="35000"/>
            </a:spcAft>
            <a:buNone/>
          </a:pPr>
          <a:r>
            <a:rPr lang="en-US" sz="1000" b="1" i="0" kern="1200">
              <a:solidFill>
                <a:sysClr val="windowText" lastClr="000000">
                  <a:lumMod val="75000"/>
                  <a:lumOff val="25000"/>
                </a:sysClr>
              </a:solidFill>
              <a:latin typeface="Calibri" panose="020F0502020204030204"/>
              <a:ea typeface="+mn-ea"/>
              <a:cs typeface="+mn-cs"/>
            </a:rPr>
            <a:t>Submission</a:t>
          </a:r>
        </a:p>
        <a:p>
          <a:pPr marL="0" lvl="0" indent="0" algn="r" defTabSz="444500">
            <a:lnSpc>
              <a:spcPct val="90000"/>
            </a:lnSpc>
            <a:spcBef>
              <a:spcPct val="0"/>
            </a:spcBef>
            <a:spcAft>
              <a:spcPct val="35000"/>
            </a:spcAft>
            <a:buNone/>
          </a:pPr>
          <a:r>
            <a:rPr lang="en-US" sz="1000" b="1" i="0" kern="1200">
              <a:solidFill>
                <a:sysClr val="windowText" lastClr="000000">
                  <a:lumMod val="75000"/>
                  <a:lumOff val="25000"/>
                </a:sysClr>
              </a:solidFill>
              <a:latin typeface="Calibri" panose="020F0502020204030204"/>
              <a:ea typeface="+mn-ea"/>
              <a:cs typeface="+mn-cs"/>
            </a:rPr>
            <a:t>Requirements</a:t>
          </a:r>
        </a:p>
      </dsp:txBody>
      <dsp:txXfrm>
        <a:off x="4026" y="2932077"/>
        <a:ext cx="1085483" cy="932047"/>
      </dsp:txXfrm>
    </dsp:sp>
    <dsp:sp modelId="{00E5E552-191F-4316-84EE-571792FD06E5}">
      <dsp:nvSpPr>
        <dsp:cNvPr id="0" name=""/>
        <dsp:cNvSpPr/>
      </dsp:nvSpPr>
      <dsp:spPr>
        <a:xfrm>
          <a:off x="1089509" y="1970903"/>
          <a:ext cx="180913" cy="2854396"/>
        </a:xfrm>
        <a:prstGeom prst="leftBrace">
          <a:avLst>
            <a:gd name="adj1" fmla="val 35000"/>
            <a:gd name="adj2" fmla="val 50000"/>
          </a:avLst>
        </a:prstGeom>
        <a:noFill/>
        <a:ln w="12700" cap="flat" cmpd="sng" algn="ctr">
          <a:solidFill>
            <a:srgbClr val="E7BC29">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5FEE5B0-2E30-4426-A88C-65E12CAB0320}">
      <dsp:nvSpPr>
        <dsp:cNvPr id="0" name=""/>
        <dsp:cNvSpPr/>
      </dsp:nvSpPr>
      <dsp:spPr>
        <a:xfrm>
          <a:off x="1451159" y="1891579"/>
          <a:ext cx="7688814" cy="3013044"/>
        </a:xfrm>
        <a:prstGeom prst="rect">
          <a:avLst/>
        </a:prstGeom>
        <a:solidFill>
          <a:srgbClr val="809EC2">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l" defTabSz="444500">
            <a:lnSpc>
              <a:spcPct val="100000"/>
            </a:lnSpc>
            <a:spcBef>
              <a:spcPct val="0"/>
            </a:spcBef>
            <a:spcAft>
              <a:spcPts val="0"/>
            </a:spcAft>
            <a:buChar char="•"/>
          </a:pPr>
          <a:r>
            <a:rPr lang="en-US" sz="1000" kern="1200">
              <a:solidFill>
                <a:sysClr val="windowText" lastClr="000000">
                  <a:lumMod val="75000"/>
                  <a:lumOff val="25000"/>
                </a:sysClr>
              </a:solidFill>
              <a:latin typeface="Calibri" panose="020F0502020204030204"/>
              <a:ea typeface="+mn-ea"/>
              <a:cs typeface="+mn-cs"/>
            </a:rPr>
            <a:t>In response to a written request from the Project Sponsor, the applicant or beneficiary may submit as documentation any one of the following items, where it is at the discretion of the applicant or beneficiary which one of the following forms of documentation to submit:</a:t>
          </a:r>
        </a:p>
        <a:p>
          <a:pPr marL="274320" lvl="2" indent="-57150" algn="l" defTabSz="444500">
            <a:lnSpc>
              <a:spcPct val="100000"/>
            </a:lnSpc>
            <a:spcBef>
              <a:spcPct val="0"/>
            </a:spcBef>
            <a:spcAft>
              <a:spcPts val="0"/>
            </a:spcAft>
            <a:buChar char="•"/>
          </a:pPr>
          <a:r>
            <a:rPr lang="en-US" sz="1000" kern="1200">
              <a:solidFill>
                <a:sysClr val="windowText" lastClr="000000">
                  <a:lumMod val="75000"/>
                  <a:lumOff val="25000"/>
                </a:sysClr>
              </a:solidFill>
              <a:latin typeface="Calibri" panose="020F0502020204030204"/>
              <a:ea typeface="+mn-ea"/>
              <a:cs typeface="+mn-cs"/>
            </a:rPr>
            <a:t>The </a:t>
          </a:r>
          <a:r>
            <a:rPr lang="en-US" sz="1000" b="1" kern="1200">
              <a:solidFill>
                <a:srgbClr val="8162AE"/>
              </a:solidFill>
              <a:latin typeface="Calibri" panose="020F0502020204030204"/>
              <a:ea typeface="+mn-ea"/>
              <a:cs typeface="+mn-cs"/>
            </a:rPr>
            <a:t>VAWA Certification Form</a:t>
          </a:r>
          <a:r>
            <a:rPr lang="en-US" sz="1000" kern="1200">
              <a:solidFill>
                <a:sysClr val="windowText" lastClr="000000">
                  <a:lumMod val="75000"/>
                  <a:lumOff val="25000"/>
                </a:sysClr>
              </a:solidFill>
              <a:latin typeface="Calibri" panose="020F0502020204030204"/>
              <a:ea typeface="+mn-ea"/>
              <a:cs typeface="+mn-cs"/>
            </a:rPr>
            <a:t>, which:</a:t>
          </a:r>
        </a:p>
        <a:p>
          <a:pPr marL="457200" lvl="3" indent="-57150" algn="l" defTabSz="444500">
            <a:lnSpc>
              <a:spcPct val="100000"/>
            </a:lnSpc>
            <a:spcBef>
              <a:spcPct val="0"/>
            </a:spcBef>
            <a:spcAft>
              <a:spcPts val="0"/>
            </a:spcAft>
            <a:buChar char="•"/>
          </a:pPr>
          <a:r>
            <a:rPr lang="en-US" sz="1000" kern="1200">
              <a:solidFill>
                <a:sysClr val="windowText" lastClr="000000">
                  <a:lumMod val="75000"/>
                  <a:lumOff val="25000"/>
                </a:sysClr>
              </a:solidFill>
              <a:latin typeface="Calibri" panose="020F0502020204030204"/>
              <a:ea typeface="+mn-ea"/>
              <a:cs typeface="+mn-cs"/>
            </a:rPr>
            <a:t>States that the applicant or beneficiary survived an incident of domestic violence, dating violence, sexual assault, or stalking;</a:t>
          </a:r>
        </a:p>
        <a:p>
          <a:pPr marL="457200" lvl="3" indent="-57150" algn="l" defTabSz="444500">
            <a:lnSpc>
              <a:spcPct val="100000"/>
            </a:lnSpc>
            <a:spcBef>
              <a:spcPct val="0"/>
            </a:spcBef>
            <a:spcAft>
              <a:spcPts val="0"/>
            </a:spcAft>
            <a:buChar char="•"/>
          </a:pPr>
          <a:r>
            <a:rPr lang="en-US" sz="1000" kern="1200">
              <a:solidFill>
                <a:sysClr val="windowText" lastClr="000000">
                  <a:lumMod val="75000"/>
                  <a:lumOff val="25000"/>
                </a:sysClr>
              </a:solidFill>
              <a:latin typeface="Calibri" panose="020F0502020204030204"/>
              <a:ea typeface="+mn-ea"/>
              <a:cs typeface="+mn-cs"/>
            </a:rPr>
            <a:t>Describes the incident; and</a:t>
          </a:r>
        </a:p>
        <a:p>
          <a:pPr marL="457200" lvl="3" indent="-57150" algn="l" defTabSz="444500">
            <a:lnSpc>
              <a:spcPct val="100000"/>
            </a:lnSpc>
            <a:spcBef>
              <a:spcPct val="0"/>
            </a:spcBef>
            <a:spcAft>
              <a:spcPts val="0"/>
            </a:spcAft>
            <a:buChar char="•"/>
          </a:pPr>
          <a:r>
            <a:rPr lang="en-US" sz="1000" kern="1200">
              <a:solidFill>
                <a:sysClr val="windowText" lastClr="000000">
                  <a:lumMod val="75000"/>
                  <a:lumOff val="25000"/>
                </a:sysClr>
              </a:solidFill>
              <a:latin typeface="Calibri" panose="020F0502020204030204"/>
              <a:ea typeface="+mn-ea"/>
              <a:cs typeface="+mn-cs"/>
            </a:rPr>
            <a:t>Includes the name of the accused perpetrator if known and safe to provide; or</a:t>
          </a:r>
        </a:p>
        <a:p>
          <a:pPr marL="274320" lvl="2" indent="-57150" algn="l" defTabSz="444500">
            <a:lnSpc>
              <a:spcPct val="100000"/>
            </a:lnSpc>
            <a:spcBef>
              <a:spcPct val="0"/>
            </a:spcBef>
            <a:spcAft>
              <a:spcPts val="0"/>
            </a:spcAft>
            <a:buChar char="•"/>
          </a:pPr>
          <a:r>
            <a:rPr lang="en-US" sz="1000" kern="1200">
              <a:solidFill>
                <a:sysClr val="windowText" lastClr="000000">
                  <a:lumMod val="75000"/>
                  <a:lumOff val="25000"/>
                </a:sysClr>
              </a:solidFill>
              <a:latin typeface="Calibri" panose="020F0502020204030204"/>
              <a:ea typeface="+mn-ea"/>
              <a:cs typeface="+mn-cs"/>
            </a:rPr>
            <a:t>A document:</a:t>
          </a:r>
        </a:p>
        <a:p>
          <a:pPr marL="457200" lvl="3" indent="-57150" algn="l" defTabSz="444500">
            <a:lnSpc>
              <a:spcPct val="100000"/>
            </a:lnSpc>
            <a:spcBef>
              <a:spcPct val="0"/>
            </a:spcBef>
            <a:spcAft>
              <a:spcPts val="0"/>
            </a:spcAft>
            <a:buChar char="•"/>
          </a:pPr>
          <a:r>
            <a:rPr lang="en-US" sz="1000" kern="1200">
              <a:solidFill>
                <a:sysClr val="windowText" lastClr="000000">
                  <a:lumMod val="75000"/>
                  <a:lumOff val="25000"/>
                </a:sysClr>
              </a:solidFill>
              <a:latin typeface="Calibri" panose="020F0502020204030204"/>
              <a:ea typeface="+mn-ea"/>
              <a:cs typeface="+mn-cs"/>
            </a:rPr>
            <a:t>Signed by an employee, agent, or volunteer of a survivor service provider, an attorney, or medical professional, or a mental health professional (collectively, “professional”) from whom the survivor has sought assistance relating to the incident or the effects of abuse;</a:t>
          </a:r>
        </a:p>
        <a:p>
          <a:pPr marL="457200" lvl="3" indent="-57150" algn="l" defTabSz="444500">
            <a:lnSpc>
              <a:spcPct val="100000"/>
            </a:lnSpc>
            <a:spcBef>
              <a:spcPct val="0"/>
            </a:spcBef>
            <a:spcAft>
              <a:spcPts val="0"/>
            </a:spcAft>
            <a:buChar char="•"/>
          </a:pPr>
          <a:r>
            <a:rPr lang="en-US" sz="1000" kern="1200">
              <a:solidFill>
                <a:sysClr val="windowText" lastClr="000000">
                  <a:lumMod val="75000"/>
                  <a:lumOff val="25000"/>
                </a:sysClr>
              </a:solidFill>
              <a:latin typeface="Calibri" panose="020F0502020204030204"/>
              <a:ea typeface="+mn-ea"/>
              <a:cs typeface="+mn-cs"/>
            </a:rPr>
            <a:t>Signed by the applicant or beneficiary; and</a:t>
          </a:r>
        </a:p>
        <a:p>
          <a:pPr marL="457200" lvl="3" indent="-57150" algn="l" defTabSz="444500">
            <a:lnSpc>
              <a:spcPct val="100000"/>
            </a:lnSpc>
            <a:spcBef>
              <a:spcPct val="0"/>
            </a:spcBef>
            <a:spcAft>
              <a:spcPts val="0"/>
            </a:spcAft>
            <a:buChar char="•"/>
          </a:pPr>
          <a:r>
            <a:rPr lang="en-US" sz="1000" kern="1200">
              <a:solidFill>
                <a:sysClr val="windowText" lastClr="000000">
                  <a:lumMod val="75000"/>
                  <a:lumOff val="25000"/>
                </a:sysClr>
              </a:solidFill>
              <a:latin typeface="Calibri" panose="020F0502020204030204"/>
              <a:ea typeface="+mn-ea"/>
              <a:cs typeface="+mn-cs"/>
            </a:rPr>
            <a:t>That specifies, under penalty of perjury, that the professional believes the incident occurred, and that the incident meets the applicable definition of domestic violence, dating violence, sexual assault, or stalking; or</a:t>
          </a:r>
        </a:p>
        <a:p>
          <a:pPr marL="274320" lvl="2" indent="-57150" algn="l" defTabSz="444500">
            <a:lnSpc>
              <a:spcPct val="100000"/>
            </a:lnSpc>
            <a:spcBef>
              <a:spcPct val="0"/>
            </a:spcBef>
            <a:spcAft>
              <a:spcPts val="0"/>
            </a:spcAft>
            <a:buChar char="•"/>
          </a:pPr>
          <a:r>
            <a:rPr lang="en-US" sz="1000" kern="1200">
              <a:solidFill>
                <a:sysClr val="windowText" lastClr="000000">
                  <a:lumMod val="75000"/>
                  <a:lumOff val="25000"/>
                </a:sysClr>
              </a:solidFill>
              <a:latin typeface="Calibri" panose="020F0502020204030204"/>
              <a:ea typeface="+mn-ea"/>
              <a:cs typeface="+mn-cs"/>
            </a:rPr>
            <a:t>A record of a Federal, State, tribal, territorial or local law enforcement agency, court, or administrative agency; or</a:t>
          </a:r>
        </a:p>
        <a:p>
          <a:pPr marL="274320" lvl="2" indent="-57150" algn="l" defTabSz="444500">
            <a:lnSpc>
              <a:spcPct val="100000"/>
            </a:lnSpc>
            <a:spcBef>
              <a:spcPct val="0"/>
            </a:spcBef>
            <a:spcAft>
              <a:spcPts val="0"/>
            </a:spcAft>
            <a:buChar char="•"/>
          </a:pPr>
          <a:r>
            <a:rPr lang="en-US" sz="1000" kern="1200">
              <a:solidFill>
                <a:sysClr val="windowText" lastClr="000000">
                  <a:lumMod val="75000"/>
                  <a:lumOff val="25000"/>
                </a:sysClr>
              </a:solidFill>
              <a:latin typeface="Calibri" panose="020F0502020204030204"/>
              <a:ea typeface="+mn-ea"/>
              <a:cs typeface="+mn-cs"/>
            </a:rPr>
            <a:t>At the Project Sponsor's discretion, a statement or other evidence provided by the applicant or beneficiary.</a:t>
          </a:r>
        </a:p>
        <a:p>
          <a:pPr marL="57150" lvl="1" indent="-57150" algn="l" defTabSz="400050">
            <a:lnSpc>
              <a:spcPct val="100000"/>
            </a:lnSpc>
            <a:spcBef>
              <a:spcPct val="0"/>
            </a:spcBef>
            <a:spcAft>
              <a:spcPts val="0"/>
            </a:spcAft>
            <a:buChar char="•"/>
          </a:pPr>
          <a:endParaRPr lang="en-US" sz="900" kern="1200">
            <a:solidFill>
              <a:sysClr val="windowText" lastClr="000000">
                <a:lumMod val="75000"/>
                <a:lumOff val="25000"/>
              </a:sysClr>
            </a:solidFill>
            <a:latin typeface="Calibri" panose="020F0502020204030204"/>
            <a:ea typeface="+mn-ea"/>
            <a:cs typeface="+mn-cs"/>
          </a:endParaRPr>
        </a:p>
        <a:p>
          <a:pPr marL="57150" lvl="1" indent="-57150" algn="l" defTabSz="444500">
            <a:lnSpc>
              <a:spcPct val="100000"/>
            </a:lnSpc>
            <a:spcBef>
              <a:spcPct val="0"/>
            </a:spcBef>
            <a:spcAft>
              <a:spcPts val="0"/>
            </a:spcAft>
            <a:buChar char="•"/>
          </a:pPr>
          <a:r>
            <a:rPr lang="en-US" sz="1000" kern="1200">
              <a:solidFill>
                <a:sysClr val="windowText" lastClr="000000">
                  <a:lumMod val="75000"/>
                  <a:lumOff val="25000"/>
                </a:sysClr>
              </a:solidFill>
              <a:latin typeface="Calibri" panose="020F0502020204030204"/>
              <a:ea typeface="+mn-ea"/>
              <a:cs typeface="+mn-cs"/>
            </a:rPr>
            <a:t>If a Project Sponsor receives documentation that contains conflicting information (including Certification Forms from two or more beneficiaries of a household each claiming to be the survivor and naming another beneficiary as the accused perpetrator), the Project Sponsor may require an applicant or beneficiary to submit third-party documentation, as described above, within 30 calendar days of the date of the request for the third-party documentation.</a:t>
          </a:r>
        </a:p>
      </dsp:txBody>
      <dsp:txXfrm>
        <a:off x="1451159" y="1891579"/>
        <a:ext cx="7688814" cy="3013044"/>
      </dsp:txXfrm>
    </dsp:sp>
    <dsp:sp modelId="{8F954A4D-5D86-4A55-A823-71B6276B80C0}">
      <dsp:nvSpPr>
        <dsp:cNvPr id="0" name=""/>
        <dsp:cNvSpPr/>
      </dsp:nvSpPr>
      <dsp:spPr>
        <a:xfrm>
          <a:off x="4026" y="5704790"/>
          <a:ext cx="1085483" cy="1805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25400" rIns="71120" bIns="25400" numCol="1" spcCol="1270" anchor="ctr" anchorCtr="0">
          <a:noAutofit/>
        </a:bodyPr>
        <a:lstStyle/>
        <a:p>
          <a:pPr marL="0" lvl="0" indent="0" algn="r" defTabSz="444500">
            <a:lnSpc>
              <a:spcPct val="90000"/>
            </a:lnSpc>
            <a:spcBef>
              <a:spcPct val="0"/>
            </a:spcBef>
            <a:spcAft>
              <a:spcPct val="35000"/>
            </a:spcAft>
            <a:buNone/>
          </a:pPr>
          <a:r>
            <a:rPr lang="en-US" sz="1000" b="1" i="0" kern="1200">
              <a:solidFill>
                <a:sysClr val="windowText" lastClr="000000">
                  <a:lumMod val="75000"/>
                  <a:lumOff val="25000"/>
                </a:sysClr>
              </a:solidFill>
              <a:latin typeface="Calibri" panose="020F0502020204030204"/>
              <a:ea typeface="+mn-ea"/>
              <a:cs typeface="+mn-cs"/>
            </a:rPr>
            <a:t>Confidentiality</a:t>
          </a:r>
        </a:p>
      </dsp:txBody>
      <dsp:txXfrm>
        <a:off x="4026" y="5704790"/>
        <a:ext cx="1085483" cy="180584"/>
      </dsp:txXfrm>
    </dsp:sp>
    <dsp:sp modelId="{B655AF80-ECEB-42E7-A5CB-D04E26823638}">
      <dsp:nvSpPr>
        <dsp:cNvPr id="0" name=""/>
        <dsp:cNvSpPr/>
      </dsp:nvSpPr>
      <dsp:spPr>
        <a:xfrm>
          <a:off x="1089509" y="4959880"/>
          <a:ext cx="180913" cy="1670404"/>
        </a:xfrm>
        <a:prstGeom prst="leftBrace">
          <a:avLst>
            <a:gd name="adj1" fmla="val 35000"/>
            <a:gd name="adj2" fmla="val 50000"/>
          </a:avLst>
        </a:prstGeom>
        <a:noFill/>
        <a:ln w="12700" cap="flat" cmpd="sng" algn="ctr">
          <a:solidFill>
            <a:srgbClr val="E7BC29">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0E7AD3B-552B-493B-846E-8563BB6F1CC7}">
      <dsp:nvSpPr>
        <dsp:cNvPr id="0" name=""/>
        <dsp:cNvSpPr/>
      </dsp:nvSpPr>
      <dsp:spPr>
        <a:xfrm>
          <a:off x="1451159" y="4921569"/>
          <a:ext cx="7688814" cy="1747026"/>
        </a:xfrm>
        <a:prstGeom prst="rect">
          <a:avLst/>
        </a:prstGeom>
        <a:solidFill>
          <a:srgbClr val="D092A7">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l" defTabSz="444500">
            <a:lnSpc>
              <a:spcPct val="100000"/>
            </a:lnSpc>
            <a:spcBef>
              <a:spcPct val="0"/>
            </a:spcBef>
            <a:spcAft>
              <a:spcPts val="0"/>
            </a:spcAft>
            <a:buChar char="•"/>
          </a:pPr>
          <a:r>
            <a:rPr lang="en-US" sz="1000" kern="1200">
              <a:solidFill>
                <a:sysClr val="windowText" lastClr="000000">
                  <a:lumMod val="75000"/>
                  <a:lumOff val="25000"/>
                </a:sysClr>
              </a:solidFill>
              <a:latin typeface="Calibri" panose="020F0502020204030204"/>
              <a:ea typeface="+mn-ea"/>
              <a:cs typeface="+mn-cs"/>
            </a:rPr>
            <a:t>If an applicant or beneficiary submits documentation of survivor status (confidential information) to a Project Sponsor, the Project Sponsor must maintain the documentation in strict confidence. </a:t>
          </a:r>
        </a:p>
        <a:p>
          <a:pPr marL="57150" lvl="1" indent="-57150" algn="l" defTabSz="400050">
            <a:lnSpc>
              <a:spcPct val="100000"/>
            </a:lnSpc>
            <a:spcBef>
              <a:spcPct val="0"/>
            </a:spcBef>
            <a:spcAft>
              <a:spcPts val="0"/>
            </a:spcAft>
            <a:buChar char="•"/>
          </a:pPr>
          <a:endParaRPr lang="en-US" sz="900" kern="1200">
            <a:solidFill>
              <a:sysClr val="windowText" lastClr="000000">
                <a:lumMod val="75000"/>
                <a:lumOff val="25000"/>
              </a:sysClr>
            </a:solidFill>
            <a:latin typeface="Calibri" panose="020F0502020204030204"/>
            <a:ea typeface="+mn-ea"/>
            <a:cs typeface="+mn-cs"/>
          </a:endParaRPr>
        </a:p>
        <a:p>
          <a:pPr marL="57150" lvl="1" indent="-57150" algn="l" defTabSz="444500">
            <a:lnSpc>
              <a:spcPct val="100000"/>
            </a:lnSpc>
            <a:spcBef>
              <a:spcPct val="0"/>
            </a:spcBef>
            <a:spcAft>
              <a:spcPts val="0"/>
            </a:spcAft>
            <a:buChar char="•"/>
          </a:pPr>
          <a:r>
            <a:rPr lang="en-US" sz="1000" kern="1200">
              <a:solidFill>
                <a:sysClr val="windowText" lastClr="000000">
                  <a:lumMod val="75000"/>
                  <a:lumOff val="25000"/>
                </a:sysClr>
              </a:solidFill>
              <a:latin typeface="Calibri" panose="020F0502020204030204"/>
              <a:ea typeface="+mn-ea"/>
              <a:cs typeface="+mn-cs"/>
            </a:rPr>
            <a:t>Project Sponsors will not allow any staff to have access to confidential information unless explicitly authorized by the Project Sponsor for reasons that specifically call for these individuals to have access to this information under applicable Federal, State, or local law.</a:t>
          </a:r>
        </a:p>
        <a:p>
          <a:pPr marL="57150" lvl="1" indent="-57150" algn="l" defTabSz="400050">
            <a:lnSpc>
              <a:spcPct val="100000"/>
            </a:lnSpc>
            <a:spcBef>
              <a:spcPct val="0"/>
            </a:spcBef>
            <a:spcAft>
              <a:spcPts val="0"/>
            </a:spcAft>
            <a:buChar char="•"/>
          </a:pPr>
          <a:endParaRPr lang="en-US" sz="900" kern="1200">
            <a:solidFill>
              <a:sysClr val="windowText" lastClr="000000">
                <a:lumMod val="75000"/>
                <a:lumOff val="25000"/>
              </a:sysClr>
            </a:solidFill>
            <a:latin typeface="Calibri" panose="020F0502020204030204"/>
            <a:ea typeface="+mn-ea"/>
            <a:cs typeface="+mn-cs"/>
          </a:endParaRPr>
        </a:p>
        <a:p>
          <a:pPr marL="57150" lvl="1" indent="-57150" algn="l" defTabSz="444500">
            <a:lnSpc>
              <a:spcPct val="100000"/>
            </a:lnSpc>
            <a:spcBef>
              <a:spcPct val="0"/>
            </a:spcBef>
            <a:spcAft>
              <a:spcPts val="0"/>
            </a:spcAft>
            <a:buChar char="•"/>
          </a:pPr>
          <a:r>
            <a:rPr lang="en-US" sz="1000" kern="1200">
              <a:solidFill>
                <a:sysClr val="windowText" lastClr="000000">
                  <a:lumMod val="75000"/>
                  <a:lumOff val="25000"/>
                </a:sysClr>
              </a:solidFill>
              <a:latin typeface="Calibri" panose="020F0502020204030204"/>
              <a:ea typeface="+mn-ea"/>
              <a:cs typeface="+mn-cs"/>
            </a:rPr>
            <a:t>Project Sponsors cannot enter confidential information into any shared database or disclose such information to any other entity or individual, unless:</a:t>
          </a:r>
        </a:p>
        <a:p>
          <a:pPr marL="274320" lvl="2" indent="-57150" algn="l" defTabSz="444500">
            <a:lnSpc>
              <a:spcPct val="100000"/>
            </a:lnSpc>
            <a:spcBef>
              <a:spcPct val="0"/>
            </a:spcBef>
            <a:spcAft>
              <a:spcPts val="0"/>
            </a:spcAft>
            <a:buChar char="•"/>
          </a:pPr>
          <a:r>
            <a:rPr lang="en-US" sz="1000" kern="1200">
              <a:solidFill>
                <a:sysClr val="windowText" lastClr="000000">
                  <a:lumMod val="75000"/>
                  <a:lumOff val="25000"/>
                </a:sysClr>
              </a:solidFill>
              <a:latin typeface="Calibri" panose="020F0502020204030204"/>
              <a:ea typeface="+mn-ea"/>
              <a:cs typeface="+mn-cs"/>
            </a:rPr>
            <a:t>The survivor requests or consents in a time-limited release to the disclosure;</a:t>
          </a:r>
        </a:p>
        <a:p>
          <a:pPr marL="274320" lvl="2" indent="-57150" algn="l" defTabSz="444500">
            <a:lnSpc>
              <a:spcPct val="100000"/>
            </a:lnSpc>
            <a:spcBef>
              <a:spcPct val="0"/>
            </a:spcBef>
            <a:spcAft>
              <a:spcPts val="0"/>
            </a:spcAft>
            <a:buChar char="•"/>
          </a:pPr>
          <a:r>
            <a:rPr lang="en-US" sz="1000" kern="1200">
              <a:solidFill>
                <a:sysClr val="windowText" lastClr="000000">
                  <a:lumMod val="75000"/>
                  <a:lumOff val="25000"/>
                </a:sysClr>
              </a:solidFill>
              <a:latin typeface="Calibri" panose="020F0502020204030204"/>
              <a:ea typeface="+mn-ea"/>
              <a:cs typeface="+mn-cs"/>
            </a:rPr>
            <a:t>An eviction proceeding or hearing regarding termination of assistance from the DSHS HOPWA Program requires the disclosure; or</a:t>
          </a:r>
        </a:p>
        <a:p>
          <a:pPr marL="274320" lvl="2" indent="-57150" algn="l" defTabSz="444500">
            <a:lnSpc>
              <a:spcPct val="100000"/>
            </a:lnSpc>
            <a:spcBef>
              <a:spcPct val="0"/>
            </a:spcBef>
            <a:spcAft>
              <a:spcPts val="0"/>
            </a:spcAft>
            <a:buChar char="•"/>
          </a:pPr>
          <a:r>
            <a:rPr lang="en-US" sz="1000" kern="1200">
              <a:solidFill>
                <a:sysClr val="windowText" lastClr="000000">
                  <a:lumMod val="75000"/>
                  <a:lumOff val="25000"/>
                </a:sysClr>
              </a:solidFill>
              <a:latin typeface="Calibri" panose="020F0502020204030204"/>
              <a:ea typeface="+mn-ea"/>
              <a:cs typeface="+mn-cs"/>
            </a:rPr>
            <a:t>Applicable law otherwise mandates the disclosure.</a:t>
          </a:r>
        </a:p>
      </dsp:txBody>
      <dsp:txXfrm>
        <a:off x="1451159" y="4921569"/>
        <a:ext cx="7688814" cy="174702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0C0917-0876-4122-8496-C556C6E77999}">
      <dsp:nvSpPr>
        <dsp:cNvPr id="0" name=""/>
        <dsp:cNvSpPr/>
      </dsp:nvSpPr>
      <dsp:spPr>
        <a:xfrm>
          <a:off x="0" y="47002"/>
          <a:ext cx="9144000" cy="542880"/>
        </a:xfrm>
        <a:prstGeom prst="rect">
          <a:avLst/>
        </a:prstGeom>
        <a:solidFill>
          <a:schemeClr val="accent6">
            <a:lumMod val="60000"/>
            <a:lumOff val="4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b="1" kern="1200">
              <a:solidFill>
                <a:schemeClr val="accent6">
                  <a:lumMod val="50000"/>
                </a:schemeClr>
              </a:solidFill>
              <a:latin typeface="Calibri" panose="020F0502020204030204"/>
              <a:ea typeface="+mn-ea"/>
              <a:cs typeface="+mn-cs"/>
            </a:rPr>
            <a:t>Prohibited basis for denial or termination of assistance or eviction</a:t>
          </a:r>
        </a:p>
      </dsp:txBody>
      <dsp:txXfrm>
        <a:off x="0" y="47002"/>
        <a:ext cx="9144000" cy="542880"/>
      </dsp:txXfrm>
    </dsp:sp>
    <dsp:sp modelId="{D6CC8817-1774-4075-ACF2-0A02E0EFB155}">
      <dsp:nvSpPr>
        <dsp:cNvPr id="0" name=""/>
        <dsp:cNvSpPr/>
      </dsp:nvSpPr>
      <dsp:spPr>
        <a:xfrm>
          <a:off x="0" y="589882"/>
          <a:ext cx="9144000" cy="13806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90322" tIns="12700" rIns="71120" bIns="12700" numCol="1" spcCol="1270" anchor="t" anchorCtr="0">
          <a:noAutofit/>
        </a:bodyPr>
        <a:lstStyle/>
        <a:p>
          <a:pPr marL="57150" lvl="1" indent="-57150" algn="l" defTabSz="444500">
            <a:lnSpc>
              <a:spcPct val="100000"/>
            </a:lnSpc>
            <a:spcBef>
              <a:spcPct val="0"/>
            </a:spcBef>
            <a:spcAft>
              <a:spcPts val="0"/>
            </a:spcAft>
            <a:buChar char="•"/>
          </a:pPr>
          <a:r>
            <a:rPr lang="en-US" sz="1000" kern="1200">
              <a:solidFill>
                <a:sysClr val="windowText" lastClr="000000">
                  <a:hueOff val="0"/>
                  <a:satOff val="0"/>
                  <a:lumOff val="0"/>
                  <a:alphaOff val="0"/>
                </a:sysClr>
              </a:solidFill>
              <a:latin typeface="Calibri" panose="020F0502020204030204"/>
              <a:ea typeface="+mn-ea"/>
              <a:cs typeface="+mn-cs"/>
            </a:rPr>
            <a:t>An applicant or beneficiary of the DSHS HOPWA Program cannot be denied admission to, denied assistance under, terminated from participation in, or evicted from the unit solely because they survived domestic violence, dating violence, sexual assault, or stalking, if the applicant or beneficiary otherwise qualifies for admission, assistance, participation, or occupancy.</a:t>
          </a:r>
        </a:p>
        <a:p>
          <a:pPr marL="57150" lvl="1" indent="-57150" algn="l" defTabSz="400050">
            <a:lnSpc>
              <a:spcPct val="100000"/>
            </a:lnSpc>
            <a:spcBef>
              <a:spcPct val="0"/>
            </a:spcBef>
            <a:spcAft>
              <a:spcPts val="0"/>
            </a:spcAft>
            <a:buChar char="•"/>
          </a:pPr>
          <a:endParaRPr lang="en-US" sz="900" kern="1200">
            <a:solidFill>
              <a:sysClr val="windowText" lastClr="000000">
                <a:lumMod val="75000"/>
                <a:lumOff val="25000"/>
              </a:sysClr>
            </a:solidFill>
            <a:latin typeface="Calibri" panose="020F0502020204030204"/>
            <a:ea typeface="+mn-ea"/>
            <a:cs typeface="+mn-cs"/>
          </a:endParaRPr>
        </a:p>
        <a:p>
          <a:pPr marL="57150" lvl="1" indent="-57150" algn="l" defTabSz="444500">
            <a:lnSpc>
              <a:spcPct val="100000"/>
            </a:lnSpc>
            <a:spcBef>
              <a:spcPct val="0"/>
            </a:spcBef>
            <a:spcAft>
              <a:spcPts val="0"/>
            </a:spcAft>
            <a:buChar char="•"/>
          </a:pPr>
          <a:r>
            <a:rPr lang="en-US" sz="1000" kern="1200">
              <a:solidFill>
                <a:sysClr val="windowText" lastClr="000000">
                  <a:hueOff val="0"/>
                  <a:satOff val="0"/>
                  <a:lumOff val="0"/>
                  <a:alphaOff val="0"/>
                </a:sysClr>
              </a:solidFill>
              <a:latin typeface="Calibri" panose="020F0502020204030204"/>
              <a:ea typeface="+mn-ea"/>
              <a:cs typeface="+mn-cs"/>
            </a:rPr>
            <a:t>A beneficiary of the DSHS HOPWA Program cannot be denied assistance or occupancy rights solely based on criminal activity directly relating to domestic violence, dating violence, sexual assault, or stalking if:</a:t>
          </a:r>
        </a:p>
        <a:p>
          <a:pPr marL="274320" lvl="2" indent="-57150" algn="l" defTabSz="444500">
            <a:lnSpc>
              <a:spcPct val="100000"/>
            </a:lnSpc>
            <a:spcBef>
              <a:spcPct val="0"/>
            </a:spcBef>
            <a:spcAft>
              <a:spcPts val="0"/>
            </a:spcAft>
            <a:buChar char="•"/>
          </a:pPr>
          <a:r>
            <a:rPr lang="en-US" sz="1000" kern="1200">
              <a:solidFill>
                <a:sysClr val="windowText" lastClr="000000">
                  <a:hueOff val="0"/>
                  <a:satOff val="0"/>
                  <a:lumOff val="0"/>
                  <a:alphaOff val="0"/>
                </a:sysClr>
              </a:solidFill>
              <a:latin typeface="Calibri" panose="020F0502020204030204"/>
              <a:ea typeface="+mn-ea"/>
              <a:cs typeface="+mn-cs"/>
            </a:rPr>
            <a:t>A household member, guest, or other person under the control of the household perpetrates the criminal activity; and</a:t>
          </a:r>
        </a:p>
        <a:p>
          <a:pPr marL="274320" lvl="2" indent="-57150" algn="l" defTabSz="444500">
            <a:lnSpc>
              <a:spcPct val="100000"/>
            </a:lnSpc>
            <a:spcBef>
              <a:spcPct val="0"/>
            </a:spcBef>
            <a:spcAft>
              <a:spcPts val="0"/>
            </a:spcAft>
            <a:buChar char="•"/>
          </a:pPr>
          <a:r>
            <a:rPr lang="en-US" sz="1000" kern="1200">
              <a:solidFill>
                <a:sysClr val="windowText" lastClr="000000">
                  <a:hueOff val="0"/>
                  <a:satOff val="0"/>
                  <a:lumOff val="0"/>
                  <a:alphaOff val="0"/>
                </a:sysClr>
              </a:solidFill>
              <a:latin typeface="Calibri" panose="020F0502020204030204"/>
              <a:ea typeface="+mn-ea"/>
              <a:cs typeface="+mn-cs"/>
            </a:rPr>
            <a:t>A beneficiary survives actual or threatened domestic violence, dating violence, sexual assault, or stalking.</a:t>
          </a:r>
        </a:p>
        <a:p>
          <a:pPr marL="57150" lvl="1" indent="-57150" algn="l" defTabSz="400050">
            <a:lnSpc>
              <a:spcPct val="90000"/>
            </a:lnSpc>
            <a:spcBef>
              <a:spcPct val="0"/>
            </a:spcBef>
            <a:spcAft>
              <a:spcPct val="20000"/>
            </a:spcAft>
            <a:buChar char="•"/>
          </a:pPr>
          <a:endParaRPr lang="en-US" sz="900" kern="1200">
            <a:solidFill>
              <a:sysClr val="windowText" lastClr="000000">
                <a:hueOff val="0"/>
                <a:satOff val="0"/>
                <a:lumOff val="0"/>
                <a:alphaOff val="0"/>
              </a:sysClr>
            </a:solidFill>
            <a:latin typeface="Calibri" panose="020F0502020204030204"/>
            <a:ea typeface="+mn-ea"/>
            <a:cs typeface="+mn-cs"/>
          </a:endParaRPr>
        </a:p>
      </dsp:txBody>
      <dsp:txXfrm>
        <a:off x="0" y="589882"/>
        <a:ext cx="9144000" cy="1380689"/>
      </dsp:txXfrm>
    </dsp:sp>
    <dsp:sp modelId="{73226ED3-EC52-4BB0-A00C-F52C8896E340}">
      <dsp:nvSpPr>
        <dsp:cNvPr id="0" name=""/>
        <dsp:cNvSpPr/>
      </dsp:nvSpPr>
      <dsp:spPr>
        <a:xfrm>
          <a:off x="0" y="1970572"/>
          <a:ext cx="9144000" cy="542880"/>
        </a:xfrm>
        <a:prstGeom prst="rect">
          <a:avLst/>
        </a:prstGeom>
        <a:solidFill>
          <a:schemeClr val="accent6">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b="1" kern="1200">
              <a:solidFill>
                <a:schemeClr val="accent6">
                  <a:lumMod val="50000"/>
                </a:schemeClr>
              </a:solidFill>
              <a:latin typeface="Calibri" panose="020F0502020204030204"/>
              <a:ea typeface="+mn-ea"/>
              <a:cs typeface="+mn-cs"/>
            </a:rPr>
            <a:t>Construction of lease terms and terms of assistance</a:t>
          </a:r>
        </a:p>
      </dsp:txBody>
      <dsp:txXfrm>
        <a:off x="0" y="1970572"/>
        <a:ext cx="9144000" cy="542880"/>
      </dsp:txXfrm>
    </dsp:sp>
    <dsp:sp modelId="{37F284E5-6888-46F0-93E1-6F1B33E0E8F5}">
      <dsp:nvSpPr>
        <dsp:cNvPr id="0" name=""/>
        <dsp:cNvSpPr/>
      </dsp:nvSpPr>
      <dsp:spPr>
        <a:xfrm>
          <a:off x="0" y="2513452"/>
          <a:ext cx="9144000" cy="6303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90322" tIns="12700" rIns="71120" bIns="12700" numCol="1" spcCol="1270" anchor="t" anchorCtr="0">
          <a:noAutofit/>
        </a:bodyPr>
        <a:lstStyle/>
        <a:p>
          <a:pPr marL="57150" lvl="1" indent="-57150" algn="l" defTabSz="444500">
            <a:lnSpc>
              <a:spcPct val="100000"/>
            </a:lnSpc>
            <a:spcBef>
              <a:spcPct val="0"/>
            </a:spcBef>
            <a:spcAft>
              <a:spcPts val="0"/>
            </a:spcAft>
            <a:buChar char="•"/>
          </a:pPr>
          <a:r>
            <a:rPr lang="en-US" sz="1000" kern="1200">
              <a:solidFill>
                <a:sysClr val="windowText" lastClr="000000">
                  <a:hueOff val="0"/>
                  <a:satOff val="0"/>
                  <a:lumOff val="0"/>
                  <a:alphaOff val="0"/>
                </a:sysClr>
              </a:solidFill>
              <a:latin typeface="Calibri" panose="020F0502020204030204"/>
              <a:ea typeface="+mn-ea"/>
              <a:cs typeface="+mn-cs"/>
            </a:rPr>
            <a:t>An incident of actual or threatened domestic violence, dating violence, sexual assault, or stalking cannot be construed as:</a:t>
          </a:r>
        </a:p>
        <a:p>
          <a:pPr marL="274320" lvl="2" indent="-57150" algn="l" defTabSz="444500">
            <a:lnSpc>
              <a:spcPct val="100000"/>
            </a:lnSpc>
            <a:spcBef>
              <a:spcPct val="0"/>
            </a:spcBef>
            <a:spcAft>
              <a:spcPts val="0"/>
            </a:spcAft>
            <a:buChar char="•"/>
          </a:pPr>
          <a:r>
            <a:rPr lang="en-US" sz="1000" kern="1200">
              <a:solidFill>
                <a:sysClr val="windowText" lastClr="000000">
                  <a:hueOff val="0"/>
                  <a:satOff val="0"/>
                  <a:lumOff val="0"/>
                  <a:alphaOff val="0"/>
                </a:sysClr>
              </a:solidFill>
              <a:latin typeface="Calibri" panose="020F0502020204030204"/>
              <a:ea typeface="+mn-ea"/>
              <a:cs typeface="+mn-cs"/>
            </a:rPr>
            <a:t>A serious or repeated violation of an executed lease by the survivor or threatened survivor of such incident; or</a:t>
          </a:r>
        </a:p>
        <a:p>
          <a:pPr marL="274320" lvl="2" indent="-57150" algn="l" defTabSz="444500">
            <a:lnSpc>
              <a:spcPct val="100000"/>
            </a:lnSpc>
            <a:spcBef>
              <a:spcPct val="0"/>
            </a:spcBef>
            <a:spcAft>
              <a:spcPts val="0"/>
            </a:spcAft>
            <a:buChar char="•"/>
          </a:pPr>
          <a:r>
            <a:rPr lang="en-US" sz="1000" kern="1200">
              <a:solidFill>
                <a:sysClr val="windowText" lastClr="000000">
                  <a:hueOff val="0"/>
                  <a:satOff val="0"/>
                  <a:lumOff val="0"/>
                  <a:alphaOff val="0"/>
                </a:sysClr>
              </a:solidFill>
              <a:latin typeface="Calibri" panose="020F0502020204030204"/>
              <a:ea typeface="+mn-ea"/>
              <a:cs typeface="+mn-cs"/>
            </a:rPr>
            <a:t>Good cause for terminating the assistance, tenancy, or occupancy rights under the DSHS HOPWA Program of the survivor or threatened survivor of such incident.</a:t>
          </a:r>
        </a:p>
        <a:p>
          <a:pPr marL="57150" lvl="1" indent="-57150" algn="l" defTabSz="400050">
            <a:lnSpc>
              <a:spcPct val="90000"/>
            </a:lnSpc>
            <a:spcBef>
              <a:spcPct val="0"/>
            </a:spcBef>
            <a:spcAft>
              <a:spcPct val="20000"/>
            </a:spcAft>
            <a:buChar char="•"/>
          </a:pPr>
          <a:endParaRPr lang="en-US" sz="900" kern="1200">
            <a:solidFill>
              <a:sysClr val="windowText" lastClr="000000">
                <a:hueOff val="0"/>
                <a:satOff val="0"/>
                <a:lumOff val="0"/>
                <a:alphaOff val="0"/>
              </a:sysClr>
            </a:solidFill>
            <a:latin typeface="Calibri" panose="020F0502020204030204"/>
            <a:ea typeface="+mn-ea"/>
            <a:cs typeface="+mn-cs"/>
          </a:endParaRPr>
        </a:p>
      </dsp:txBody>
      <dsp:txXfrm>
        <a:off x="0" y="2513452"/>
        <a:ext cx="9144000" cy="630315"/>
      </dsp:txXfrm>
    </dsp:sp>
    <dsp:sp modelId="{2643F85D-E8E8-4F7C-A383-2E04C59944B1}">
      <dsp:nvSpPr>
        <dsp:cNvPr id="0" name=""/>
        <dsp:cNvSpPr/>
      </dsp:nvSpPr>
      <dsp:spPr>
        <a:xfrm>
          <a:off x="0" y="3143767"/>
          <a:ext cx="9144000" cy="542880"/>
        </a:xfrm>
        <a:prstGeom prst="rect">
          <a:avLst/>
        </a:prstGeom>
        <a:solidFill>
          <a:schemeClr val="accent6">
            <a:lumMod val="20000"/>
            <a:lumOff val="8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b="1" kern="1200">
              <a:solidFill>
                <a:schemeClr val="accent6">
                  <a:lumMod val="50000"/>
                </a:schemeClr>
              </a:solidFill>
              <a:latin typeface="Calibri" panose="020F0502020204030204"/>
              <a:ea typeface="+mn-ea"/>
              <a:cs typeface="+mn-cs"/>
            </a:rPr>
            <a:t>Limitations of VAWA protections</a:t>
          </a:r>
        </a:p>
      </dsp:txBody>
      <dsp:txXfrm>
        <a:off x="0" y="3143767"/>
        <a:ext cx="9144000" cy="542880"/>
      </dsp:txXfrm>
    </dsp:sp>
    <dsp:sp modelId="{F49A2545-9B16-4C8B-AC03-E584AA9C0A1F}">
      <dsp:nvSpPr>
        <dsp:cNvPr id="0" name=""/>
        <dsp:cNvSpPr/>
      </dsp:nvSpPr>
      <dsp:spPr>
        <a:xfrm>
          <a:off x="0" y="3686647"/>
          <a:ext cx="9144000" cy="29414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90322" tIns="12700" rIns="71120" bIns="12700" numCol="1" spcCol="1270" anchor="t" anchorCtr="0">
          <a:noAutofit/>
        </a:bodyPr>
        <a:lstStyle/>
        <a:p>
          <a:pPr marL="57150" lvl="1" indent="-57150" algn="l" defTabSz="444500">
            <a:lnSpc>
              <a:spcPct val="100000"/>
            </a:lnSpc>
            <a:spcBef>
              <a:spcPct val="0"/>
            </a:spcBef>
            <a:spcAft>
              <a:spcPts val="0"/>
            </a:spcAft>
            <a:buChar char="•"/>
          </a:pPr>
          <a:r>
            <a:rPr lang="en-US" sz="1000" kern="1200">
              <a:solidFill>
                <a:sysClr val="windowText" lastClr="000000">
                  <a:hueOff val="0"/>
                  <a:satOff val="0"/>
                  <a:lumOff val="0"/>
                  <a:alphaOff val="0"/>
                </a:sysClr>
              </a:solidFill>
              <a:latin typeface="Calibri" panose="020F0502020204030204"/>
              <a:ea typeface="+mn-ea"/>
              <a:cs typeface="+mn-cs"/>
            </a:rPr>
            <a:t>VAWA does not limit owners or Project Sponsors, when notified of a court order, from complying with a court order with respect to:</a:t>
          </a:r>
        </a:p>
        <a:p>
          <a:pPr marL="274320" lvl="2" indent="-57150" algn="l" defTabSz="444500">
            <a:lnSpc>
              <a:spcPct val="100000"/>
            </a:lnSpc>
            <a:spcBef>
              <a:spcPct val="0"/>
            </a:spcBef>
            <a:spcAft>
              <a:spcPts val="0"/>
            </a:spcAft>
            <a:buChar char="•"/>
          </a:pPr>
          <a:r>
            <a:rPr lang="en-US" sz="1000" kern="1200">
              <a:solidFill>
                <a:sysClr val="windowText" lastClr="000000">
                  <a:hueOff val="0"/>
                  <a:satOff val="0"/>
                  <a:lumOff val="0"/>
                  <a:alphaOff val="0"/>
                </a:sysClr>
              </a:solidFill>
              <a:latin typeface="Calibri" panose="020F0502020204030204"/>
              <a:ea typeface="+mn-ea"/>
              <a:cs typeface="+mn-cs"/>
            </a:rPr>
            <a:t>The rights of access or control of property, including civil protection orders issued to protect survivors of domestic violence, dating violence, sexual assault, or stalking; or</a:t>
          </a:r>
        </a:p>
        <a:p>
          <a:pPr marL="274320" lvl="2" indent="-57150" algn="l" defTabSz="444500">
            <a:lnSpc>
              <a:spcPct val="100000"/>
            </a:lnSpc>
            <a:spcBef>
              <a:spcPct val="0"/>
            </a:spcBef>
            <a:spcAft>
              <a:spcPts val="0"/>
            </a:spcAft>
            <a:buChar char="•"/>
          </a:pPr>
          <a:r>
            <a:rPr lang="en-US" sz="1000" kern="1200">
              <a:solidFill>
                <a:sysClr val="windowText" lastClr="000000">
                  <a:hueOff val="0"/>
                  <a:satOff val="0"/>
                  <a:lumOff val="0"/>
                  <a:alphaOff val="0"/>
                </a:sysClr>
              </a:solidFill>
              <a:latin typeface="Calibri" panose="020F0502020204030204"/>
              <a:ea typeface="+mn-ea"/>
              <a:cs typeface="+mn-cs"/>
            </a:rPr>
            <a:t>The distribution or possession of property among beneficiaries.</a:t>
          </a:r>
        </a:p>
        <a:p>
          <a:pPr marL="274320" lvl="1" indent="-57150" algn="l" defTabSz="400050">
            <a:lnSpc>
              <a:spcPct val="100000"/>
            </a:lnSpc>
            <a:spcBef>
              <a:spcPct val="0"/>
            </a:spcBef>
            <a:spcAft>
              <a:spcPts val="0"/>
            </a:spcAft>
            <a:buChar char="•"/>
          </a:pPr>
          <a:endParaRPr lang="en-US" sz="900" kern="1200">
            <a:solidFill>
              <a:sysClr val="windowText" lastClr="000000">
                <a:lumMod val="75000"/>
                <a:lumOff val="25000"/>
              </a:sysClr>
            </a:solidFill>
            <a:latin typeface="Calibri" panose="020F0502020204030204"/>
            <a:ea typeface="+mn-ea"/>
            <a:cs typeface="+mn-cs"/>
          </a:endParaRPr>
        </a:p>
        <a:p>
          <a:pPr marL="57150" lvl="1" indent="-57150" algn="l" defTabSz="444500">
            <a:lnSpc>
              <a:spcPct val="100000"/>
            </a:lnSpc>
            <a:spcBef>
              <a:spcPct val="0"/>
            </a:spcBef>
            <a:spcAft>
              <a:spcPts val="0"/>
            </a:spcAft>
            <a:buChar char="•"/>
          </a:pPr>
          <a:r>
            <a:rPr lang="en-US" sz="1000" kern="1200">
              <a:solidFill>
                <a:sysClr val="windowText" lastClr="000000">
                  <a:hueOff val="0"/>
                  <a:satOff val="0"/>
                  <a:lumOff val="0"/>
                  <a:alphaOff val="0"/>
                </a:sysClr>
              </a:solidFill>
              <a:latin typeface="Calibri" panose="020F0502020204030204"/>
              <a:ea typeface="+mn-ea"/>
              <a:cs typeface="+mn-cs"/>
            </a:rPr>
            <a:t>VAWA does not limit owners or Project Sponsors from evicting or terminating assistance to a household for any violation unrelated to domestic violence, dating violence, sexual assault, or stalking attributable to the beneficiaries in question. However, owners or Project Sponsors must not subject a beneficiary, who survived domestic violence, dating violence, sexual assault, or stalking, or affiliates with a beneficiary who survived the same, to a more demanding standard than other beneficiaries in determining whether to evict or terminate assistance.</a:t>
          </a:r>
        </a:p>
        <a:p>
          <a:pPr marL="57150" lvl="1" indent="-57150" algn="l" defTabSz="400050">
            <a:lnSpc>
              <a:spcPct val="100000"/>
            </a:lnSpc>
            <a:spcBef>
              <a:spcPct val="0"/>
            </a:spcBef>
            <a:spcAft>
              <a:spcPts val="0"/>
            </a:spcAft>
            <a:buChar char="•"/>
          </a:pPr>
          <a:endParaRPr lang="en-US" sz="900" kern="1200">
            <a:solidFill>
              <a:sysClr val="windowText" lastClr="000000">
                <a:lumMod val="75000"/>
                <a:lumOff val="25000"/>
              </a:sysClr>
            </a:solidFill>
            <a:latin typeface="Calibri" panose="020F0502020204030204"/>
            <a:ea typeface="+mn-ea"/>
            <a:cs typeface="+mn-cs"/>
          </a:endParaRPr>
        </a:p>
        <a:p>
          <a:pPr marL="57150" lvl="1" indent="-57150" algn="l" defTabSz="444500">
            <a:lnSpc>
              <a:spcPct val="100000"/>
            </a:lnSpc>
            <a:spcBef>
              <a:spcPct val="0"/>
            </a:spcBef>
            <a:spcAft>
              <a:spcPts val="0"/>
            </a:spcAft>
            <a:buChar char="•"/>
          </a:pPr>
          <a:r>
            <a:rPr lang="en-US" sz="1000" kern="1200">
              <a:solidFill>
                <a:sysClr val="windowText" lastClr="000000">
                  <a:hueOff val="0"/>
                  <a:satOff val="0"/>
                  <a:lumOff val="0"/>
                  <a:alphaOff val="0"/>
                </a:sysClr>
              </a:solidFill>
              <a:latin typeface="Calibri" panose="020F0502020204030204"/>
              <a:ea typeface="+mn-ea"/>
              <a:cs typeface="+mn-cs"/>
            </a:rPr>
            <a:t>VAWA does not limit owners or Project Sponsors from evicting or terminating assistance to a household when they can demonstrate the presence of an actual and imminent threat to other households or those employed at or providing services to the property of the owner or Project Sponsor if they did not evict or terminate assistance to the beneficiary or household. In this context, an “actual and imminent threat” includes words, gestures, actions, or other indicators that meet the definition of “actual and imminent threat” in 24 CFR §5.2003.</a:t>
          </a:r>
        </a:p>
        <a:p>
          <a:pPr marL="57150" lvl="1" indent="-57150" algn="l" defTabSz="400050">
            <a:lnSpc>
              <a:spcPct val="100000"/>
            </a:lnSpc>
            <a:spcBef>
              <a:spcPct val="0"/>
            </a:spcBef>
            <a:spcAft>
              <a:spcPts val="0"/>
            </a:spcAft>
            <a:buChar char="•"/>
          </a:pPr>
          <a:endParaRPr lang="en-US" sz="900" kern="1200">
            <a:solidFill>
              <a:sysClr val="windowText" lastClr="000000">
                <a:lumMod val="75000"/>
                <a:lumOff val="25000"/>
              </a:sysClr>
            </a:solidFill>
            <a:latin typeface="Calibri" panose="020F0502020204030204"/>
            <a:ea typeface="+mn-ea"/>
            <a:cs typeface="+mn-cs"/>
          </a:endParaRPr>
        </a:p>
        <a:p>
          <a:pPr marL="57150" lvl="1" indent="-57150" algn="l" defTabSz="444500">
            <a:lnSpc>
              <a:spcPct val="100000"/>
            </a:lnSpc>
            <a:spcBef>
              <a:spcPct val="0"/>
            </a:spcBef>
            <a:spcAft>
              <a:spcPts val="0"/>
            </a:spcAft>
            <a:buChar char="•"/>
          </a:pPr>
          <a:r>
            <a:rPr lang="en-US" sz="1000" kern="1200">
              <a:solidFill>
                <a:sysClr val="windowText" lastClr="000000">
                  <a:hueOff val="0"/>
                  <a:satOff val="0"/>
                  <a:lumOff val="0"/>
                  <a:alphaOff val="0"/>
                </a:sysClr>
              </a:solidFill>
              <a:latin typeface="Calibri" panose="020F0502020204030204"/>
              <a:ea typeface="+mn-ea"/>
              <a:cs typeface="+mn-cs"/>
            </a:rPr>
            <a:t>Owners or Project Sponsors should utilize eviction or termination of assistance only when they cannot reduce or eliminate threats via other actions including but not limited to transferring survivors to a different unit, barring the accused perpetrator from the property, contacting law enforcement to increase police presence or develop other plans to keep the property safe, or seeking other legal remedies to prevent the accused perpetrator from acting on a threat. Owners or Project Sponsors must tailor such restrictions to particularized concerns about individual beneficiaries. Restrictions predicated on public safety cannot rely on stereotypes.</a:t>
          </a:r>
        </a:p>
      </dsp:txBody>
      <dsp:txXfrm>
        <a:off x="0" y="3686647"/>
        <a:ext cx="9144000" cy="294147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4F5DBD-7E9D-4209-863D-A6F5A9AD0CDC}">
      <dsp:nvSpPr>
        <dsp:cNvPr id="0" name=""/>
        <dsp:cNvSpPr/>
      </dsp:nvSpPr>
      <dsp:spPr>
        <a:xfrm>
          <a:off x="3134666" y="9040850"/>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3244614" y="9080784"/>
        <a:ext cx="11573" cy="11573"/>
      </dsp:txXfrm>
    </dsp:sp>
    <dsp:sp modelId="{2AC473AC-5BDE-47A5-861B-8F7D4CCC4BF6}">
      <dsp:nvSpPr>
        <dsp:cNvPr id="0" name=""/>
        <dsp:cNvSpPr/>
      </dsp:nvSpPr>
      <dsp:spPr>
        <a:xfrm>
          <a:off x="1745846" y="8562808"/>
          <a:ext cx="231469" cy="523762"/>
        </a:xfrm>
        <a:custGeom>
          <a:avLst/>
          <a:gdLst/>
          <a:ahLst/>
          <a:cxnLst/>
          <a:rect l="0" t="0" r="0" b="0"/>
          <a:pathLst>
            <a:path>
              <a:moveTo>
                <a:pt x="0" y="0"/>
              </a:moveTo>
              <a:lnTo>
                <a:pt x="115734" y="0"/>
              </a:lnTo>
              <a:lnTo>
                <a:pt x="115734" y="523762"/>
              </a:lnTo>
              <a:lnTo>
                <a:pt x="231469" y="52376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1847265" y="8810373"/>
        <a:ext cx="28631" cy="28631"/>
      </dsp:txXfrm>
    </dsp:sp>
    <dsp:sp modelId="{D004409E-E2E7-4ACD-A696-65980A0F7E7C}">
      <dsp:nvSpPr>
        <dsp:cNvPr id="0" name=""/>
        <dsp:cNvSpPr/>
      </dsp:nvSpPr>
      <dsp:spPr>
        <a:xfrm>
          <a:off x="10078764" y="8645507"/>
          <a:ext cx="231469" cy="220531"/>
        </a:xfrm>
        <a:custGeom>
          <a:avLst/>
          <a:gdLst/>
          <a:ahLst/>
          <a:cxnLst/>
          <a:rect l="0" t="0" r="0" b="0"/>
          <a:pathLst>
            <a:path>
              <a:moveTo>
                <a:pt x="0" y="0"/>
              </a:moveTo>
              <a:lnTo>
                <a:pt x="115734" y="0"/>
              </a:lnTo>
              <a:lnTo>
                <a:pt x="115734" y="220531"/>
              </a:lnTo>
              <a:lnTo>
                <a:pt x="231469" y="22053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10186506" y="8747780"/>
        <a:ext cx="15985" cy="15985"/>
      </dsp:txXfrm>
    </dsp:sp>
    <dsp:sp modelId="{AA00CE5F-B06A-438B-A204-44899F7F433D}">
      <dsp:nvSpPr>
        <dsp:cNvPr id="0" name=""/>
        <dsp:cNvSpPr/>
      </dsp:nvSpPr>
      <dsp:spPr>
        <a:xfrm>
          <a:off x="10078764" y="8424976"/>
          <a:ext cx="231469" cy="220531"/>
        </a:xfrm>
        <a:custGeom>
          <a:avLst/>
          <a:gdLst/>
          <a:ahLst/>
          <a:cxnLst/>
          <a:rect l="0" t="0" r="0" b="0"/>
          <a:pathLst>
            <a:path>
              <a:moveTo>
                <a:pt x="0" y="220531"/>
              </a:moveTo>
              <a:lnTo>
                <a:pt x="115734" y="220531"/>
              </a:lnTo>
              <a:lnTo>
                <a:pt x="115734" y="0"/>
              </a:lnTo>
              <a:lnTo>
                <a:pt x="231469"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10186506" y="8527249"/>
        <a:ext cx="15985" cy="15985"/>
      </dsp:txXfrm>
    </dsp:sp>
    <dsp:sp modelId="{E04E08AE-21F4-494C-8E94-9536B88193BE}">
      <dsp:nvSpPr>
        <dsp:cNvPr id="0" name=""/>
        <dsp:cNvSpPr/>
      </dsp:nvSpPr>
      <dsp:spPr>
        <a:xfrm>
          <a:off x="8689944" y="8599787"/>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8799893" y="8639721"/>
        <a:ext cx="11573" cy="11573"/>
      </dsp:txXfrm>
    </dsp:sp>
    <dsp:sp modelId="{0A7B5F60-05DE-4D32-817A-A39D17916A73}">
      <dsp:nvSpPr>
        <dsp:cNvPr id="0" name=""/>
        <dsp:cNvSpPr/>
      </dsp:nvSpPr>
      <dsp:spPr>
        <a:xfrm>
          <a:off x="7301125" y="8599787"/>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7411073" y="8639721"/>
        <a:ext cx="11573" cy="11573"/>
      </dsp:txXfrm>
    </dsp:sp>
    <dsp:sp modelId="{BC331464-CDDC-426F-982A-E9408DC87AF8}">
      <dsp:nvSpPr>
        <dsp:cNvPr id="0" name=""/>
        <dsp:cNvSpPr/>
      </dsp:nvSpPr>
      <dsp:spPr>
        <a:xfrm>
          <a:off x="5912305" y="8599787"/>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6022253" y="8639721"/>
        <a:ext cx="11573" cy="11573"/>
      </dsp:txXfrm>
    </dsp:sp>
    <dsp:sp modelId="{C70C8673-7E59-4711-A1B4-5E54F2F79316}">
      <dsp:nvSpPr>
        <dsp:cNvPr id="0" name=""/>
        <dsp:cNvSpPr/>
      </dsp:nvSpPr>
      <dsp:spPr>
        <a:xfrm>
          <a:off x="4523485" y="8599787"/>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4633434" y="8639721"/>
        <a:ext cx="11573" cy="11573"/>
      </dsp:txXfrm>
    </dsp:sp>
    <dsp:sp modelId="{5C7A560B-2F3C-4741-A271-CB1DCE164347}">
      <dsp:nvSpPr>
        <dsp:cNvPr id="0" name=""/>
        <dsp:cNvSpPr/>
      </dsp:nvSpPr>
      <dsp:spPr>
        <a:xfrm>
          <a:off x="3134666" y="8039045"/>
          <a:ext cx="231469" cy="606461"/>
        </a:xfrm>
        <a:custGeom>
          <a:avLst/>
          <a:gdLst/>
          <a:ahLst/>
          <a:cxnLst/>
          <a:rect l="0" t="0" r="0" b="0"/>
          <a:pathLst>
            <a:path>
              <a:moveTo>
                <a:pt x="0" y="0"/>
              </a:moveTo>
              <a:lnTo>
                <a:pt x="115734" y="0"/>
              </a:lnTo>
              <a:lnTo>
                <a:pt x="115734" y="606461"/>
              </a:lnTo>
              <a:lnTo>
                <a:pt x="231469" y="60646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3234172" y="8326048"/>
        <a:ext cx="32456" cy="32456"/>
      </dsp:txXfrm>
    </dsp:sp>
    <dsp:sp modelId="{65989A29-8BC5-451C-99BF-14E7A52E6794}">
      <dsp:nvSpPr>
        <dsp:cNvPr id="0" name=""/>
        <dsp:cNvSpPr/>
      </dsp:nvSpPr>
      <dsp:spPr>
        <a:xfrm>
          <a:off x="12856403" y="8158724"/>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12966352" y="8198657"/>
        <a:ext cx="11573" cy="11573"/>
      </dsp:txXfrm>
    </dsp:sp>
    <dsp:sp modelId="{DD660567-14CD-4E83-84E6-689616DBA23C}">
      <dsp:nvSpPr>
        <dsp:cNvPr id="0" name=""/>
        <dsp:cNvSpPr/>
      </dsp:nvSpPr>
      <dsp:spPr>
        <a:xfrm>
          <a:off x="11467584" y="7983913"/>
          <a:ext cx="231469" cy="220531"/>
        </a:xfrm>
        <a:custGeom>
          <a:avLst/>
          <a:gdLst/>
          <a:ahLst/>
          <a:cxnLst/>
          <a:rect l="0" t="0" r="0" b="0"/>
          <a:pathLst>
            <a:path>
              <a:moveTo>
                <a:pt x="0" y="0"/>
              </a:moveTo>
              <a:lnTo>
                <a:pt x="115734" y="0"/>
              </a:lnTo>
              <a:lnTo>
                <a:pt x="115734" y="220531"/>
              </a:lnTo>
              <a:lnTo>
                <a:pt x="231469" y="22053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11575326" y="8086186"/>
        <a:ext cx="15985" cy="15985"/>
      </dsp:txXfrm>
    </dsp:sp>
    <dsp:sp modelId="{0510F77E-5529-4BA9-8043-98F7A928DD18}">
      <dsp:nvSpPr>
        <dsp:cNvPr id="0" name=""/>
        <dsp:cNvSpPr/>
      </dsp:nvSpPr>
      <dsp:spPr>
        <a:xfrm>
          <a:off x="11467584" y="7763381"/>
          <a:ext cx="231469" cy="220531"/>
        </a:xfrm>
        <a:custGeom>
          <a:avLst/>
          <a:gdLst/>
          <a:ahLst/>
          <a:cxnLst/>
          <a:rect l="0" t="0" r="0" b="0"/>
          <a:pathLst>
            <a:path>
              <a:moveTo>
                <a:pt x="0" y="220531"/>
              </a:moveTo>
              <a:lnTo>
                <a:pt x="115734" y="220531"/>
              </a:lnTo>
              <a:lnTo>
                <a:pt x="115734" y="0"/>
              </a:lnTo>
              <a:lnTo>
                <a:pt x="231469"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11575326" y="7865654"/>
        <a:ext cx="15985" cy="15985"/>
      </dsp:txXfrm>
    </dsp:sp>
    <dsp:sp modelId="{309EF94E-6B8E-43D7-914B-AD99793F8E6C}">
      <dsp:nvSpPr>
        <dsp:cNvPr id="0" name=""/>
        <dsp:cNvSpPr/>
      </dsp:nvSpPr>
      <dsp:spPr>
        <a:xfrm>
          <a:off x="10078764" y="7938193"/>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10188712" y="7978126"/>
        <a:ext cx="11573" cy="11573"/>
      </dsp:txXfrm>
    </dsp:sp>
    <dsp:sp modelId="{6E4F4CCC-D468-475E-945D-90F694E4EE07}">
      <dsp:nvSpPr>
        <dsp:cNvPr id="0" name=""/>
        <dsp:cNvSpPr/>
      </dsp:nvSpPr>
      <dsp:spPr>
        <a:xfrm>
          <a:off x="8689944" y="7938193"/>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8799893" y="7978126"/>
        <a:ext cx="11573" cy="11573"/>
      </dsp:txXfrm>
    </dsp:sp>
    <dsp:sp modelId="{5B6491E9-2C27-4B90-A2E1-04724995B4AE}">
      <dsp:nvSpPr>
        <dsp:cNvPr id="0" name=""/>
        <dsp:cNvSpPr/>
      </dsp:nvSpPr>
      <dsp:spPr>
        <a:xfrm>
          <a:off x="7301125" y="7938193"/>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7411073" y="7978126"/>
        <a:ext cx="11573" cy="11573"/>
      </dsp:txXfrm>
    </dsp:sp>
    <dsp:sp modelId="{5994E621-2924-40EB-9D1E-49040ED745C3}">
      <dsp:nvSpPr>
        <dsp:cNvPr id="0" name=""/>
        <dsp:cNvSpPr/>
      </dsp:nvSpPr>
      <dsp:spPr>
        <a:xfrm>
          <a:off x="5912305" y="7432584"/>
          <a:ext cx="231469" cy="551328"/>
        </a:xfrm>
        <a:custGeom>
          <a:avLst/>
          <a:gdLst/>
          <a:ahLst/>
          <a:cxnLst/>
          <a:rect l="0" t="0" r="0" b="0"/>
          <a:pathLst>
            <a:path>
              <a:moveTo>
                <a:pt x="0" y="0"/>
              </a:moveTo>
              <a:lnTo>
                <a:pt x="115734" y="0"/>
              </a:lnTo>
              <a:lnTo>
                <a:pt x="115734" y="551328"/>
              </a:lnTo>
              <a:lnTo>
                <a:pt x="231469" y="55132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6013091" y="7693299"/>
        <a:ext cx="29897" cy="29897"/>
      </dsp:txXfrm>
    </dsp:sp>
    <dsp:sp modelId="{181C7374-AA1E-4A1E-9589-1B7A64BD4575}">
      <dsp:nvSpPr>
        <dsp:cNvPr id="0" name=""/>
        <dsp:cNvSpPr/>
      </dsp:nvSpPr>
      <dsp:spPr>
        <a:xfrm>
          <a:off x="11467584" y="7276598"/>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11577532" y="7316531"/>
        <a:ext cx="11573" cy="11573"/>
      </dsp:txXfrm>
    </dsp:sp>
    <dsp:sp modelId="{5E789571-F673-4348-8EB9-BA721675B9EC}">
      <dsp:nvSpPr>
        <dsp:cNvPr id="0" name=""/>
        <dsp:cNvSpPr/>
      </dsp:nvSpPr>
      <dsp:spPr>
        <a:xfrm>
          <a:off x="10078764" y="7101786"/>
          <a:ext cx="231469" cy="220531"/>
        </a:xfrm>
        <a:custGeom>
          <a:avLst/>
          <a:gdLst/>
          <a:ahLst/>
          <a:cxnLst/>
          <a:rect l="0" t="0" r="0" b="0"/>
          <a:pathLst>
            <a:path>
              <a:moveTo>
                <a:pt x="0" y="0"/>
              </a:moveTo>
              <a:lnTo>
                <a:pt x="115734" y="0"/>
              </a:lnTo>
              <a:lnTo>
                <a:pt x="115734" y="220531"/>
              </a:lnTo>
              <a:lnTo>
                <a:pt x="231469" y="22053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10186506" y="7204059"/>
        <a:ext cx="15985" cy="15985"/>
      </dsp:txXfrm>
    </dsp:sp>
    <dsp:sp modelId="{F749927E-45CE-4087-A826-4A0B75D14CC8}">
      <dsp:nvSpPr>
        <dsp:cNvPr id="0" name=""/>
        <dsp:cNvSpPr/>
      </dsp:nvSpPr>
      <dsp:spPr>
        <a:xfrm>
          <a:off x="11467584" y="6835535"/>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11577532" y="6875468"/>
        <a:ext cx="11573" cy="11573"/>
      </dsp:txXfrm>
    </dsp:sp>
    <dsp:sp modelId="{EFE81196-CCD8-43A7-8370-1EBC0B05E8EC}">
      <dsp:nvSpPr>
        <dsp:cNvPr id="0" name=""/>
        <dsp:cNvSpPr/>
      </dsp:nvSpPr>
      <dsp:spPr>
        <a:xfrm>
          <a:off x="10078764" y="6881255"/>
          <a:ext cx="231469" cy="220531"/>
        </a:xfrm>
        <a:custGeom>
          <a:avLst/>
          <a:gdLst/>
          <a:ahLst/>
          <a:cxnLst/>
          <a:rect l="0" t="0" r="0" b="0"/>
          <a:pathLst>
            <a:path>
              <a:moveTo>
                <a:pt x="0" y="220531"/>
              </a:moveTo>
              <a:lnTo>
                <a:pt x="115734" y="220531"/>
              </a:lnTo>
              <a:lnTo>
                <a:pt x="115734" y="0"/>
              </a:lnTo>
              <a:lnTo>
                <a:pt x="231469"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10186506" y="6983528"/>
        <a:ext cx="15985" cy="15985"/>
      </dsp:txXfrm>
    </dsp:sp>
    <dsp:sp modelId="{88B83AB6-9B9C-43C6-8A71-2C2D933CBB33}">
      <dsp:nvSpPr>
        <dsp:cNvPr id="0" name=""/>
        <dsp:cNvSpPr/>
      </dsp:nvSpPr>
      <dsp:spPr>
        <a:xfrm>
          <a:off x="8689944" y="7056066"/>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8799893" y="7096000"/>
        <a:ext cx="11573" cy="11573"/>
      </dsp:txXfrm>
    </dsp:sp>
    <dsp:sp modelId="{70963B69-08BB-4D6F-B45B-0CD3EFF40D6C}">
      <dsp:nvSpPr>
        <dsp:cNvPr id="0" name=""/>
        <dsp:cNvSpPr/>
      </dsp:nvSpPr>
      <dsp:spPr>
        <a:xfrm>
          <a:off x="7301125" y="6881255"/>
          <a:ext cx="231469" cy="220531"/>
        </a:xfrm>
        <a:custGeom>
          <a:avLst/>
          <a:gdLst/>
          <a:ahLst/>
          <a:cxnLst/>
          <a:rect l="0" t="0" r="0" b="0"/>
          <a:pathLst>
            <a:path>
              <a:moveTo>
                <a:pt x="0" y="0"/>
              </a:moveTo>
              <a:lnTo>
                <a:pt x="115734" y="0"/>
              </a:lnTo>
              <a:lnTo>
                <a:pt x="115734" y="220531"/>
              </a:lnTo>
              <a:lnTo>
                <a:pt x="231469" y="22053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7408867" y="6983528"/>
        <a:ext cx="15985" cy="15985"/>
      </dsp:txXfrm>
    </dsp:sp>
    <dsp:sp modelId="{040A1CE8-79AB-42AE-8D5F-75C6EDA77FFC}">
      <dsp:nvSpPr>
        <dsp:cNvPr id="0" name=""/>
        <dsp:cNvSpPr/>
      </dsp:nvSpPr>
      <dsp:spPr>
        <a:xfrm>
          <a:off x="7301125" y="6660723"/>
          <a:ext cx="231469" cy="220531"/>
        </a:xfrm>
        <a:custGeom>
          <a:avLst/>
          <a:gdLst/>
          <a:ahLst/>
          <a:cxnLst/>
          <a:rect l="0" t="0" r="0" b="0"/>
          <a:pathLst>
            <a:path>
              <a:moveTo>
                <a:pt x="0" y="220531"/>
              </a:moveTo>
              <a:lnTo>
                <a:pt x="115734" y="220531"/>
              </a:lnTo>
              <a:lnTo>
                <a:pt x="115734" y="0"/>
              </a:lnTo>
              <a:lnTo>
                <a:pt x="231469"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7408867" y="6762996"/>
        <a:ext cx="15985" cy="15985"/>
      </dsp:txXfrm>
    </dsp:sp>
    <dsp:sp modelId="{D832059A-A2C6-4344-9BBC-4876E486EC40}">
      <dsp:nvSpPr>
        <dsp:cNvPr id="0" name=""/>
        <dsp:cNvSpPr/>
      </dsp:nvSpPr>
      <dsp:spPr>
        <a:xfrm>
          <a:off x="5912305" y="6881255"/>
          <a:ext cx="231469" cy="551328"/>
        </a:xfrm>
        <a:custGeom>
          <a:avLst/>
          <a:gdLst/>
          <a:ahLst/>
          <a:cxnLst/>
          <a:rect l="0" t="0" r="0" b="0"/>
          <a:pathLst>
            <a:path>
              <a:moveTo>
                <a:pt x="0" y="551328"/>
              </a:moveTo>
              <a:lnTo>
                <a:pt x="115734" y="551328"/>
              </a:lnTo>
              <a:lnTo>
                <a:pt x="115734" y="0"/>
              </a:lnTo>
              <a:lnTo>
                <a:pt x="231469"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6013091" y="7141970"/>
        <a:ext cx="29897" cy="29897"/>
      </dsp:txXfrm>
    </dsp:sp>
    <dsp:sp modelId="{15852B67-18C2-4A0A-BF10-6F3FCB3AC9E0}">
      <dsp:nvSpPr>
        <dsp:cNvPr id="0" name=""/>
        <dsp:cNvSpPr/>
      </dsp:nvSpPr>
      <dsp:spPr>
        <a:xfrm>
          <a:off x="4523485" y="7386864"/>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4633434" y="7426797"/>
        <a:ext cx="11573" cy="11573"/>
      </dsp:txXfrm>
    </dsp:sp>
    <dsp:sp modelId="{10C0587D-DAAE-4DBC-884B-BB3BC19BEB96}">
      <dsp:nvSpPr>
        <dsp:cNvPr id="0" name=""/>
        <dsp:cNvSpPr/>
      </dsp:nvSpPr>
      <dsp:spPr>
        <a:xfrm>
          <a:off x="3134666" y="7432584"/>
          <a:ext cx="231469" cy="606461"/>
        </a:xfrm>
        <a:custGeom>
          <a:avLst/>
          <a:gdLst/>
          <a:ahLst/>
          <a:cxnLst/>
          <a:rect l="0" t="0" r="0" b="0"/>
          <a:pathLst>
            <a:path>
              <a:moveTo>
                <a:pt x="0" y="606461"/>
              </a:moveTo>
              <a:lnTo>
                <a:pt x="115734" y="606461"/>
              </a:lnTo>
              <a:lnTo>
                <a:pt x="115734" y="0"/>
              </a:lnTo>
              <a:lnTo>
                <a:pt x="231469"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3234172" y="7719586"/>
        <a:ext cx="32456" cy="32456"/>
      </dsp:txXfrm>
    </dsp:sp>
    <dsp:sp modelId="{8F7273BC-E7FB-4729-BDCB-2ACCB51DFB29}">
      <dsp:nvSpPr>
        <dsp:cNvPr id="0" name=""/>
        <dsp:cNvSpPr/>
      </dsp:nvSpPr>
      <dsp:spPr>
        <a:xfrm>
          <a:off x="1745846" y="8039045"/>
          <a:ext cx="231469" cy="523762"/>
        </a:xfrm>
        <a:custGeom>
          <a:avLst/>
          <a:gdLst/>
          <a:ahLst/>
          <a:cxnLst/>
          <a:rect l="0" t="0" r="0" b="0"/>
          <a:pathLst>
            <a:path>
              <a:moveTo>
                <a:pt x="0" y="523762"/>
              </a:moveTo>
              <a:lnTo>
                <a:pt x="115734" y="523762"/>
              </a:lnTo>
              <a:lnTo>
                <a:pt x="115734" y="0"/>
              </a:lnTo>
              <a:lnTo>
                <a:pt x="231469"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1847265" y="8286611"/>
        <a:ext cx="28631" cy="28631"/>
      </dsp:txXfrm>
    </dsp:sp>
    <dsp:sp modelId="{D1849742-9FAF-4D61-853D-1204E4628A67}">
      <dsp:nvSpPr>
        <dsp:cNvPr id="0" name=""/>
        <dsp:cNvSpPr/>
      </dsp:nvSpPr>
      <dsp:spPr>
        <a:xfrm>
          <a:off x="357026" y="8517088"/>
          <a:ext cx="231469" cy="91440"/>
        </a:xfrm>
        <a:custGeom>
          <a:avLst/>
          <a:gdLst/>
          <a:ahLst/>
          <a:cxnLst/>
          <a:rect l="0" t="0" r="0" b="0"/>
          <a:pathLst>
            <a:path>
              <a:moveTo>
                <a:pt x="0" y="45720"/>
              </a:moveTo>
              <a:lnTo>
                <a:pt x="231469" y="4572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466975" y="8557021"/>
        <a:ext cx="11573" cy="11573"/>
      </dsp:txXfrm>
    </dsp:sp>
    <dsp:sp modelId="{2FCA7815-8D76-4883-B5D9-1DC1473A3EE7}">
      <dsp:nvSpPr>
        <dsp:cNvPr id="0" name=""/>
        <dsp:cNvSpPr/>
      </dsp:nvSpPr>
      <dsp:spPr>
        <a:xfrm>
          <a:off x="3134666" y="5788010"/>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3244614" y="5827943"/>
        <a:ext cx="11573" cy="11573"/>
      </dsp:txXfrm>
    </dsp:sp>
    <dsp:sp modelId="{BC7419B8-8DBA-4679-A6EF-A98B84B2D6AA}">
      <dsp:nvSpPr>
        <dsp:cNvPr id="0" name=""/>
        <dsp:cNvSpPr/>
      </dsp:nvSpPr>
      <dsp:spPr>
        <a:xfrm>
          <a:off x="1745846" y="5158352"/>
          <a:ext cx="231469" cy="675377"/>
        </a:xfrm>
        <a:custGeom>
          <a:avLst/>
          <a:gdLst/>
          <a:ahLst/>
          <a:cxnLst/>
          <a:rect l="0" t="0" r="0" b="0"/>
          <a:pathLst>
            <a:path>
              <a:moveTo>
                <a:pt x="0" y="0"/>
              </a:moveTo>
              <a:lnTo>
                <a:pt x="115734" y="0"/>
              </a:lnTo>
              <a:lnTo>
                <a:pt x="115734" y="675377"/>
              </a:lnTo>
              <a:lnTo>
                <a:pt x="231469" y="675377"/>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1843732" y="5478192"/>
        <a:ext cx="35697" cy="35697"/>
      </dsp:txXfrm>
    </dsp:sp>
    <dsp:sp modelId="{FB48AC59-8C5F-4B96-B0F5-3CFD4566CD6C}">
      <dsp:nvSpPr>
        <dsp:cNvPr id="0" name=""/>
        <dsp:cNvSpPr/>
      </dsp:nvSpPr>
      <dsp:spPr>
        <a:xfrm>
          <a:off x="8689944" y="6173940"/>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8799893" y="6213873"/>
        <a:ext cx="11573" cy="11573"/>
      </dsp:txXfrm>
    </dsp:sp>
    <dsp:sp modelId="{773F3BFA-B4BA-4F0F-B37A-8EFB355C2E23}">
      <dsp:nvSpPr>
        <dsp:cNvPr id="0" name=""/>
        <dsp:cNvSpPr/>
      </dsp:nvSpPr>
      <dsp:spPr>
        <a:xfrm>
          <a:off x="7301125" y="5999128"/>
          <a:ext cx="231469" cy="220531"/>
        </a:xfrm>
        <a:custGeom>
          <a:avLst/>
          <a:gdLst/>
          <a:ahLst/>
          <a:cxnLst/>
          <a:rect l="0" t="0" r="0" b="0"/>
          <a:pathLst>
            <a:path>
              <a:moveTo>
                <a:pt x="0" y="0"/>
              </a:moveTo>
              <a:lnTo>
                <a:pt x="115734" y="0"/>
              </a:lnTo>
              <a:lnTo>
                <a:pt x="115734" y="220531"/>
              </a:lnTo>
              <a:lnTo>
                <a:pt x="231469" y="22053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7408867" y="6101401"/>
        <a:ext cx="15985" cy="15985"/>
      </dsp:txXfrm>
    </dsp:sp>
    <dsp:sp modelId="{E0A77623-9018-4D55-A72F-2BC81879F6BD}">
      <dsp:nvSpPr>
        <dsp:cNvPr id="0" name=""/>
        <dsp:cNvSpPr/>
      </dsp:nvSpPr>
      <dsp:spPr>
        <a:xfrm>
          <a:off x="8689944" y="5732877"/>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8799893" y="5772810"/>
        <a:ext cx="11573" cy="11573"/>
      </dsp:txXfrm>
    </dsp:sp>
    <dsp:sp modelId="{9D2603AF-16DF-408E-BD33-E1961223128C}">
      <dsp:nvSpPr>
        <dsp:cNvPr id="0" name=""/>
        <dsp:cNvSpPr/>
      </dsp:nvSpPr>
      <dsp:spPr>
        <a:xfrm>
          <a:off x="7301125" y="5778597"/>
          <a:ext cx="231469" cy="220531"/>
        </a:xfrm>
        <a:custGeom>
          <a:avLst/>
          <a:gdLst/>
          <a:ahLst/>
          <a:cxnLst/>
          <a:rect l="0" t="0" r="0" b="0"/>
          <a:pathLst>
            <a:path>
              <a:moveTo>
                <a:pt x="0" y="220531"/>
              </a:moveTo>
              <a:lnTo>
                <a:pt x="115734" y="220531"/>
              </a:lnTo>
              <a:lnTo>
                <a:pt x="115734" y="0"/>
              </a:lnTo>
              <a:lnTo>
                <a:pt x="231469"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7408867" y="5880870"/>
        <a:ext cx="15985" cy="15985"/>
      </dsp:txXfrm>
    </dsp:sp>
    <dsp:sp modelId="{15740A67-424D-47D3-A97D-D18540D2E09C}">
      <dsp:nvSpPr>
        <dsp:cNvPr id="0" name=""/>
        <dsp:cNvSpPr/>
      </dsp:nvSpPr>
      <dsp:spPr>
        <a:xfrm>
          <a:off x="5912305" y="5953408"/>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6022253" y="5993342"/>
        <a:ext cx="11573" cy="11573"/>
      </dsp:txXfrm>
    </dsp:sp>
    <dsp:sp modelId="{9F8FAAD5-75BD-4265-A50B-D75E35704651}">
      <dsp:nvSpPr>
        <dsp:cNvPr id="0" name=""/>
        <dsp:cNvSpPr/>
      </dsp:nvSpPr>
      <dsp:spPr>
        <a:xfrm>
          <a:off x="4523485" y="5392667"/>
          <a:ext cx="231469" cy="606461"/>
        </a:xfrm>
        <a:custGeom>
          <a:avLst/>
          <a:gdLst/>
          <a:ahLst/>
          <a:cxnLst/>
          <a:rect l="0" t="0" r="0" b="0"/>
          <a:pathLst>
            <a:path>
              <a:moveTo>
                <a:pt x="0" y="0"/>
              </a:moveTo>
              <a:lnTo>
                <a:pt x="115734" y="0"/>
              </a:lnTo>
              <a:lnTo>
                <a:pt x="115734" y="606461"/>
              </a:lnTo>
              <a:lnTo>
                <a:pt x="231469" y="60646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4622992" y="5679669"/>
        <a:ext cx="32456" cy="32456"/>
      </dsp:txXfrm>
    </dsp:sp>
    <dsp:sp modelId="{3825E75C-E3DE-414F-B678-702B83328E8C}">
      <dsp:nvSpPr>
        <dsp:cNvPr id="0" name=""/>
        <dsp:cNvSpPr/>
      </dsp:nvSpPr>
      <dsp:spPr>
        <a:xfrm>
          <a:off x="10078764" y="5291814"/>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10188712" y="5331747"/>
        <a:ext cx="11573" cy="11573"/>
      </dsp:txXfrm>
    </dsp:sp>
    <dsp:sp modelId="{52D1175D-0D8F-45B3-BB1D-8591E51AB3BE}">
      <dsp:nvSpPr>
        <dsp:cNvPr id="0" name=""/>
        <dsp:cNvSpPr/>
      </dsp:nvSpPr>
      <dsp:spPr>
        <a:xfrm>
          <a:off x="8689944" y="5117002"/>
          <a:ext cx="231469" cy="220531"/>
        </a:xfrm>
        <a:custGeom>
          <a:avLst/>
          <a:gdLst/>
          <a:ahLst/>
          <a:cxnLst/>
          <a:rect l="0" t="0" r="0" b="0"/>
          <a:pathLst>
            <a:path>
              <a:moveTo>
                <a:pt x="0" y="0"/>
              </a:moveTo>
              <a:lnTo>
                <a:pt x="115734" y="0"/>
              </a:lnTo>
              <a:lnTo>
                <a:pt x="115734" y="220531"/>
              </a:lnTo>
              <a:lnTo>
                <a:pt x="231469" y="22053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8797687" y="5219275"/>
        <a:ext cx="15985" cy="15985"/>
      </dsp:txXfrm>
    </dsp:sp>
    <dsp:sp modelId="{B4AF9556-271A-478B-A007-CB8B80E87BC9}">
      <dsp:nvSpPr>
        <dsp:cNvPr id="0" name=""/>
        <dsp:cNvSpPr/>
      </dsp:nvSpPr>
      <dsp:spPr>
        <a:xfrm>
          <a:off x="10078764" y="4850750"/>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10188712" y="4890684"/>
        <a:ext cx="11573" cy="11573"/>
      </dsp:txXfrm>
    </dsp:sp>
    <dsp:sp modelId="{C1753E0C-79F8-4F61-B7C0-1D4DBAC15B46}">
      <dsp:nvSpPr>
        <dsp:cNvPr id="0" name=""/>
        <dsp:cNvSpPr/>
      </dsp:nvSpPr>
      <dsp:spPr>
        <a:xfrm>
          <a:off x="8689944" y="4896470"/>
          <a:ext cx="231469" cy="220531"/>
        </a:xfrm>
        <a:custGeom>
          <a:avLst/>
          <a:gdLst/>
          <a:ahLst/>
          <a:cxnLst/>
          <a:rect l="0" t="0" r="0" b="0"/>
          <a:pathLst>
            <a:path>
              <a:moveTo>
                <a:pt x="0" y="220531"/>
              </a:moveTo>
              <a:lnTo>
                <a:pt x="115734" y="220531"/>
              </a:lnTo>
              <a:lnTo>
                <a:pt x="115734" y="0"/>
              </a:lnTo>
              <a:lnTo>
                <a:pt x="231469"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8797687" y="4998744"/>
        <a:ext cx="15985" cy="15985"/>
      </dsp:txXfrm>
    </dsp:sp>
    <dsp:sp modelId="{922928B4-E0DE-4739-83BD-92B2416EE5BA}">
      <dsp:nvSpPr>
        <dsp:cNvPr id="0" name=""/>
        <dsp:cNvSpPr/>
      </dsp:nvSpPr>
      <dsp:spPr>
        <a:xfrm>
          <a:off x="7301125" y="5071282"/>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7411073" y="5111215"/>
        <a:ext cx="11573" cy="11573"/>
      </dsp:txXfrm>
    </dsp:sp>
    <dsp:sp modelId="{719791DA-E3C5-48F1-B609-5307CAB17B58}">
      <dsp:nvSpPr>
        <dsp:cNvPr id="0" name=""/>
        <dsp:cNvSpPr/>
      </dsp:nvSpPr>
      <dsp:spPr>
        <a:xfrm>
          <a:off x="5912305" y="4786205"/>
          <a:ext cx="231469" cy="330797"/>
        </a:xfrm>
        <a:custGeom>
          <a:avLst/>
          <a:gdLst/>
          <a:ahLst/>
          <a:cxnLst/>
          <a:rect l="0" t="0" r="0" b="0"/>
          <a:pathLst>
            <a:path>
              <a:moveTo>
                <a:pt x="0" y="0"/>
              </a:moveTo>
              <a:lnTo>
                <a:pt x="115734" y="0"/>
              </a:lnTo>
              <a:lnTo>
                <a:pt x="115734" y="330797"/>
              </a:lnTo>
              <a:lnTo>
                <a:pt x="231469" y="33079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6017947" y="4941510"/>
        <a:ext cx="20186" cy="20186"/>
      </dsp:txXfrm>
    </dsp:sp>
    <dsp:sp modelId="{7F27EE02-D6F8-4CF9-A7FD-072D87AA11DA}">
      <dsp:nvSpPr>
        <dsp:cNvPr id="0" name=""/>
        <dsp:cNvSpPr/>
      </dsp:nvSpPr>
      <dsp:spPr>
        <a:xfrm>
          <a:off x="7301125" y="4409687"/>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7411073" y="4449621"/>
        <a:ext cx="11573" cy="11573"/>
      </dsp:txXfrm>
    </dsp:sp>
    <dsp:sp modelId="{E7B2D9D8-C48C-47F5-A7DA-C6F7827E6DFE}">
      <dsp:nvSpPr>
        <dsp:cNvPr id="0" name=""/>
        <dsp:cNvSpPr/>
      </dsp:nvSpPr>
      <dsp:spPr>
        <a:xfrm>
          <a:off x="5912305" y="4455407"/>
          <a:ext cx="231469" cy="330797"/>
        </a:xfrm>
        <a:custGeom>
          <a:avLst/>
          <a:gdLst/>
          <a:ahLst/>
          <a:cxnLst/>
          <a:rect l="0" t="0" r="0" b="0"/>
          <a:pathLst>
            <a:path>
              <a:moveTo>
                <a:pt x="0" y="330797"/>
              </a:moveTo>
              <a:lnTo>
                <a:pt x="115734" y="330797"/>
              </a:lnTo>
              <a:lnTo>
                <a:pt x="115734" y="0"/>
              </a:lnTo>
              <a:lnTo>
                <a:pt x="231469"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6017947" y="4610713"/>
        <a:ext cx="20186" cy="20186"/>
      </dsp:txXfrm>
    </dsp:sp>
    <dsp:sp modelId="{781828E7-65B1-4C8A-AF5B-B626CF2B611A}">
      <dsp:nvSpPr>
        <dsp:cNvPr id="0" name=""/>
        <dsp:cNvSpPr/>
      </dsp:nvSpPr>
      <dsp:spPr>
        <a:xfrm>
          <a:off x="4523485" y="4786205"/>
          <a:ext cx="231469" cy="606461"/>
        </a:xfrm>
        <a:custGeom>
          <a:avLst/>
          <a:gdLst/>
          <a:ahLst/>
          <a:cxnLst/>
          <a:rect l="0" t="0" r="0" b="0"/>
          <a:pathLst>
            <a:path>
              <a:moveTo>
                <a:pt x="0" y="606461"/>
              </a:moveTo>
              <a:lnTo>
                <a:pt x="115734" y="606461"/>
              </a:lnTo>
              <a:lnTo>
                <a:pt x="115734" y="0"/>
              </a:lnTo>
              <a:lnTo>
                <a:pt x="231469"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4622992" y="5073207"/>
        <a:ext cx="32456" cy="32456"/>
      </dsp:txXfrm>
    </dsp:sp>
    <dsp:sp modelId="{6CB9CB94-0B34-4C2F-A68F-3946C38DD501}">
      <dsp:nvSpPr>
        <dsp:cNvPr id="0" name=""/>
        <dsp:cNvSpPr/>
      </dsp:nvSpPr>
      <dsp:spPr>
        <a:xfrm>
          <a:off x="3134666" y="4482974"/>
          <a:ext cx="231469" cy="909692"/>
        </a:xfrm>
        <a:custGeom>
          <a:avLst/>
          <a:gdLst/>
          <a:ahLst/>
          <a:cxnLst/>
          <a:rect l="0" t="0" r="0" b="0"/>
          <a:pathLst>
            <a:path>
              <a:moveTo>
                <a:pt x="0" y="0"/>
              </a:moveTo>
              <a:lnTo>
                <a:pt x="115734" y="0"/>
              </a:lnTo>
              <a:lnTo>
                <a:pt x="115734" y="909692"/>
              </a:lnTo>
              <a:lnTo>
                <a:pt x="231469" y="90969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3226934" y="4914353"/>
        <a:ext cx="46933" cy="46933"/>
      </dsp:txXfrm>
    </dsp:sp>
    <dsp:sp modelId="{95408C3E-2AC7-4646-BBB7-7EBA5748228A}">
      <dsp:nvSpPr>
        <dsp:cNvPr id="0" name=""/>
        <dsp:cNvSpPr/>
      </dsp:nvSpPr>
      <dsp:spPr>
        <a:xfrm>
          <a:off x="8689944" y="3968624"/>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8799893" y="4008557"/>
        <a:ext cx="11573" cy="11573"/>
      </dsp:txXfrm>
    </dsp:sp>
    <dsp:sp modelId="{6160FAF1-F52E-4838-89A6-3B1FA37BD7F1}">
      <dsp:nvSpPr>
        <dsp:cNvPr id="0" name=""/>
        <dsp:cNvSpPr/>
      </dsp:nvSpPr>
      <dsp:spPr>
        <a:xfrm>
          <a:off x="7301125" y="3793813"/>
          <a:ext cx="231469" cy="220531"/>
        </a:xfrm>
        <a:custGeom>
          <a:avLst/>
          <a:gdLst/>
          <a:ahLst/>
          <a:cxnLst/>
          <a:rect l="0" t="0" r="0" b="0"/>
          <a:pathLst>
            <a:path>
              <a:moveTo>
                <a:pt x="0" y="0"/>
              </a:moveTo>
              <a:lnTo>
                <a:pt x="115734" y="0"/>
              </a:lnTo>
              <a:lnTo>
                <a:pt x="115734" y="220531"/>
              </a:lnTo>
              <a:lnTo>
                <a:pt x="231469" y="22053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7408867" y="3896086"/>
        <a:ext cx="15985" cy="15985"/>
      </dsp:txXfrm>
    </dsp:sp>
    <dsp:sp modelId="{ECEEB5E6-7E99-4BA1-9754-78879E404C89}">
      <dsp:nvSpPr>
        <dsp:cNvPr id="0" name=""/>
        <dsp:cNvSpPr/>
      </dsp:nvSpPr>
      <dsp:spPr>
        <a:xfrm>
          <a:off x="8689944" y="3527561"/>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8799893" y="3567494"/>
        <a:ext cx="11573" cy="11573"/>
      </dsp:txXfrm>
    </dsp:sp>
    <dsp:sp modelId="{418E4922-7393-47F7-8739-4C83FF74D5A9}">
      <dsp:nvSpPr>
        <dsp:cNvPr id="0" name=""/>
        <dsp:cNvSpPr/>
      </dsp:nvSpPr>
      <dsp:spPr>
        <a:xfrm>
          <a:off x="7301125" y="3573281"/>
          <a:ext cx="231469" cy="220531"/>
        </a:xfrm>
        <a:custGeom>
          <a:avLst/>
          <a:gdLst/>
          <a:ahLst/>
          <a:cxnLst/>
          <a:rect l="0" t="0" r="0" b="0"/>
          <a:pathLst>
            <a:path>
              <a:moveTo>
                <a:pt x="0" y="220531"/>
              </a:moveTo>
              <a:lnTo>
                <a:pt x="115734" y="220531"/>
              </a:lnTo>
              <a:lnTo>
                <a:pt x="115734" y="0"/>
              </a:lnTo>
              <a:lnTo>
                <a:pt x="231469"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7408867" y="3675554"/>
        <a:ext cx="15985" cy="15985"/>
      </dsp:txXfrm>
    </dsp:sp>
    <dsp:sp modelId="{19BC94CB-2263-4628-AC76-E5DE9E8B3A17}">
      <dsp:nvSpPr>
        <dsp:cNvPr id="0" name=""/>
        <dsp:cNvSpPr/>
      </dsp:nvSpPr>
      <dsp:spPr>
        <a:xfrm>
          <a:off x="5912305" y="3748093"/>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6022253" y="3788026"/>
        <a:ext cx="11573" cy="11573"/>
      </dsp:txXfrm>
    </dsp:sp>
    <dsp:sp modelId="{6FDCE9CB-8D68-40F5-B8CD-BEF211C4BCFE}">
      <dsp:nvSpPr>
        <dsp:cNvPr id="0" name=""/>
        <dsp:cNvSpPr/>
      </dsp:nvSpPr>
      <dsp:spPr>
        <a:xfrm>
          <a:off x="4523485" y="3573281"/>
          <a:ext cx="231469" cy="220531"/>
        </a:xfrm>
        <a:custGeom>
          <a:avLst/>
          <a:gdLst/>
          <a:ahLst/>
          <a:cxnLst/>
          <a:rect l="0" t="0" r="0" b="0"/>
          <a:pathLst>
            <a:path>
              <a:moveTo>
                <a:pt x="0" y="0"/>
              </a:moveTo>
              <a:lnTo>
                <a:pt x="115734" y="0"/>
              </a:lnTo>
              <a:lnTo>
                <a:pt x="115734" y="220531"/>
              </a:lnTo>
              <a:lnTo>
                <a:pt x="231469" y="22053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4631228" y="3675554"/>
        <a:ext cx="15985" cy="15985"/>
      </dsp:txXfrm>
    </dsp:sp>
    <dsp:sp modelId="{A5885A76-BD3E-47C0-850F-0B84D0426E4A}">
      <dsp:nvSpPr>
        <dsp:cNvPr id="0" name=""/>
        <dsp:cNvSpPr/>
      </dsp:nvSpPr>
      <dsp:spPr>
        <a:xfrm>
          <a:off x="4523485" y="3352749"/>
          <a:ext cx="231469" cy="220531"/>
        </a:xfrm>
        <a:custGeom>
          <a:avLst/>
          <a:gdLst/>
          <a:ahLst/>
          <a:cxnLst/>
          <a:rect l="0" t="0" r="0" b="0"/>
          <a:pathLst>
            <a:path>
              <a:moveTo>
                <a:pt x="0" y="220531"/>
              </a:moveTo>
              <a:lnTo>
                <a:pt x="115734" y="220531"/>
              </a:lnTo>
              <a:lnTo>
                <a:pt x="115734" y="0"/>
              </a:lnTo>
              <a:lnTo>
                <a:pt x="231469"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4631228" y="3455023"/>
        <a:ext cx="15985" cy="15985"/>
      </dsp:txXfrm>
    </dsp:sp>
    <dsp:sp modelId="{C2ECD8AF-5575-4262-9A37-BE07DD290A9B}">
      <dsp:nvSpPr>
        <dsp:cNvPr id="0" name=""/>
        <dsp:cNvSpPr/>
      </dsp:nvSpPr>
      <dsp:spPr>
        <a:xfrm>
          <a:off x="3134666" y="3573281"/>
          <a:ext cx="231469" cy="909692"/>
        </a:xfrm>
        <a:custGeom>
          <a:avLst/>
          <a:gdLst/>
          <a:ahLst/>
          <a:cxnLst/>
          <a:rect l="0" t="0" r="0" b="0"/>
          <a:pathLst>
            <a:path>
              <a:moveTo>
                <a:pt x="0" y="909692"/>
              </a:moveTo>
              <a:lnTo>
                <a:pt x="115734" y="909692"/>
              </a:lnTo>
              <a:lnTo>
                <a:pt x="115734" y="0"/>
              </a:lnTo>
              <a:lnTo>
                <a:pt x="231469"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3226934" y="4004660"/>
        <a:ext cx="46933" cy="46933"/>
      </dsp:txXfrm>
    </dsp:sp>
    <dsp:sp modelId="{68DEB65C-7FE5-4C7A-BDBA-6C7733EFE797}">
      <dsp:nvSpPr>
        <dsp:cNvPr id="0" name=""/>
        <dsp:cNvSpPr/>
      </dsp:nvSpPr>
      <dsp:spPr>
        <a:xfrm>
          <a:off x="1745846" y="4482974"/>
          <a:ext cx="231469" cy="675377"/>
        </a:xfrm>
        <a:custGeom>
          <a:avLst/>
          <a:gdLst/>
          <a:ahLst/>
          <a:cxnLst/>
          <a:rect l="0" t="0" r="0" b="0"/>
          <a:pathLst>
            <a:path>
              <a:moveTo>
                <a:pt x="0" y="675377"/>
              </a:moveTo>
              <a:lnTo>
                <a:pt x="115734" y="675377"/>
              </a:lnTo>
              <a:lnTo>
                <a:pt x="115734" y="0"/>
              </a:lnTo>
              <a:lnTo>
                <a:pt x="231469"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1843732" y="4802814"/>
        <a:ext cx="35697" cy="35697"/>
      </dsp:txXfrm>
    </dsp:sp>
    <dsp:sp modelId="{DA20C5CB-76DF-4E98-A091-42296A15B67E}">
      <dsp:nvSpPr>
        <dsp:cNvPr id="0" name=""/>
        <dsp:cNvSpPr/>
      </dsp:nvSpPr>
      <dsp:spPr>
        <a:xfrm>
          <a:off x="357026" y="3276942"/>
          <a:ext cx="231469" cy="1881410"/>
        </a:xfrm>
        <a:custGeom>
          <a:avLst/>
          <a:gdLst/>
          <a:ahLst/>
          <a:cxnLst/>
          <a:rect l="0" t="0" r="0" b="0"/>
          <a:pathLst>
            <a:path>
              <a:moveTo>
                <a:pt x="0" y="0"/>
              </a:moveTo>
              <a:lnTo>
                <a:pt x="115734" y="0"/>
              </a:lnTo>
              <a:lnTo>
                <a:pt x="115734" y="1881410"/>
              </a:lnTo>
              <a:lnTo>
                <a:pt x="231469" y="188141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425371" y="4170257"/>
        <a:ext cx="94779" cy="94779"/>
      </dsp:txXfrm>
    </dsp:sp>
    <dsp:sp modelId="{9DD49D0E-5736-497A-A40C-6DF96C4E7BB7}">
      <dsp:nvSpPr>
        <dsp:cNvPr id="0" name=""/>
        <dsp:cNvSpPr/>
      </dsp:nvSpPr>
      <dsp:spPr>
        <a:xfrm>
          <a:off x="8689944" y="3086498"/>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8799893" y="3126431"/>
        <a:ext cx="11573" cy="11573"/>
      </dsp:txXfrm>
    </dsp:sp>
    <dsp:sp modelId="{A4DF1F9B-2996-4CBF-9B1A-37893E0C2A56}">
      <dsp:nvSpPr>
        <dsp:cNvPr id="0" name=""/>
        <dsp:cNvSpPr/>
      </dsp:nvSpPr>
      <dsp:spPr>
        <a:xfrm>
          <a:off x="7301125" y="2911686"/>
          <a:ext cx="231469" cy="220531"/>
        </a:xfrm>
        <a:custGeom>
          <a:avLst/>
          <a:gdLst/>
          <a:ahLst/>
          <a:cxnLst/>
          <a:rect l="0" t="0" r="0" b="0"/>
          <a:pathLst>
            <a:path>
              <a:moveTo>
                <a:pt x="0" y="0"/>
              </a:moveTo>
              <a:lnTo>
                <a:pt x="115734" y="0"/>
              </a:lnTo>
              <a:lnTo>
                <a:pt x="115734" y="220531"/>
              </a:lnTo>
              <a:lnTo>
                <a:pt x="231469" y="22053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7408867" y="3013959"/>
        <a:ext cx="15985" cy="15985"/>
      </dsp:txXfrm>
    </dsp:sp>
    <dsp:sp modelId="{BAE3E8A5-5C7B-4960-AB32-D71C11688B2C}">
      <dsp:nvSpPr>
        <dsp:cNvPr id="0" name=""/>
        <dsp:cNvSpPr/>
      </dsp:nvSpPr>
      <dsp:spPr>
        <a:xfrm>
          <a:off x="8689944" y="2645435"/>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8799893" y="2685368"/>
        <a:ext cx="11573" cy="11573"/>
      </dsp:txXfrm>
    </dsp:sp>
    <dsp:sp modelId="{7E27029E-DC03-4AF1-BAB0-E89492087063}">
      <dsp:nvSpPr>
        <dsp:cNvPr id="0" name=""/>
        <dsp:cNvSpPr/>
      </dsp:nvSpPr>
      <dsp:spPr>
        <a:xfrm>
          <a:off x="7301125" y="2691155"/>
          <a:ext cx="231469" cy="220531"/>
        </a:xfrm>
        <a:custGeom>
          <a:avLst/>
          <a:gdLst/>
          <a:ahLst/>
          <a:cxnLst/>
          <a:rect l="0" t="0" r="0" b="0"/>
          <a:pathLst>
            <a:path>
              <a:moveTo>
                <a:pt x="0" y="220531"/>
              </a:moveTo>
              <a:lnTo>
                <a:pt x="115734" y="220531"/>
              </a:lnTo>
              <a:lnTo>
                <a:pt x="115734" y="0"/>
              </a:lnTo>
              <a:lnTo>
                <a:pt x="231469"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7408867" y="2793428"/>
        <a:ext cx="15985" cy="15985"/>
      </dsp:txXfrm>
    </dsp:sp>
    <dsp:sp modelId="{B6A329B0-9945-4E55-BDD8-A281BC6D5282}">
      <dsp:nvSpPr>
        <dsp:cNvPr id="0" name=""/>
        <dsp:cNvSpPr/>
      </dsp:nvSpPr>
      <dsp:spPr>
        <a:xfrm>
          <a:off x="5912305" y="2865966"/>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6022253" y="2905899"/>
        <a:ext cx="11573" cy="11573"/>
      </dsp:txXfrm>
    </dsp:sp>
    <dsp:sp modelId="{7326C732-F8F9-42C9-B475-8DD36D10DD24}">
      <dsp:nvSpPr>
        <dsp:cNvPr id="0" name=""/>
        <dsp:cNvSpPr/>
      </dsp:nvSpPr>
      <dsp:spPr>
        <a:xfrm>
          <a:off x="4523485" y="2305224"/>
          <a:ext cx="231469" cy="606461"/>
        </a:xfrm>
        <a:custGeom>
          <a:avLst/>
          <a:gdLst/>
          <a:ahLst/>
          <a:cxnLst/>
          <a:rect l="0" t="0" r="0" b="0"/>
          <a:pathLst>
            <a:path>
              <a:moveTo>
                <a:pt x="0" y="0"/>
              </a:moveTo>
              <a:lnTo>
                <a:pt x="115734" y="0"/>
              </a:lnTo>
              <a:lnTo>
                <a:pt x="115734" y="606461"/>
              </a:lnTo>
              <a:lnTo>
                <a:pt x="231469" y="60646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4622992" y="2592227"/>
        <a:ext cx="32456" cy="32456"/>
      </dsp:txXfrm>
    </dsp:sp>
    <dsp:sp modelId="{BD929C19-3506-4F70-BF01-157065B49836}">
      <dsp:nvSpPr>
        <dsp:cNvPr id="0" name=""/>
        <dsp:cNvSpPr/>
      </dsp:nvSpPr>
      <dsp:spPr>
        <a:xfrm>
          <a:off x="10078764" y="2204371"/>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10188712" y="2244305"/>
        <a:ext cx="11573" cy="11573"/>
      </dsp:txXfrm>
    </dsp:sp>
    <dsp:sp modelId="{FAB837DE-E87A-4FD7-8508-04E6FE66BA27}">
      <dsp:nvSpPr>
        <dsp:cNvPr id="0" name=""/>
        <dsp:cNvSpPr/>
      </dsp:nvSpPr>
      <dsp:spPr>
        <a:xfrm>
          <a:off x="8689944" y="2029560"/>
          <a:ext cx="231469" cy="220531"/>
        </a:xfrm>
        <a:custGeom>
          <a:avLst/>
          <a:gdLst/>
          <a:ahLst/>
          <a:cxnLst/>
          <a:rect l="0" t="0" r="0" b="0"/>
          <a:pathLst>
            <a:path>
              <a:moveTo>
                <a:pt x="0" y="0"/>
              </a:moveTo>
              <a:lnTo>
                <a:pt x="115734" y="0"/>
              </a:lnTo>
              <a:lnTo>
                <a:pt x="115734" y="220531"/>
              </a:lnTo>
              <a:lnTo>
                <a:pt x="231469" y="22053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8797687" y="2131833"/>
        <a:ext cx="15985" cy="15985"/>
      </dsp:txXfrm>
    </dsp:sp>
    <dsp:sp modelId="{D269972C-5B2E-477C-880B-8955590B9B93}">
      <dsp:nvSpPr>
        <dsp:cNvPr id="0" name=""/>
        <dsp:cNvSpPr/>
      </dsp:nvSpPr>
      <dsp:spPr>
        <a:xfrm>
          <a:off x="10078764" y="1763308"/>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10188712" y="1803242"/>
        <a:ext cx="11573" cy="11573"/>
      </dsp:txXfrm>
    </dsp:sp>
    <dsp:sp modelId="{4E7503EB-2B7F-4A8E-BC7C-03331A376F01}">
      <dsp:nvSpPr>
        <dsp:cNvPr id="0" name=""/>
        <dsp:cNvSpPr/>
      </dsp:nvSpPr>
      <dsp:spPr>
        <a:xfrm>
          <a:off x="8689944" y="1809028"/>
          <a:ext cx="231469" cy="220531"/>
        </a:xfrm>
        <a:custGeom>
          <a:avLst/>
          <a:gdLst/>
          <a:ahLst/>
          <a:cxnLst/>
          <a:rect l="0" t="0" r="0" b="0"/>
          <a:pathLst>
            <a:path>
              <a:moveTo>
                <a:pt x="0" y="220531"/>
              </a:moveTo>
              <a:lnTo>
                <a:pt x="115734" y="220531"/>
              </a:lnTo>
              <a:lnTo>
                <a:pt x="115734" y="0"/>
              </a:lnTo>
              <a:lnTo>
                <a:pt x="231469"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8797687" y="1911301"/>
        <a:ext cx="15985" cy="15985"/>
      </dsp:txXfrm>
    </dsp:sp>
    <dsp:sp modelId="{0A1B0DAF-12AA-4E2E-A92A-BF4A9813019A}">
      <dsp:nvSpPr>
        <dsp:cNvPr id="0" name=""/>
        <dsp:cNvSpPr/>
      </dsp:nvSpPr>
      <dsp:spPr>
        <a:xfrm>
          <a:off x="7301125" y="1983840"/>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7411073" y="2023773"/>
        <a:ext cx="11573" cy="11573"/>
      </dsp:txXfrm>
    </dsp:sp>
    <dsp:sp modelId="{7D9544C0-9FF8-41E3-8D9C-140AB83BE7EF}">
      <dsp:nvSpPr>
        <dsp:cNvPr id="0" name=""/>
        <dsp:cNvSpPr/>
      </dsp:nvSpPr>
      <dsp:spPr>
        <a:xfrm>
          <a:off x="5912305" y="1698763"/>
          <a:ext cx="231469" cy="330797"/>
        </a:xfrm>
        <a:custGeom>
          <a:avLst/>
          <a:gdLst/>
          <a:ahLst/>
          <a:cxnLst/>
          <a:rect l="0" t="0" r="0" b="0"/>
          <a:pathLst>
            <a:path>
              <a:moveTo>
                <a:pt x="0" y="0"/>
              </a:moveTo>
              <a:lnTo>
                <a:pt x="115734" y="0"/>
              </a:lnTo>
              <a:lnTo>
                <a:pt x="115734" y="330797"/>
              </a:lnTo>
              <a:lnTo>
                <a:pt x="231469" y="33079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6017947" y="1854068"/>
        <a:ext cx="20186" cy="20186"/>
      </dsp:txXfrm>
    </dsp:sp>
    <dsp:sp modelId="{DCD5A6CA-1366-4A49-93B3-3DFAE1809B06}">
      <dsp:nvSpPr>
        <dsp:cNvPr id="0" name=""/>
        <dsp:cNvSpPr/>
      </dsp:nvSpPr>
      <dsp:spPr>
        <a:xfrm>
          <a:off x="7301125" y="1322245"/>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7411073" y="1362178"/>
        <a:ext cx="11573" cy="11573"/>
      </dsp:txXfrm>
    </dsp:sp>
    <dsp:sp modelId="{145EE429-FF65-467F-8146-D3F2F2DDA1D1}">
      <dsp:nvSpPr>
        <dsp:cNvPr id="0" name=""/>
        <dsp:cNvSpPr/>
      </dsp:nvSpPr>
      <dsp:spPr>
        <a:xfrm>
          <a:off x="5912305" y="1367965"/>
          <a:ext cx="231469" cy="330797"/>
        </a:xfrm>
        <a:custGeom>
          <a:avLst/>
          <a:gdLst/>
          <a:ahLst/>
          <a:cxnLst/>
          <a:rect l="0" t="0" r="0" b="0"/>
          <a:pathLst>
            <a:path>
              <a:moveTo>
                <a:pt x="0" y="330797"/>
              </a:moveTo>
              <a:lnTo>
                <a:pt x="115734" y="330797"/>
              </a:lnTo>
              <a:lnTo>
                <a:pt x="115734" y="0"/>
              </a:lnTo>
              <a:lnTo>
                <a:pt x="231469"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6017947" y="1523270"/>
        <a:ext cx="20186" cy="20186"/>
      </dsp:txXfrm>
    </dsp:sp>
    <dsp:sp modelId="{3B721418-ED9E-469A-882F-A042AA9EC3B6}">
      <dsp:nvSpPr>
        <dsp:cNvPr id="0" name=""/>
        <dsp:cNvSpPr/>
      </dsp:nvSpPr>
      <dsp:spPr>
        <a:xfrm>
          <a:off x="4523485" y="1698763"/>
          <a:ext cx="231469" cy="606461"/>
        </a:xfrm>
        <a:custGeom>
          <a:avLst/>
          <a:gdLst/>
          <a:ahLst/>
          <a:cxnLst/>
          <a:rect l="0" t="0" r="0" b="0"/>
          <a:pathLst>
            <a:path>
              <a:moveTo>
                <a:pt x="0" y="606461"/>
              </a:moveTo>
              <a:lnTo>
                <a:pt x="115734" y="606461"/>
              </a:lnTo>
              <a:lnTo>
                <a:pt x="115734" y="0"/>
              </a:lnTo>
              <a:lnTo>
                <a:pt x="231469"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4622992" y="1985765"/>
        <a:ext cx="32456" cy="32456"/>
      </dsp:txXfrm>
    </dsp:sp>
    <dsp:sp modelId="{DE83DC1B-A600-45F8-A1D1-C5070CEFC75F}">
      <dsp:nvSpPr>
        <dsp:cNvPr id="0" name=""/>
        <dsp:cNvSpPr/>
      </dsp:nvSpPr>
      <dsp:spPr>
        <a:xfrm>
          <a:off x="3134666" y="1395532"/>
          <a:ext cx="231469" cy="909692"/>
        </a:xfrm>
        <a:custGeom>
          <a:avLst/>
          <a:gdLst/>
          <a:ahLst/>
          <a:cxnLst/>
          <a:rect l="0" t="0" r="0" b="0"/>
          <a:pathLst>
            <a:path>
              <a:moveTo>
                <a:pt x="0" y="0"/>
              </a:moveTo>
              <a:lnTo>
                <a:pt x="115734" y="0"/>
              </a:lnTo>
              <a:lnTo>
                <a:pt x="115734" y="909692"/>
              </a:lnTo>
              <a:lnTo>
                <a:pt x="231469" y="90969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3226934" y="1826911"/>
        <a:ext cx="46933" cy="46933"/>
      </dsp:txXfrm>
    </dsp:sp>
    <dsp:sp modelId="{B1DB1953-27BD-43BE-B295-518AC3812341}">
      <dsp:nvSpPr>
        <dsp:cNvPr id="0" name=""/>
        <dsp:cNvSpPr/>
      </dsp:nvSpPr>
      <dsp:spPr>
        <a:xfrm>
          <a:off x="8689944" y="881182"/>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8799893" y="921115"/>
        <a:ext cx="11573" cy="11573"/>
      </dsp:txXfrm>
    </dsp:sp>
    <dsp:sp modelId="{1FFF8CC0-B5E5-4704-A8E8-FF19315F36BD}">
      <dsp:nvSpPr>
        <dsp:cNvPr id="0" name=""/>
        <dsp:cNvSpPr/>
      </dsp:nvSpPr>
      <dsp:spPr>
        <a:xfrm>
          <a:off x="7301125" y="706370"/>
          <a:ext cx="231469" cy="220531"/>
        </a:xfrm>
        <a:custGeom>
          <a:avLst/>
          <a:gdLst/>
          <a:ahLst/>
          <a:cxnLst/>
          <a:rect l="0" t="0" r="0" b="0"/>
          <a:pathLst>
            <a:path>
              <a:moveTo>
                <a:pt x="0" y="0"/>
              </a:moveTo>
              <a:lnTo>
                <a:pt x="115734" y="0"/>
              </a:lnTo>
              <a:lnTo>
                <a:pt x="115734" y="220531"/>
              </a:lnTo>
              <a:lnTo>
                <a:pt x="231469" y="22053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7408867" y="808644"/>
        <a:ext cx="15985" cy="15985"/>
      </dsp:txXfrm>
    </dsp:sp>
    <dsp:sp modelId="{C86872D2-08C7-46A3-9B8A-1BD4B85AD1C9}">
      <dsp:nvSpPr>
        <dsp:cNvPr id="0" name=""/>
        <dsp:cNvSpPr/>
      </dsp:nvSpPr>
      <dsp:spPr>
        <a:xfrm>
          <a:off x="11467584" y="440119"/>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11577532" y="480052"/>
        <a:ext cx="11573" cy="11573"/>
      </dsp:txXfrm>
    </dsp:sp>
    <dsp:sp modelId="{21BAB84D-F567-4AAC-AA79-C4C95FE23E11}">
      <dsp:nvSpPr>
        <dsp:cNvPr id="0" name=""/>
        <dsp:cNvSpPr/>
      </dsp:nvSpPr>
      <dsp:spPr>
        <a:xfrm>
          <a:off x="10078764" y="440119"/>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10188712" y="480052"/>
        <a:ext cx="11573" cy="11573"/>
      </dsp:txXfrm>
    </dsp:sp>
    <dsp:sp modelId="{769DB68C-9C10-406B-84DF-ABF7226B3A35}">
      <dsp:nvSpPr>
        <dsp:cNvPr id="0" name=""/>
        <dsp:cNvSpPr/>
      </dsp:nvSpPr>
      <dsp:spPr>
        <a:xfrm>
          <a:off x="8689944" y="440119"/>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8799893" y="480052"/>
        <a:ext cx="11573" cy="11573"/>
      </dsp:txXfrm>
    </dsp:sp>
    <dsp:sp modelId="{9B60B1EB-0D56-4A17-8DCF-0B5B283E7CBB}">
      <dsp:nvSpPr>
        <dsp:cNvPr id="0" name=""/>
        <dsp:cNvSpPr/>
      </dsp:nvSpPr>
      <dsp:spPr>
        <a:xfrm>
          <a:off x="7301125" y="485839"/>
          <a:ext cx="231469" cy="220531"/>
        </a:xfrm>
        <a:custGeom>
          <a:avLst/>
          <a:gdLst/>
          <a:ahLst/>
          <a:cxnLst/>
          <a:rect l="0" t="0" r="0" b="0"/>
          <a:pathLst>
            <a:path>
              <a:moveTo>
                <a:pt x="0" y="220531"/>
              </a:moveTo>
              <a:lnTo>
                <a:pt x="115734" y="220531"/>
              </a:lnTo>
              <a:lnTo>
                <a:pt x="115734" y="0"/>
              </a:lnTo>
              <a:lnTo>
                <a:pt x="231469"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7408867" y="588112"/>
        <a:ext cx="15985" cy="15985"/>
      </dsp:txXfrm>
    </dsp:sp>
    <dsp:sp modelId="{64CA5293-3BA3-42B6-8321-ADDF461032A4}">
      <dsp:nvSpPr>
        <dsp:cNvPr id="0" name=""/>
        <dsp:cNvSpPr/>
      </dsp:nvSpPr>
      <dsp:spPr>
        <a:xfrm>
          <a:off x="5912305" y="660650"/>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6022253" y="700584"/>
        <a:ext cx="11573" cy="11573"/>
      </dsp:txXfrm>
    </dsp:sp>
    <dsp:sp modelId="{4CBC13DF-B892-4AF1-98DF-F8ECED14B01E}">
      <dsp:nvSpPr>
        <dsp:cNvPr id="0" name=""/>
        <dsp:cNvSpPr/>
      </dsp:nvSpPr>
      <dsp:spPr>
        <a:xfrm>
          <a:off x="4523485" y="485839"/>
          <a:ext cx="231469" cy="220531"/>
        </a:xfrm>
        <a:custGeom>
          <a:avLst/>
          <a:gdLst/>
          <a:ahLst/>
          <a:cxnLst/>
          <a:rect l="0" t="0" r="0" b="0"/>
          <a:pathLst>
            <a:path>
              <a:moveTo>
                <a:pt x="0" y="0"/>
              </a:moveTo>
              <a:lnTo>
                <a:pt x="115734" y="0"/>
              </a:lnTo>
              <a:lnTo>
                <a:pt x="115734" y="220531"/>
              </a:lnTo>
              <a:lnTo>
                <a:pt x="231469" y="22053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4631228" y="588112"/>
        <a:ext cx="15985" cy="15985"/>
      </dsp:txXfrm>
    </dsp:sp>
    <dsp:sp modelId="{9A95687D-AD60-4BA7-A4CC-AA171296B73A}">
      <dsp:nvSpPr>
        <dsp:cNvPr id="0" name=""/>
        <dsp:cNvSpPr/>
      </dsp:nvSpPr>
      <dsp:spPr>
        <a:xfrm>
          <a:off x="4523485" y="265307"/>
          <a:ext cx="231469" cy="220531"/>
        </a:xfrm>
        <a:custGeom>
          <a:avLst/>
          <a:gdLst/>
          <a:ahLst/>
          <a:cxnLst/>
          <a:rect l="0" t="0" r="0" b="0"/>
          <a:pathLst>
            <a:path>
              <a:moveTo>
                <a:pt x="0" y="220531"/>
              </a:moveTo>
              <a:lnTo>
                <a:pt x="115734" y="220531"/>
              </a:lnTo>
              <a:lnTo>
                <a:pt x="115734" y="0"/>
              </a:lnTo>
              <a:lnTo>
                <a:pt x="231469"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4631228" y="367580"/>
        <a:ext cx="15985" cy="15985"/>
      </dsp:txXfrm>
    </dsp:sp>
    <dsp:sp modelId="{07DAA9A9-A564-46FB-9D40-4FA673E94180}">
      <dsp:nvSpPr>
        <dsp:cNvPr id="0" name=""/>
        <dsp:cNvSpPr/>
      </dsp:nvSpPr>
      <dsp:spPr>
        <a:xfrm>
          <a:off x="3134666" y="485839"/>
          <a:ext cx="231469" cy="909692"/>
        </a:xfrm>
        <a:custGeom>
          <a:avLst/>
          <a:gdLst/>
          <a:ahLst/>
          <a:cxnLst/>
          <a:rect l="0" t="0" r="0" b="0"/>
          <a:pathLst>
            <a:path>
              <a:moveTo>
                <a:pt x="0" y="909692"/>
              </a:moveTo>
              <a:lnTo>
                <a:pt x="115734" y="909692"/>
              </a:lnTo>
              <a:lnTo>
                <a:pt x="115734" y="0"/>
              </a:lnTo>
              <a:lnTo>
                <a:pt x="231469"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3226934" y="917218"/>
        <a:ext cx="46933" cy="46933"/>
      </dsp:txXfrm>
    </dsp:sp>
    <dsp:sp modelId="{AABE0D5E-B1B9-4C10-84EE-AA8E8534B2B4}">
      <dsp:nvSpPr>
        <dsp:cNvPr id="0" name=""/>
        <dsp:cNvSpPr/>
      </dsp:nvSpPr>
      <dsp:spPr>
        <a:xfrm>
          <a:off x="1745846" y="1349812"/>
          <a:ext cx="231469" cy="91440"/>
        </a:xfrm>
        <a:custGeom>
          <a:avLst/>
          <a:gdLst/>
          <a:ahLst/>
          <a:cxnLst/>
          <a:rect l="0" t="0" r="0" b="0"/>
          <a:pathLst>
            <a:path>
              <a:moveTo>
                <a:pt x="0" y="45720"/>
              </a:moveTo>
              <a:lnTo>
                <a:pt x="231469" y="4572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1855794" y="1389745"/>
        <a:ext cx="11573" cy="11573"/>
      </dsp:txXfrm>
    </dsp:sp>
    <dsp:sp modelId="{EB1DFF0D-F5E9-4BA6-A8E4-F79AA1120067}">
      <dsp:nvSpPr>
        <dsp:cNvPr id="0" name=""/>
        <dsp:cNvSpPr/>
      </dsp:nvSpPr>
      <dsp:spPr>
        <a:xfrm>
          <a:off x="357026" y="1395532"/>
          <a:ext cx="231469" cy="1881410"/>
        </a:xfrm>
        <a:custGeom>
          <a:avLst/>
          <a:gdLst/>
          <a:ahLst/>
          <a:cxnLst/>
          <a:rect l="0" t="0" r="0" b="0"/>
          <a:pathLst>
            <a:path>
              <a:moveTo>
                <a:pt x="0" y="1881410"/>
              </a:moveTo>
              <a:lnTo>
                <a:pt x="115734" y="1881410"/>
              </a:lnTo>
              <a:lnTo>
                <a:pt x="115734" y="0"/>
              </a:lnTo>
              <a:lnTo>
                <a:pt x="231469"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425371" y="2288847"/>
        <a:ext cx="94779" cy="94779"/>
      </dsp:txXfrm>
    </dsp:sp>
    <dsp:sp modelId="{5E9BC8E9-0240-4A9D-ADE3-69918359AE04}">
      <dsp:nvSpPr>
        <dsp:cNvPr id="0" name=""/>
        <dsp:cNvSpPr/>
      </dsp:nvSpPr>
      <dsp:spPr>
        <a:xfrm rot="16200000">
          <a:off x="-747952" y="3100516"/>
          <a:ext cx="1857108" cy="352850"/>
        </a:xfrm>
        <a:prstGeom prst="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rPr>
            <a:t>Lease Bifurcation</a:t>
          </a:r>
        </a:p>
      </dsp:txBody>
      <dsp:txXfrm>
        <a:off x="-747952" y="3100516"/>
        <a:ext cx="1857108" cy="352850"/>
      </dsp:txXfrm>
    </dsp:sp>
    <dsp:sp modelId="{83E89F32-08B9-435D-A6AC-54C22BF70489}">
      <dsp:nvSpPr>
        <dsp:cNvPr id="0" name=""/>
        <dsp:cNvSpPr/>
      </dsp:nvSpPr>
      <dsp:spPr>
        <a:xfrm>
          <a:off x="588496" y="1219106"/>
          <a:ext cx="1157349" cy="352850"/>
        </a:xfrm>
        <a:prstGeom prst="rect">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Owner evicts accused perpetrator</a:t>
          </a:r>
        </a:p>
      </dsp:txBody>
      <dsp:txXfrm>
        <a:off x="588496" y="1219106"/>
        <a:ext cx="1157349" cy="352850"/>
      </dsp:txXfrm>
    </dsp:sp>
    <dsp:sp modelId="{109AABBB-E60A-4578-87D5-B19745E3E347}">
      <dsp:nvSpPr>
        <dsp:cNvPr id="0" name=""/>
        <dsp:cNvSpPr/>
      </dsp:nvSpPr>
      <dsp:spPr>
        <a:xfrm>
          <a:off x="1977316" y="1219106"/>
          <a:ext cx="1157349" cy="352850"/>
        </a:xfrm>
        <a:prstGeom prst="rect">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Project Sponsor divides household</a:t>
          </a:r>
        </a:p>
      </dsp:txBody>
      <dsp:txXfrm>
        <a:off x="1977316" y="1219106"/>
        <a:ext cx="1157349" cy="352850"/>
      </dsp:txXfrm>
    </dsp:sp>
    <dsp:sp modelId="{CD43BFDA-080E-4AB4-8607-2A07729FFB80}">
      <dsp:nvSpPr>
        <dsp:cNvPr id="0" name=""/>
        <dsp:cNvSpPr/>
      </dsp:nvSpPr>
      <dsp:spPr>
        <a:xfrm>
          <a:off x="3366136" y="309414"/>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Accused perpetrator Household</a:t>
          </a:r>
        </a:p>
      </dsp:txBody>
      <dsp:txXfrm>
        <a:off x="3366136" y="309414"/>
        <a:ext cx="1157349" cy="352850"/>
      </dsp:txXfrm>
    </dsp:sp>
    <dsp:sp modelId="{81828A41-836D-47CA-8DA5-053F54A35B42}">
      <dsp:nvSpPr>
        <dsp:cNvPr id="0" name=""/>
        <dsp:cNvSpPr/>
      </dsp:nvSpPr>
      <dsp:spPr>
        <a:xfrm>
          <a:off x="4754955" y="88882"/>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Project Sponsor terminates evicted accused perpetrator</a:t>
          </a:r>
        </a:p>
      </dsp:txBody>
      <dsp:txXfrm>
        <a:off x="4754955" y="88882"/>
        <a:ext cx="1157349" cy="352850"/>
      </dsp:txXfrm>
    </dsp:sp>
    <dsp:sp modelId="{955FDB63-D727-4B87-9F0B-018CFC4BDA2F}">
      <dsp:nvSpPr>
        <dsp:cNvPr id="0" name=""/>
        <dsp:cNvSpPr/>
      </dsp:nvSpPr>
      <dsp:spPr>
        <a:xfrm>
          <a:off x="4754955" y="529945"/>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Project Sponsor does not terminate evicted accused perpetrator</a:t>
          </a:r>
        </a:p>
      </dsp:txBody>
      <dsp:txXfrm>
        <a:off x="4754955" y="529945"/>
        <a:ext cx="1157349" cy="352850"/>
      </dsp:txXfrm>
    </dsp:sp>
    <dsp:sp modelId="{3E2B58FE-CD0E-4D20-B3E3-F75FB0A3B180}">
      <dsp:nvSpPr>
        <dsp:cNvPr id="0" name=""/>
        <dsp:cNvSpPr/>
      </dsp:nvSpPr>
      <dsp:spPr>
        <a:xfrm>
          <a:off x="6143775" y="529945"/>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Recert: Accused perpetrator income, residency, composition</a:t>
          </a:r>
        </a:p>
      </dsp:txBody>
      <dsp:txXfrm>
        <a:off x="6143775" y="529945"/>
        <a:ext cx="1157349" cy="352850"/>
      </dsp:txXfrm>
    </dsp:sp>
    <dsp:sp modelId="{52445238-EE07-4143-A240-FBC66E24B05D}">
      <dsp:nvSpPr>
        <dsp:cNvPr id="0" name=""/>
        <dsp:cNvSpPr/>
      </dsp:nvSpPr>
      <dsp:spPr>
        <a:xfrm>
          <a:off x="7532595" y="309414"/>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Eligible</a:t>
          </a:r>
        </a:p>
      </dsp:txBody>
      <dsp:txXfrm>
        <a:off x="7532595" y="309414"/>
        <a:ext cx="1157349" cy="352850"/>
      </dsp:txXfrm>
    </dsp:sp>
    <dsp:sp modelId="{C5E9F795-AF31-4C65-BFD7-C3F1004F39B1}">
      <dsp:nvSpPr>
        <dsp:cNvPr id="0" name=""/>
        <dsp:cNvSpPr/>
      </dsp:nvSpPr>
      <dsp:spPr>
        <a:xfrm>
          <a:off x="8921414" y="309414"/>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Locate unit that meets TBRA or TSH requirements</a:t>
          </a:r>
        </a:p>
      </dsp:txBody>
      <dsp:txXfrm>
        <a:off x="8921414" y="309414"/>
        <a:ext cx="1157349" cy="352850"/>
      </dsp:txXfrm>
    </dsp:sp>
    <dsp:sp modelId="{21694B9B-94C0-4F2A-BFD2-128C0036A2F3}">
      <dsp:nvSpPr>
        <dsp:cNvPr id="0" name=""/>
        <dsp:cNvSpPr/>
      </dsp:nvSpPr>
      <dsp:spPr>
        <a:xfrm>
          <a:off x="10310234" y="309414"/>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Move accused perpetrator, TBRA or TSH starts</a:t>
          </a:r>
        </a:p>
      </dsp:txBody>
      <dsp:txXfrm>
        <a:off x="10310234" y="309414"/>
        <a:ext cx="1157349" cy="352850"/>
      </dsp:txXfrm>
    </dsp:sp>
    <dsp:sp modelId="{921583A4-A83D-4748-BDDA-AED0690D348A}">
      <dsp:nvSpPr>
        <dsp:cNvPr id="0" name=""/>
        <dsp:cNvSpPr/>
      </dsp:nvSpPr>
      <dsp:spPr>
        <a:xfrm>
          <a:off x="11699054" y="309414"/>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Recert: Accused perpetrator income, residency</a:t>
          </a:r>
        </a:p>
      </dsp:txBody>
      <dsp:txXfrm>
        <a:off x="11699054" y="309414"/>
        <a:ext cx="1157349" cy="352850"/>
      </dsp:txXfrm>
    </dsp:sp>
    <dsp:sp modelId="{AFA673E4-44D0-4FC5-B7CD-3D58DED763A5}">
      <dsp:nvSpPr>
        <dsp:cNvPr id="0" name=""/>
        <dsp:cNvSpPr/>
      </dsp:nvSpPr>
      <dsp:spPr>
        <a:xfrm>
          <a:off x="7532595" y="750477"/>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Ineligible</a:t>
          </a:r>
        </a:p>
      </dsp:txBody>
      <dsp:txXfrm>
        <a:off x="7532595" y="750477"/>
        <a:ext cx="1157349" cy="352850"/>
      </dsp:txXfrm>
    </dsp:sp>
    <dsp:sp modelId="{030705FC-3D97-4EBC-9909-0E2CCD421282}">
      <dsp:nvSpPr>
        <dsp:cNvPr id="0" name=""/>
        <dsp:cNvSpPr/>
      </dsp:nvSpPr>
      <dsp:spPr>
        <a:xfrm>
          <a:off x="8921414" y="750477"/>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If because no one lives with HIV, unqualified for grace period</a:t>
          </a:r>
        </a:p>
      </dsp:txBody>
      <dsp:txXfrm>
        <a:off x="8921414" y="750477"/>
        <a:ext cx="1157349" cy="352850"/>
      </dsp:txXfrm>
    </dsp:sp>
    <dsp:sp modelId="{472207FC-D0A8-48CA-ADDE-1CAF5F431036}">
      <dsp:nvSpPr>
        <dsp:cNvPr id="0" name=""/>
        <dsp:cNvSpPr/>
      </dsp:nvSpPr>
      <dsp:spPr>
        <a:xfrm>
          <a:off x="3366136" y="2128799"/>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Survivor Household</a:t>
          </a:r>
        </a:p>
      </dsp:txBody>
      <dsp:txXfrm>
        <a:off x="3366136" y="2128799"/>
        <a:ext cx="1157349" cy="352850"/>
      </dsp:txXfrm>
    </dsp:sp>
    <dsp:sp modelId="{3E32C7D1-0190-4DD0-865B-FA56291B61E2}">
      <dsp:nvSpPr>
        <dsp:cNvPr id="0" name=""/>
        <dsp:cNvSpPr/>
      </dsp:nvSpPr>
      <dsp:spPr>
        <a:xfrm>
          <a:off x="4754955" y="1522337"/>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Household requests emergency transfer</a:t>
          </a:r>
        </a:p>
      </dsp:txBody>
      <dsp:txXfrm>
        <a:off x="4754955" y="1522337"/>
        <a:ext cx="1157349" cy="352850"/>
      </dsp:txXfrm>
    </dsp:sp>
    <dsp:sp modelId="{7AE5DA2B-308B-4CA5-8407-9A880030A0CD}">
      <dsp:nvSpPr>
        <dsp:cNvPr id="0" name=""/>
        <dsp:cNvSpPr/>
      </dsp:nvSpPr>
      <dsp:spPr>
        <a:xfrm>
          <a:off x="6143775" y="1191540"/>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Qualified</a:t>
          </a:r>
        </a:p>
      </dsp:txBody>
      <dsp:txXfrm>
        <a:off x="6143775" y="1191540"/>
        <a:ext cx="1157349" cy="352850"/>
      </dsp:txXfrm>
    </dsp:sp>
    <dsp:sp modelId="{54618DBF-0D8C-4B5E-93E7-4C37FCFC0C69}">
      <dsp:nvSpPr>
        <dsp:cNvPr id="0" name=""/>
        <dsp:cNvSpPr/>
      </dsp:nvSpPr>
      <dsp:spPr>
        <a:xfrm>
          <a:off x="7532595" y="1191540"/>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See emergency transfer</a:t>
          </a:r>
        </a:p>
      </dsp:txBody>
      <dsp:txXfrm>
        <a:off x="7532595" y="1191540"/>
        <a:ext cx="1157349" cy="352850"/>
      </dsp:txXfrm>
    </dsp:sp>
    <dsp:sp modelId="{CB665CBD-EB53-465E-9342-0A07185D7F3C}">
      <dsp:nvSpPr>
        <dsp:cNvPr id="0" name=""/>
        <dsp:cNvSpPr/>
      </dsp:nvSpPr>
      <dsp:spPr>
        <a:xfrm>
          <a:off x="6143775" y="1853135"/>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Unqualified</a:t>
          </a:r>
        </a:p>
      </dsp:txBody>
      <dsp:txXfrm>
        <a:off x="6143775" y="1853135"/>
        <a:ext cx="1157349" cy="352850"/>
      </dsp:txXfrm>
    </dsp:sp>
    <dsp:sp modelId="{FE00E1CB-9BF1-4CC0-A5E7-C558D42D7CCF}">
      <dsp:nvSpPr>
        <dsp:cNvPr id="0" name=""/>
        <dsp:cNvSpPr/>
      </dsp:nvSpPr>
      <dsp:spPr>
        <a:xfrm>
          <a:off x="7532595" y="1853135"/>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Recert: Survivor income, composition</a:t>
          </a:r>
        </a:p>
      </dsp:txBody>
      <dsp:txXfrm>
        <a:off x="7532595" y="1853135"/>
        <a:ext cx="1157349" cy="352850"/>
      </dsp:txXfrm>
    </dsp:sp>
    <dsp:sp modelId="{CF6909CC-5F61-4CBB-9116-28462080F3B6}">
      <dsp:nvSpPr>
        <dsp:cNvPr id="0" name=""/>
        <dsp:cNvSpPr/>
      </dsp:nvSpPr>
      <dsp:spPr>
        <a:xfrm>
          <a:off x="8921414" y="1632603"/>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Eligible</a:t>
          </a:r>
        </a:p>
      </dsp:txBody>
      <dsp:txXfrm>
        <a:off x="8921414" y="1632603"/>
        <a:ext cx="1157349" cy="352850"/>
      </dsp:txXfrm>
    </dsp:sp>
    <dsp:sp modelId="{5879E911-2F4B-45C7-AE3A-E08FD7A19BD2}">
      <dsp:nvSpPr>
        <dsp:cNvPr id="0" name=""/>
        <dsp:cNvSpPr/>
      </dsp:nvSpPr>
      <dsp:spPr>
        <a:xfrm>
          <a:off x="10310234" y="1632603"/>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TBRA or TSH recalculation</a:t>
          </a:r>
        </a:p>
      </dsp:txBody>
      <dsp:txXfrm>
        <a:off x="10310234" y="1632603"/>
        <a:ext cx="1157349" cy="352850"/>
      </dsp:txXfrm>
    </dsp:sp>
    <dsp:sp modelId="{F8BA739B-1F9D-4C7D-98BE-DC4943BB01A8}">
      <dsp:nvSpPr>
        <dsp:cNvPr id="0" name=""/>
        <dsp:cNvSpPr/>
      </dsp:nvSpPr>
      <dsp:spPr>
        <a:xfrm>
          <a:off x="8921414" y="2073666"/>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Ineligible</a:t>
          </a:r>
        </a:p>
      </dsp:txBody>
      <dsp:txXfrm>
        <a:off x="8921414" y="2073666"/>
        <a:ext cx="1157349" cy="352850"/>
      </dsp:txXfrm>
    </dsp:sp>
    <dsp:sp modelId="{002D3A82-2A4F-4A25-94E5-26278E2E0F1B}">
      <dsp:nvSpPr>
        <dsp:cNvPr id="0" name=""/>
        <dsp:cNvSpPr/>
      </dsp:nvSpPr>
      <dsp:spPr>
        <a:xfrm>
          <a:off x="10310234" y="2073666"/>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If because no one lives with HIV, qualified for grace period</a:t>
          </a:r>
        </a:p>
      </dsp:txBody>
      <dsp:txXfrm>
        <a:off x="10310234" y="2073666"/>
        <a:ext cx="1157349" cy="352850"/>
      </dsp:txXfrm>
    </dsp:sp>
    <dsp:sp modelId="{823379AE-2D3E-4AAB-BDFD-D68B918D172B}">
      <dsp:nvSpPr>
        <dsp:cNvPr id="0" name=""/>
        <dsp:cNvSpPr/>
      </dsp:nvSpPr>
      <dsp:spPr>
        <a:xfrm>
          <a:off x="4754955" y="2735261"/>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Household does not request emergency transfer</a:t>
          </a:r>
        </a:p>
      </dsp:txBody>
      <dsp:txXfrm>
        <a:off x="4754955" y="2735261"/>
        <a:ext cx="1157349" cy="352850"/>
      </dsp:txXfrm>
    </dsp:sp>
    <dsp:sp modelId="{776461AE-5412-45FF-A6D5-8A9FB83F578D}">
      <dsp:nvSpPr>
        <dsp:cNvPr id="0" name=""/>
        <dsp:cNvSpPr/>
      </dsp:nvSpPr>
      <dsp:spPr>
        <a:xfrm>
          <a:off x="6143775" y="2735261"/>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Recert: Survivor income, composition</a:t>
          </a:r>
        </a:p>
      </dsp:txBody>
      <dsp:txXfrm>
        <a:off x="6143775" y="2735261"/>
        <a:ext cx="1157349" cy="352850"/>
      </dsp:txXfrm>
    </dsp:sp>
    <dsp:sp modelId="{6A6FC957-BF10-4DBA-9F16-3E31A4541C91}">
      <dsp:nvSpPr>
        <dsp:cNvPr id="0" name=""/>
        <dsp:cNvSpPr/>
      </dsp:nvSpPr>
      <dsp:spPr>
        <a:xfrm>
          <a:off x="7532595" y="2514729"/>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Eligible</a:t>
          </a:r>
        </a:p>
      </dsp:txBody>
      <dsp:txXfrm>
        <a:off x="7532595" y="2514729"/>
        <a:ext cx="1157349" cy="352850"/>
      </dsp:txXfrm>
    </dsp:sp>
    <dsp:sp modelId="{91585094-837F-4F52-9453-36A4634D1BC8}">
      <dsp:nvSpPr>
        <dsp:cNvPr id="0" name=""/>
        <dsp:cNvSpPr/>
      </dsp:nvSpPr>
      <dsp:spPr>
        <a:xfrm>
          <a:off x="8921414" y="2514729"/>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TBRA or TSH recalculation</a:t>
          </a:r>
        </a:p>
      </dsp:txBody>
      <dsp:txXfrm>
        <a:off x="8921414" y="2514729"/>
        <a:ext cx="1157349" cy="352850"/>
      </dsp:txXfrm>
    </dsp:sp>
    <dsp:sp modelId="{196DCC81-37D2-46DF-B9D8-C521E0997145}">
      <dsp:nvSpPr>
        <dsp:cNvPr id="0" name=""/>
        <dsp:cNvSpPr/>
      </dsp:nvSpPr>
      <dsp:spPr>
        <a:xfrm>
          <a:off x="7532595" y="2955793"/>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Ineligible</a:t>
          </a:r>
        </a:p>
      </dsp:txBody>
      <dsp:txXfrm>
        <a:off x="7532595" y="2955793"/>
        <a:ext cx="1157349" cy="352850"/>
      </dsp:txXfrm>
    </dsp:sp>
    <dsp:sp modelId="{25C01BD5-DB6A-4934-9CDB-6A21691D6556}">
      <dsp:nvSpPr>
        <dsp:cNvPr id="0" name=""/>
        <dsp:cNvSpPr/>
      </dsp:nvSpPr>
      <dsp:spPr>
        <a:xfrm>
          <a:off x="8921414" y="2955793"/>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If because no one lives with HIV, qualified for grace period</a:t>
          </a:r>
        </a:p>
      </dsp:txBody>
      <dsp:txXfrm>
        <a:off x="8921414" y="2955793"/>
        <a:ext cx="1157349" cy="352850"/>
      </dsp:txXfrm>
    </dsp:sp>
    <dsp:sp modelId="{9CEEE332-A537-4D59-ACA7-3CE1A3825D8E}">
      <dsp:nvSpPr>
        <dsp:cNvPr id="0" name=""/>
        <dsp:cNvSpPr/>
      </dsp:nvSpPr>
      <dsp:spPr>
        <a:xfrm>
          <a:off x="588496" y="4981926"/>
          <a:ext cx="1157349" cy="352850"/>
        </a:xfrm>
        <a:prstGeom prst="rect">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Owner does not evict accused perpetrator</a:t>
          </a:r>
        </a:p>
      </dsp:txBody>
      <dsp:txXfrm>
        <a:off x="588496" y="4981926"/>
        <a:ext cx="1157349" cy="352850"/>
      </dsp:txXfrm>
    </dsp:sp>
    <dsp:sp modelId="{BE568C46-4768-489B-9756-C892E97552F5}">
      <dsp:nvSpPr>
        <dsp:cNvPr id="0" name=""/>
        <dsp:cNvSpPr/>
      </dsp:nvSpPr>
      <dsp:spPr>
        <a:xfrm>
          <a:off x="1977316" y="4306548"/>
          <a:ext cx="1157349" cy="352850"/>
        </a:xfrm>
        <a:prstGeom prst="rect">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Project Sponsor divides household</a:t>
          </a:r>
        </a:p>
      </dsp:txBody>
      <dsp:txXfrm>
        <a:off x="1977316" y="4306548"/>
        <a:ext cx="1157349" cy="352850"/>
      </dsp:txXfrm>
    </dsp:sp>
    <dsp:sp modelId="{B6EF273E-42B9-4BDF-87E4-57DF659F408B}">
      <dsp:nvSpPr>
        <dsp:cNvPr id="0" name=""/>
        <dsp:cNvSpPr/>
      </dsp:nvSpPr>
      <dsp:spPr>
        <a:xfrm>
          <a:off x="3366136" y="3396856"/>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Accused perpetrator Household</a:t>
          </a:r>
        </a:p>
      </dsp:txBody>
      <dsp:txXfrm>
        <a:off x="3366136" y="3396856"/>
        <a:ext cx="1157349" cy="352850"/>
      </dsp:txXfrm>
    </dsp:sp>
    <dsp:sp modelId="{2732AD9E-769C-4265-9414-7D605E19C644}">
      <dsp:nvSpPr>
        <dsp:cNvPr id="0" name=""/>
        <dsp:cNvSpPr/>
      </dsp:nvSpPr>
      <dsp:spPr>
        <a:xfrm>
          <a:off x="4754955" y="3176324"/>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Project Sponsor terminates accused perpetrator</a:t>
          </a:r>
        </a:p>
      </dsp:txBody>
      <dsp:txXfrm>
        <a:off x="4754955" y="3176324"/>
        <a:ext cx="1157349" cy="352850"/>
      </dsp:txXfrm>
    </dsp:sp>
    <dsp:sp modelId="{ACB1779F-AE89-4844-9D7E-40E7B0DC58FC}">
      <dsp:nvSpPr>
        <dsp:cNvPr id="0" name=""/>
        <dsp:cNvSpPr/>
      </dsp:nvSpPr>
      <dsp:spPr>
        <a:xfrm>
          <a:off x="4754955" y="3617387"/>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Project Sponsor does not terminate accused perpetrator</a:t>
          </a:r>
        </a:p>
      </dsp:txBody>
      <dsp:txXfrm>
        <a:off x="4754955" y="3617387"/>
        <a:ext cx="1157349" cy="352850"/>
      </dsp:txXfrm>
    </dsp:sp>
    <dsp:sp modelId="{D6869973-D5CE-481C-955D-BE7E4614DD85}">
      <dsp:nvSpPr>
        <dsp:cNvPr id="0" name=""/>
        <dsp:cNvSpPr/>
      </dsp:nvSpPr>
      <dsp:spPr>
        <a:xfrm>
          <a:off x="6143775" y="3617387"/>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Recert: Accused perpetrator income, composition</a:t>
          </a:r>
        </a:p>
      </dsp:txBody>
      <dsp:txXfrm>
        <a:off x="6143775" y="3617387"/>
        <a:ext cx="1157349" cy="352850"/>
      </dsp:txXfrm>
    </dsp:sp>
    <dsp:sp modelId="{AFB4F2E7-0D60-47CA-8F88-CC8AA76A3639}">
      <dsp:nvSpPr>
        <dsp:cNvPr id="0" name=""/>
        <dsp:cNvSpPr/>
      </dsp:nvSpPr>
      <dsp:spPr>
        <a:xfrm>
          <a:off x="7532595" y="3396856"/>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Eligible</a:t>
          </a:r>
        </a:p>
      </dsp:txBody>
      <dsp:txXfrm>
        <a:off x="7532595" y="3396856"/>
        <a:ext cx="1157349" cy="352850"/>
      </dsp:txXfrm>
    </dsp:sp>
    <dsp:sp modelId="{5DEF6F17-9C20-4A70-B3A6-C756C9CDEE6D}">
      <dsp:nvSpPr>
        <dsp:cNvPr id="0" name=""/>
        <dsp:cNvSpPr/>
      </dsp:nvSpPr>
      <dsp:spPr>
        <a:xfrm>
          <a:off x="8921414" y="3396856"/>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TBRA or TSH recalculation</a:t>
          </a:r>
        </a:p>
      </dsp:txBody>
      <dsp:txXfrm>
        <a:off x="8921414" y="3396856"/>
        <a:ext cx="1157349" cy="352850"/>
      </dsp:txXfrm>
    </dsp:sp>
    <dsp:sp modelId="{785EAA22-A0F7-46A7-B7A9-BC61C25E7D14}">
      <dsp:nvSpPr>
        <dsp:cNvPr id="0" name=""/>
        <dsp:cNvSpPr/>
      </dsp:nvSpPr>
      <dsp:spPr>
        <a:xfrm>
          <a:off x="7532595" y="3837919"/>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Ineligible</a:t>
          </a:r>
        </a:p>
      </dsp:txBody>
      <dsp:txXfrm>
        <a:off x="7532595" y="3837919"/>
        <a:ext cx="1157349" cy="352850"/>
      </dsp:txXfrm>
    </dsp:sp>
    <dsp:sp modelId="{0533C393-E4FD-4C9E-99F2-69D455CE0B9F}">
      <dsp:nvSpPr>
        <dsp:cNvPr id="0" name=""/>
        <dsp:cNvSpPr/>
      </dsp:nvSpPr>
      <dsp:spPr>
        <a:xfrm>
          <a:off x="8921414" y="3837919"/>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If because no one lives with HIV, unqualified for grace period</a:t>
          </a:r>
        </a:p>
      </dsp:txBody>
      <dsp:txXfrm>
        <a:off x="8921414" y="3837919"/>
        <a:ext cx="1157349" cy="352850"/>
      </dsp:txXfrm>
    </dsp:sp>
    <dsp:sp modelId="{C5D29312-419D-4D6C-9F69-CCF482F637FC}">
      <dsp:nvSpPr>
        <dsp:cNvPr id="0" name=""/>
        <dsp:cNvSpPr/>
      </dsp:nvSpPr>
      <dsp:spPr>
        <a:xfrm>
          <a:off x="3366136" y="5216241"/>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Survivor Household</a:t>
          </a:r>
        </a:p>
      </dsp:txBody>
      <dsp:txXfrm>
        <a:off x="3366136" y="5216241"/>
        <a:ext cx="1157349" cy="352850"/>
      </dsp:txXfrm>
    </dsp:sp>
    <dsp:sp modelId="{8428A713-31AC-4A50-8A54-4946516CD6D5}">
      <dsp:nvSpPr>
        <dsp:cNvPr id="0" name=""/>
        <dsp:cNvSpPr/>
      </dsp:nvSpPr>
      <dsp:spPr>
        <a:xfrm>
          <a:off x="4754955" y="4609779"/>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Household requests emergency transfer</a:t>
          </a:r>
        </a:p>
      </dsp:txBody>
      <dsp:txXfrm>
        <a:off x="4754955" y="4609779"/>
        <a:ext cx="1157349" cy="352850"/>
      </dsp:txXfrm>
    </dsp:sp>
    <dsp:sp modelId="{D8F269C6-6AA4-4ADF-9601-1AD29DFABECF}">
      <dsp:nvSpPr>
        <dsp:cNvPr id="0" name=""/>
        <dsp:cNvSpPr/>
      </dsp:nvSpPr>
      <dsp:spPr>
        <a:xfrm>
          <a:off x="6143775" y="4278982"/>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Qualified</a:t>
          </a:r>
        </a:p>
      </dsp:txBody>
      <dsp:txXfrm>
        <a:off x="6143775" y="4278982"/>
        <a:ext cx="1157349" cy="352850"/>
      </dsp:txXfrm>
    </dsp:sp>
    <dsp:sp modelId="{876C16CA-C2EB-4CF9-A422-744417B08451}">
      <dsp:nvSpPr>
        <dsp:cNvPr id="0" name=""/>
        <dsp:cNvSpPr/>
      </dsp:nvSpPr>
      <dsp:spPr>
        <a:xfrm>
          <a:off x="7532595" y="4278982"/>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See emergency transfer</a:t>
          </a:r>
        </a:p>
      </dsp:txBody>
      <dsp:txXfrm>
        <a:off x="7532595" y="4278982"/>
        <a:ext cx="1157349" cy="352850"/>
      </dsp:txXfrm>
    </dsp:sp>
    <dsp:sp modelId="{6A332753-4974-4E88-A4F6-6FA392DCE72C}">
      <dsp:nvSpPr>
        <dsp:cNvPr id="0" name=""/>
        <dsp:cNvSpPr/>
      </dsp:nvSpPr>
      <dsp:spPr>
        <a:xfrm>
          <a:off x="6143775" y="4940577"/>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Unqualified</a:t>
          </a:r>
        </a:p>
      </dsp:txBody>
      <dsp:txXfrm>
        <a:off x="6143775" y="4940577"/>
        <a:ext cx="1157349" cy="352850"/>
      </dsp:txXfrm>
    </dsp:sp>
    <dsp:sp modelId="{DF7CC7FD-777E-4EAE-9F64-08A7E13169D3}">
      <dsp:nvSpPr>
        <dsp:cNvPr id="0" name=""/>
        <dsp:cNvSpPr/>
      </dsp:nvSpPr>
      <dsp:spPr>
        <a:xfrm>
          <a:off x="7532595" y="4940577"/>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Recert: Survivor income, composition</a:t>
          </a:r>
        </a:p>
      </dsp:txBody>
      <dsp:txXfrm>
        <a:off x="7532595" y="4940577"/>
        <a:ext cx="1157349" cy="352850"/>
      </dsp:txXfrm>
    </dsp:sp>
    <dsp:sp modelId="{6A38651E-E3C1-4F28-9F76-39B924F3C1BE}">
      <dsp:nvSpPr>
        <dsp:cNvPr id="0" name=""/>
        <dsp:cNvSpPr/>
      </dsp:nvSpPr>
      <dsp:spPr>
        <a:xfrm>
          <a:off x="8921414" y="4720045"/>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Eligible</a:t>
          </a:r>
        </a:p>
      </dsp:txBody>
      <dsp:txXfrm>
        <a:off x="8921414" y="4720045"/>
        <a:ext cx="1157349" cy="352850"/>
      </dsp:txXfrm>
    </dsp:sp>
    <dsp:sp modelId="{CB752406-FDDA-494A-B48E-BA2740977EEE}">
      <dsp:nvSpPr>
        <dsp:cNvPr id="0" name=""/>
        <dsp:cNvSpPr/>
      </dsp:nvSpPr>
      <dsp:spPr>
        <a:xfrm>
          <a:off x="10310234" y="4720045"/>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TBRA or TSH recalculation</a:t>
          </a:r>
        </a:p>
      </dsp:txBody>
      <dsp:txXfrm>
        <a:off x="10310234" y="4720045"/>
        <a:ext cx="1157349" cy="352850"/>
      </dsp:txXfrm>
    </dsp:sp>
    <dsp:sp modelId="{0E262E9C-A2BC-4819-9654-FEE996810B88}">
      <dsp:nvSpPr>
        <dsp:cNvPr id="0" name=""/>
        <dsp:cNvSpPr/>
      </dsp:nvSpPr>
      <dsp:spPr>
        <a:xfrm>
          <a:off x="8921414" y="5161108"/>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Ineligible</a:t>
          </a:r>
        </a:p>
      </dsp:txBody>
      <dsp:txXfrm>
        <a:off x="8921414" y="5161108"/>
        <a:ext cx="1157349" cy="352850"/>
      </dsp:txXfrm>
    </dsp:sp>
    <dsp:sp modelId="{33E09201-AE67-4028-99BC-55AC26DBEB8B}">
      <dsp:nvSpPr>
        <dsp:cNvPr id="0" name=""/>
        <dsp:cNvSpPr/>
      </dsp:nvSpPr>
      <dsp:spPr>
        <a:xfrm>
          <a:off x="10310234" y="5161108"/>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If because no one lives with HIV, qualified for grace period</a:t>
          </a:r>
        </a:p>
      </dsp:txBody>
      <dsp:txXfrm>
        <a:off x="10310234" y="5161108"/>
        <a:ext cx="1157349" cy="352850"/>
      </dsp:txXfrm>
    </dsp:sp>
    <dsp:sp modelId="{96FD22AA-BCAE-4D73-BD52-F31BEFFF97BE}">
      <dsp:nvSpPr>
        <dsp:cNvPr id="0" name=""/>
        <dsp:cNvSpPr/>
      </dsp:nvSpPr>
      <dsp:spPr>
        <a:xfrm>
          <a:off x="4754955" y="5822703"/>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Household does not request emergency transfer</a:t>
          </a:r>
        </a:p>
      </dsp:txBody>
      <dsp:txXfrm>
        <a:off x="4754955" y="5822703"/>
        <a:ext cx="1157349" cy="352850"/>
      </dsp:txXfrm>
    </dsp:sp>
    <dsp:sp modelId="{E2D69D77-3FDB-4CE5-9A0C-B4F2F9CCCAC0}">
      <dsp:nvSpPr>
        <dsp:cNvPr id="0" name=""/>
        <dsp:cNvSpPr/>
      </dsp:nvSpPr>
      <dsp:spPr>
        <a:xfrm>
          <a:off x="6143775" y="5822703"/>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Recert: Survivor income, composition</a:t>
          </a:r>
        </a:p>
      </dsp:txBody>
      <dsp:txXfrm>
        <a:off x="6143775" y="5822703"/>
        <a:ext cx="1157349" cy="352850"/>
      </dsp:txXfrm>
    </dsp:sp>
    <dsp:sp modelId="{332CD6FD-F514-4913-8487-34CBAC4401DB}">
      <dsp:nvSpPr>
        <dsp:cNvPr id="0" name=""/>
        <dsp:cNvSpPr/>
      </dsp:nvSpPr>
      <dsp:spPr>
        <a:xfrm>
          <a:off x="7532595" y="5602172"/>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Eligible</a:t>
          </a:r>
        </a:p>
      </dsp:txBody>
      <dsp:txXfrm>
        <a:off x="7532595" y="5602172"/>
        <a:ext cx="1157349" cy="352850"/>
      </dsp:txXfrm>
    </dsp:sp>
    <dsp:sp modelId="{ED598474-17B0-4A45-AB93-1FA81B28DE65}">
      <dsp:nvSpPr>
        <dsp:cNvPr id="0" name=""/>
        <dsp:cNvSpPr/>
      </dsp:nvSpPr>
      <dsp:spPr>
        <a:xfrm>
          <a:off x="8921414" y="5602172"/>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TBRA or TSH recalculation</a:t>
          </a:r>
        </a:p>
      </dsp:txBody>
      <dsp:txXfrm>
        <a:off x="8921414" y="5602172"/>
        <a:ext cx="1157349" cy="352850"/>
      </dsp:txXfrm>
    </dsp:sp>
    <dsp:sp modelId="{B1A3D01D-5D83-4E4F-91F7-25A9CE022DB4}">
      <dsp:nvSpPr>
        <dsp:cNvPr id="0" name=""/>
        <dsp:cNvSpPr/>
      </dsp:nvSpPr>
      <dsp:spPr>
        <a:xfrm>
          <a:off x="7532595" y="6043235"/>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Ineligible</a:t>
          </a:r>
        </a:p>
      </dsp:txBody>
      <dsp:txXfrm>
        <a:off x="7532595" y="6043235"/>
        <a:ext cx="1157349" cy="352850"/>
      </dsp:txXfrm>
    </dsp:sp>
    <dsp:sp modelId="{20C8A092-E5BC-499C-B67C-EA9895A9036F}">
      <dsp:nvSpPr>
        <dsp:cNvPr id="0" name=""/>
        <dsp:cNvSpPr/>
      </dsp:nvSpPr>
      <dsp:spPr>
        <a:xfrm>
          <a:off x="8921414" y="6043235"/>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If because no one lives with HIV, qualified for grace period</a:t>
          </a:r>
        </a:p>
      </dsp:txBody>
      <dsp:txXfrm>
        <a:off x="8921414" y="6043235"/>
        <a:ext cx="1157349" cy="352850"/>
      </dsp:txXfrm>
    </dsp:sp>
    <dsp:sp modelId="{8E9C1CDC-297F-4774-AAEE-273E7DD2691C}">
      <dsp:nvSpPr>
        <dsp:cNvPr id="0" name=""/>
        <dsp:cNvSpPr/>
      </dsp:nvSpPr>
      <dsp:spPr>
        <a:xfrm>
          <a:off x="1977316" y="5657304"/>
          <a:ext cx="1157349" cy="352850"/>
        </a:xfrm>
        <a:prstGeom prst="rect">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Project Sponsor does not divide household</a:t>
          </a:r>
        </a:p>
      </dsp:txBody>
      <dsp:txXfrm>
        <a:off x="1977316" y="5657304"/>
        <a:ext cx="1157349" cy="352850"/>
      </dsp:txXfrm>
    </dsp:sp>
    <dsp:sp modelId="{A2BEBB3A-8AED-4E93-AC19-BB0C5F00A554}">
      <dsp:nvSpPr>
        <dsp:cNvPr id="0" name=""/>
        <dsp:cNvSpPr/>
      </dsp:nvSpPr>
      <dsp:spPr>
        <a:xfrm>
          <a:off x="3366136" y="5657304"/>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Refer survivor to supportive and alternate remedies</a:t>
          </a:r>
        </a:p>
      </dsp:txBody>
      <dsp:txXfrm>
        <a:off x="3366136" y="5657304"/>
        <a:ext cx="1157349" cy="352850"/>
      </dsp:txXfrm>
    </dsp:sp>
    <dsp:sp modelId="{1B980CCE-73AC-4C98-8E53-6EFDC60F2072}">
      <dsp:nvSpPr>
        <dsp:cNvPr id="0" name=""/>
        <dsp:cNvSpPr/>
      </dsp:nvSpPr>
      <dsp:spPr>
        <a:xfrm rot="16200000">
          <a:off x="-747952" y="8386383"/>
          <a:ext cx="1857108" cy="352850"/>
        </a:xfrm>
        <a:prstGeom prst="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rPr>
            <a:t>Emergency Transfer</a:t>
          </a:r>
        </a:p>
      </dsp:txBody>
      <dsp:txXfrm>
        <a:off x="-747952" y="8386383"/>
        <a:ext cx="1857108" cy="352850"/>
      </dsp:txXfrm>
    </dsp:sp>
    <dsp:sp modelId="{FCE2A0C5-5DE9-449D-92E1-3C97D4EED906}">
      <dsp:nvSpPr>
        <dsp:cNvPr id="0" name=""/>
        <dsp:cNvSpPr/>
      </dsp:nvSpPr>
      <dsp:spPr>
        <a:xfrm>
          <a:off x="588496" y="8386383"/>
          <a:ext cx="1157349" cy="352850"/>
        </a:xfrm>
        <a:prstGeom prst="rect">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Survivor submits request</a:t>
          </a:r>
        </a:p>
      </dsp:txBody>
      <dsp:txXfrm>
        <a:off x="588496" y="8386383"/>
        <a:ext cx="1157349" cy="352850"/>
      </dsp:txXfrm>
    </dsp:sp>
    <dsp:sp modelId="{EB2C0FE4-5449-41B7-8290-2A8BFEFAD304}">
      <dsp:nvSpPr>
        <dsp:cNvPr id="0" name=""/>
        <dsp:cNvSpPr/>
      </dsp:nvSpPr>
      <dsp:spPr>
        <a:xfrm>
          <a:off x="1977316" y="7862620"/>
          <a:ext cx="1157349" cy="352850"/>
        </a:xfrm>
        <a:prstGeom prst="rect">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Qualified</a:t>
          </a:r>
        </a:p>
      </dsp:txBody>
      <dsp:txXfrm>
        <a:off x="1977316" y="7862620"/>
        <a:ext cx="1157349" cy="352850"/>
      </dsp:txXfrm>
    </dsp:sp>
    <dsp:sp modelId="{DF72AFFB-0D20-4446-85D0-4AF7A28F0F41}">
      <dsp:nvSpPr>
        <dsp:cNvPr id="0" name=""/>
        <dsp:cNvSpPr/>
      </dsp:nvSpPr>
      <dsp:spPr>
        <a:xfrm>
          <a:off x="3366136" y="7256158"/>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Accused perpetrator lives in unit</a:t>
          </a:r>
        </a:p>
      </dsp:txBody>
      <dsp:txXfrm>
        <a:off x="3366136" y="7256158"/>
        <a:ext cx="1157349" cy="352850"/>
      </dsp:txXfrm>
    </dsp:sp>
    <dsp:sp modelId="{FDE64530-8D6E-40B2-8BF6-CC6A66A44B7F}">
      <dsp:nvSpPr>
        <dsp:cNvPr id="0" name=""/>
        <dsp:cNvSpPr/>
      </dsp:nvSpPr>
      <dsp:spPr>
        <a:xfrm>
          <a:off x="4754955" y="7256158"/>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Project Sponsor divides household</a:t>
          </a:r>
        </a:p>
      </dsp:txBody>
      <dsp:txXfrm>
        <a:off x="4754955" y="7256158"/>
        <a:ext cx="1157349" cy="352850"/>
      </dsp:txXfrm>
    </dsp:sp>
    <dsp:sp modelId="{819C5C5A-EA00-4BEF-9898-0DF5F076F405}">
      <dsp:nvSpPr>
        <dsp:cNvPr id="0" name=""/>
        <dsp:cNvSpPr/>
      </dsp:nvSpPr>
      <dsp:spPr>
        <a:xfrm>
          <a:off x="6143775" y="6704829"/>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Accused perpetrator Household</a:t>
          </a:r>
        </a:p>
      </dsp:txBody>
      <dsp:txXfrm>
        <a:off x="6143775" y="6704829"/>
        <a:ext cx="1157349" cy="352850"/>
      </dsp:txXfrm>
    </dsp:sp>
    <dsp:sp modelId="{C3F0E2DB-C201-4BA4-8F68-6C477C2C59CC}">
      <dsp:nvSpPr>
        <dsp:cNvPr id="0" name=""/>
        <dsp:cNvSpPr/>
      </dsp:nvSpPr>
      <dsp:spPr>
        <a:xfrm>
          <a:off x="7532595" y="6484298"/>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Project Sponsor terminates accused perpetrator</a:t>
          </a:r>
        </a:p>
      </dsp:txBody>
      <dsp:txXfrm>
        <a:off x="7532595" y="6484298"/>
        <a:ext cx="1157349" cy="352850"/>
      </dsp:txXfrm>
    </dsp:sp>
    <dsp:sp modelId="{28C436FE-84D7-4BED-A57A-056331A792E4}">
      <dsp:nvSpPr>
        <dsp:cNvPr id="0" name=""/>
        <dsp:cNvSpPr/>
      </dsp:nvSpPr>
      <dsp:spPr>
        <a:xfrm>
          <a:off x="7532595" y="6925361"/>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Project Sponsor does not terminate accused perpetrator</a:t>
          </a:r>
        </a:p>
      </dsp:txBody>
      <dsp:txXfrm>
        <a:off x="7532595" y="6925361"/>
        <a:ext cx="1157349" cy="352850"/>
      </dsp:txXfrm>
    </dsp:sp>
    <dsp:sp modelId="{743D2609-03A2-4F18-BA8C-E4D9A78EE630}">
      <dsp:nvSpPr>
        <dsp:cNvPr id="0" name=""/>
        <dsp:cNvSpPr/>
      </dsp:nvSpPr>
      <dsp:spPr>
        <a:xfrm>
          <a:off x="8921414" y="6925361"/>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Recert: Accused perpetrator income, composition</a:t>
          </a:r>
        </a:p>
      </dsp:txBody>
      <dsp:txXfrm>
        <a:off x="8921414" y="6925361"/>
        <a:ext cx="1157349" cy="352850"/>
      </dsp:txXfrm>
    </dsp:sp>
    <dsp:sp modelId="{BF1A134C-0B47-4824-B640-DF711560FDE7}">
      <dsp:nvSpPr>
        <dsp:cNvPr id="0" name=""/>
        <dsp:cNvSpPr/>
      </dsp:nvSpPr>
      <dsp:spPr>
        <a:xfrm>
          <a:off x="10310234" y="6704829"/>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Eligible</a:t>
          </a:r>
        </a:p>
      </dsp:txBody>
      <dsp:txXfrm>
        <a:off x="10310234" y="6704829"/>
        <a:ext cx="1157349" cy="352850"/>
      </dsp:txXfrm>
    </dsp:sp>
    <dsp:sp modelId="{DABDDCAC-0080-4976-8C11-603F8CC3316D}">
      <dsp:nvSpPr>
        <dsp:cNvPr id="0" name=""/>
        <dsp:cNvSpPr/>
      </dsp:nvSpPr>
      <dsp:spPr>
        <a:xfrm>
          <a:off x="11699054" y="6704829"/>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TBRA or TSH recalculation</a:t>
          </a:r>
        </a:p>
      </dsp:txBody>
      <dsp:txXfrm>
        <a:off x="11699054" y="6704829"/>
        <a:ext cx="1157349" cy="352850"/>
      </dsp:txXfrm>
    </dsp:sp>
    <dsp:sp modelId="{B20BB301-4E30-49B9-892A-07EB874D9668}">
      <dsp:nvSpPr>
        <dsp:cNvPr id="0" name=""/>
        <dsp:cNvSpPr/>
      </dsp:nvSpPr>
      <dsp:spPr>
        <a:xfrm>
          <a:off x="10310234" y="7145893"/>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Ineligible</a:t>
          </a:r>
        </a:p>
      </dsp:txBody>
      <dsp:txXfrm>
        <a:off x="10310234" y="7145893"/>
        <a:ext cx="1157349" cy="352850"/>
      </dsp:txXfrm>
    </dsp:sp>
    <dsp:sp modelId="{634AF929-D582-43B7-A338-C27B7E28E518}">
      <dsp:nvSpPr>
        <dsp:cNvPr id="0" name=""/>
        <dsp:cNvSpPr/>
      </dsp:nvSpPr>
      <dsp:spPr>
        <a:xfrm>
          <a:off x="11699054" y="7145893"/>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If because no one lives with HIV, unqualified for grace period</a:t>
          </a:r>
        </a:p>
      </dsp:txBody>
      <dsp:txXfrm>
        <a:off x="11699054" y="7145893"/>
        <a:ext cx="1157349" cy="352850"/>
      </dsp:txXfrm>
    </dsp:sp>
    <dsp:sp modelId="{39ECC9FB-6E30-4164-9CCB-5EF7BFE769EF}">
      <dsp:nvSpPr>
        <dsp:cNvPr id="0" name=""/>
        <dsp:cNvSpPr/>
      </dsp:nvSpPr>
      <dsp:spPr>
        <a:xfrm>
          <a:off x="6143775" y="7807487"/>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Survivor Household</a:t>
          </a:r>
        </a:p>
      </dsp:txBody>
      <dsp:txXfrm>
        <a:off x="6143775" y="7807487"/>
        <a:ext cx="1157349" cy="352850"/>
      </dsp:txXfrm>
    </dsp:sp>
    <dsp:sp modelId="{31B686EE-70EE-4BEC-890F-29897C770DE7}">
      <dsp:nvSpPr>
        <dsp:cNvPr id="0" name=""/>
        <dsp:cNvSpPr/>
      </dsp:nvSpPr>
      <dsp:spPr>
        <a:xfrm>
          <a:off x="7532595" y="7807487"/>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Locate unit that meets TBRA or TSH requirements</a:t>
          </a:r>
        </a:p>
      </dsp:txBody>
      <dsp:txXfrm>
        <a:off x="7532595" y="7807487"/>
        <a:ext cx="1157349" cy="352850"/>
      </dsp:txXfrm>
    </dsp:sp>
    <dsp:sp modelId="{2E41BC43-9124-4497-8B56-DD18D0F02FA2}">
      <dsp:nvSpPr>
        <dsp:cNvPr id="0" name=""/>
        <dsp:cNvSpPr/>
      </dsp:nvSpPr>
      <dsp:spPr>
        <a:xfrm>
          <a:off x="8921414" y="7807487"/>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Move Survivor, TBRA or TSH starts</a:t>
          </a:r>
        </a:p>
      </dsp:txBody>
      <dsp:txXfrm>
        <a:off x="8921414" y="7807487"/>
        <a:ext cx="1157349" cy="352850"/>
      </dsp:txXfrm>
    </dsp:sp>
    <dsp:sp modelId="{22CAC938-52FF-49C9-9080-C6390E59D2B9}">
      <dsp:nvSpPr>
        <dsp:cNvPr id="0" name=""/>
        <dsp:cNvSpPr/>
      </dsp:nvSpPr>
      <dsp:spPr>
        <a:xfrm>
          <a:off x="10310234" y="7807487"/>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Recert: Survivor income, residency, composition</a:t>
          </a:r>
        </a:p>
      </dsp:txBody>
      <dsp:txXfrm>
        <a:off x="10310234" y="7807487"/>
        <a:ext cx="1157349" cy="352850"/>
      </dsp:txXfrm>
    </dsp:sp>
    <dsp:sp modelId="{08B761A3-12DC-4A6B-83F1-EE137576BC03}">
      <dsp:nvSpPr>
        <dsp:cNvPr id="0" name=""/>
        <dsp:cNvSpPr/>
      </dsp:nvSpPr>
      <dsp:spPr>
        <a:xfrm>
          <a:off x="11699054" y="7586956"/>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Eligible</a:t>
          </a:r>
        </a:p>
      </dsp:txBody>
      <dsp:txXfrm>
        <a:off x="11699054" y="7586956"/>
        <a:ext cx="1157349" cy="352850"/>
      </dsp:txXfrm>
    </dsp:sp>
    <dsp:sp modelId="{1289F5E7-1221-4107-9DD4-A0DF23B72F2A}">
      <dsp:nvSpPr>
        <dsp:cNvPr id="0" name=""/>
        <dsp:cNvSpPr/>
      </dsp:nvSpPr>
      <dsp:spPr>
        <a:xfrm>
          <a:off x="11699054" y="8028019"/>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Ineligible</a:t>
          </a:r>
        </a:p>
      </dsp:txBody>
      <dsp:txXfrm>
        <a:off x="11699054" y="8028019"/>
        <a:ext cx="1157349" cy="352850"/>
      </dsp:txXfrm>
    </dsp:sp>
    <dsp:sp modelId="{81B71E9A-A88A-4A72-AC96-3EF81EFD9747}">
      <dsp:nvSpPr>
        <dsp:cNvPr id="0" name=""/>
        <dsp:cNvSpPr/>
      </dsp:nvSpPr>
      <dsp:spPr>
        <a:xfrm>
          <a:off x="13087873" y="8028019"/>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If because no one lives with HIV, qualified for grace period</a:t>
          </a:r>
        </a:p>
      </dsp:txBody>
      <dsp:txXfrm>
        <a:off x="13087873" y="8028019"/>
        <a:ext cx="1157349" cy="352850"/>
      </dsp:txXfrm>
    </dsp:sp>
    <dsp:sp modelId="{C588E089-AA56-40E8-9654-62ECF603B2BB}">
      <dsp:nvSpPr>
        <dsp:cNvPr id="0" name=""/>
        <dsp:cNvSpPr/>
      </dsp:nvSpPr>
      <dsp:spPr>
        <a:xfrm>
          <a:off x="3366136" y="8469082"/>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Accused perpetrator does not live in unit</a:t>
          </a:r>
        </a:p>
      </dsp:txBody>
      <dsp:txXfrm>
        <a:off x="3366136" y="8469082"/>
        <a:ext cx="1157349" cy="352850"/>
      </dsp:txXfrm>
    </dsp:sp>
    <dsp:sp modelId="{6FF78341-1B6D-4A61-B30D-794E29C87A9B}">
      <dsp:nvSpPr>
        <dsp:cNvPr id="0" name=""/>
        <dsp:cNvSpPr/>
      </dsp:nvSpPr>
      <dsp:spPr>
        <a:xfrm>
          <a:off x="4754955" y="8469082"/>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Survivor Household</a:t>
          </a:r>
        </a:p>
      </dsp:txBody>
      <dsp:txXfrm>
        <a:off x="4754955" y="8469082"/>
        <a:ext cx="1157349" cy="352850"/>
      </dsp:txXfrm>
    </dsp:sp>
    <dsp:sp modelId="{F5C00079-974F-4A8B-BD21-4AFB691B32A0}">
      <dsp:nvSpPr>
        <dsp:cNvPr id="0" name=""/>
        <dsp:cNvSpPr/>
      </dsp:nvSpPr>
      <dsp:spPr>
        <a:xfrm>
          <a:off x="6143775" y="8469082"/>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Locate unit that meets TBRA or TSH requirements</a:t>
          </a:r>
        </a:p>
      </dsp:txBody>
      <dsp:txXfrm>
        <a:off x="6143775" y="8469082"/>
        <a:ext cx="1157349" cy="352850"/>
      </dsp:txXfrm>
    </dsp:sp>
    <dsp:sp modelId="{DF7E4E30-9F33-4E54-8DAC-34D06946FEAD}">
      <dsp:nvSpPr>
        <dsp:cNvPr id="0" name=""/>
        <dsp:cNvSpPr/>
      </dsp:nvSpPr>
      <dsp:spPr>
        <a:xfrm>
          <a:off x="7532595" y="8469082"/>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Move Survivor, TBRA or TSH starts</a:t>
          </a:r>
        </a:p>
      </dsp:txBody>
      <dsp:txXfrm>
        <a:off x="7532595" y="8469082"/>
        <a:ext cx="1157349" cy="352850"/>
      </dsp:txXfrm>
    </dsp:sp>
    <dsp:sp modelId="{DC73BA58-4BC3-4AEE-8B42-29F7D3DF5327}">
      <dsp:nvSpPr>
        <dsp:cNvPr id="0" name=""/>
        <dsp:cNvSpPr/>
      </dsp:nvSpPr>
      <dsp:spPr>
        <a:xfrm>
          <a:off x="8921414" y="8469082"/>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Recert: Survivor income, residency</a:t>
          </a:r>
        </a:p>
      </dsp:txBody>
      <dsp:txXfrm>
        <a:off x="8921414" y="8469082"/>
        <a:ext cx="1157349" cy="352850"/>
      </dsp:txXfrm>
    </dsp:sp>
    <dsp:sp modelId="{712175C5-BF1B-4283-B8FE-31EC1249585C}">
      <dsp:nvSpPr>
        <dsp:cNvPr id="0" name=""/>
        <dsp:cNvSpPr/>
      </dsp:nvSpPr>
      <dsp:spPr>
        <a:xfrm>
          <a:off x="10310234" y="8248550"/>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Eligible</a:t>
          </a:r>
        </a:p>
      </dsp:txBody>
      <dsp:txXfrm>
        <a:off x="10310234" y="8248550"/>
        <a:ext cx="1157349" cy="352850"/>
      </dsp:txXfrm>
    </dsp:sp>
    <dsp:sp modelId="{151FCCF4-9616-402F-8581-981DC270887B}">
      <dsp:nvSpPr>
        <dsp:cNvPr id="0" name=""/>
        <dsp:cNvSpPr/>
      </dsp:nvSpPr>
      <dsp:spPr>
        <a:xfrm>
          <a:off x="10310234" y="8689614"/>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Ineligible</a:t>
          </a:r>
        </a:p>
      </dsp:txBody>
      <dsp:txXfrm>
        <a:off x="10310234" y="8689614"/>
        <a:ext cx="1157349" cy="352850"/>
      </dsp:txXfrm>
    </dsp:sp>
    <dsp:sp modelId="{0A8B1590-562C-4F24-8E58-0A8A12DB9C9D}">
      <dsp:nvSpPr>
        <dsp:cNvPr id="0" name=""/>
        <dsp:cNvSpPr/>
      </dsp:nvSpPr>
      <dsp:spPr>
        <a:xfrm>
          <a:off x="1977316" y="8910145"/>
          <a:ext cx="1157349" cy="352850"/>
        </a:xfrm>
        <a:prstGeom prst="rect">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Unqualified</a:t>
          </a:r>
        </a:p>
      </dsp:txBody>
      <dsp:txXfrm>
        <a:off x="1977316" y="8910145"/>
        <a:ext cx="1157349" cy="352850"/>
      </dsp:txXfrm>
    </dsp:sp>
    <dsp:sp modelId="{A6798D2B-8008-44F9-A054-764E970CC125}">
      <dsp:nvSpPr>
        <dsp:cNvPr id="0" name=""/>
        <dsp:cNvSpPr/>
      </dsp:nvSpPr>
      <dsp:spPr>
        <a:xfrm>
          <a:off x="3366136" y="8910145"/>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See lease bifurcation</a:t>
          </a:r>
        </a:p>
      </dsp:txBody>
      <dsp:txXfrm>
        <a:off x="3366136" y="8910145"/>
        <a:ext cx="1157349" cy="35285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diagrams.loki3.com/BracketList#1">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18F065DEFF94DF9BDE29F58F10F59A8"/>
        <w:category>
          <w:name w:val="General"/>
          <w:gallery w:val="placeholder"/>
        </w:category>
        <w:types>
          <w:type w:val="bbPlcHdr"/>
        </w:types>
        <w:behaviors>
          <w:behavior w:val="content"/>
        </w:behaviors>
        <w:guid w:val="{09628825-1D43-4110-99D7-9B228DEB442A}"/>
      </w:docPartPr>
      <w:docPartBody>
        <w:p w:rsidR="00A81CEA" w:rsidRDefault="00EE71B4" w:rsidP="00EE71B4">
          <w:pPr>
            <w:pStyle w:val="F18F065DEFF94DF9BDE29F58F10F59A8"/>
          </w:pPr>
          <w:r w:rsidRPr="00856321">
            <w:rPr>
              <w:rStyle w:val="PlaceholderText"/>
              <w:rFonts w:cs="Times New Roman"/>
              <w:color w:val="808080" w:themeColor="background1" w:themeShade="80"/>
              <w:szCs w:val="16"/>
            </w:rPr>
            <w:t>Choose an Administrative Agency.</w:t>
          </w:r>
        </w:p>
      </w:docPartBody>
    </w:docPart>
    <w:docPart>
      <w:docPartPr>
        <w:name w:val="444D3187C9C24725911C511A98F3EFA6"/>
        <w:category>
          <w:name w:val="General"/>
          <w:gallery w:val="placeholder"/>
        </w:category>
        <w:types>
          <w:type w:val="bbPlcHdr"/>
        </w:types>
        <w:behaviors>
          <w:behavior w:val="content"/>
        </w:behaviors>
        <w:guid w:val="{B497C0D0-FA78-491F-BB22-F9DB45A03CDB}"/>
      </w:docPartPr>
      <w:docPartBody>
        <w:p w:rsidR="00A81CEA" w:rsidRDefault="00EE71B4" w:rsidP="00EE71B4">
          <w:pPr>
            <w:pStyle w:val="444D3187C9C24725911C511A98F3EFA6"/>
          </w:pPr>
          <w:r w:rsidRPr="004A306F">
            <w:rPr>
              <w:sz w:val="20"/>
              <w:szCs w:val="20"/>
            </w:rPr>
            <w:t>Choose an HSDA.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7" w:usb1="00000000" w:usb2="00000000" w:usb3="00000000" w:csb0="00000003" w:csb1="00000000"/>
  </w:font>
  <w:font w:name="TimesNewRomanPSMT">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1B4"/>
    <w:rsid w:val="000C47EE"/>
    <w:rsid w:val="00193F86"/>
    <w:rsid w:val="00204C64"/>
    <w:rsid w:val="002C1CBF"/>
    <w:rsid w:val="00625C5B"/>
    <w:rsid w:val="009A1760"/>
    <w:rsid w:val="00A81CEA"/>
    <w:rsid w:val="00B479A9"/>
    <w:rsid w:val="00C21393"/>
    <w:rsid w:val="00C35214"/>
    <w:rsid w:val="00D53D72"/>
    <w:rsid w:val="00EE71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E71B4"/>
    <w:rPr>
      <w:color w:val="808080"/>
    </w:rPr>
  </w:style>
  <w:style w:type="paragraph" w:customStyle="1" w:styleId="F18F065DEFF94DF9BDE29F58F10F59A8">
    <w:name w:val="F18F065DEFF94DF9BDE29F58F10F59A8"/>
    <w:rsid w:val="00EE71B4"/>
  </w:style>
  <w:style w:type="paragraph" w:customStyle="1" w:styleId="444D3187C9C24725911C511A98F3EFA6">
    <w:name w:val="444D3187C9C24725911C511A98F3EFA6"/>
    <w:rsid w:val="00EE71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C42E98-F755-41AA-BE5D-B83E80179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1742</TotalTime>
  <Pages>92</Pages>
  <Words>53065</Words>
  <Characters>302477</Characters>
  <Application>Microsoft Office Word</Application>
  <DocSecurity>0</DocSecurity>
  <Lines>2520</Lines>
  <Paragraphs>709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Berkman,Blade L (DSHS)</dc:creator>
  <cp:keywords/>
  <dc:description/>
  <cp:lastModifiedBy>Berkman,Blade L (DSHS)</cp:lastModifiedBy>
  <cp:revision>21</cp:revision>
  <dcterms:created xsi:type="dcterms:W3CDTF">2023-09-14T20:08:00Z</dcterms:created>
  <dcterms:modified xsi:type="dcterms:W3CDTF">2024-07-24T20:21:00Z</dcterms:modified>
</cp:coreProperties>
</file>