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A497" w14:textId="6E0C3DDB" w:rsidR="00B0360C" w:rsidRPr="002C68AC" w:rsidRDefault="009B2BC8" w:rsidP="002C68AC">
      <w:pPr>
        <w:shd w:val="clear" w:color="auto" w:fill="FFFFFF"/>
        <w:spacing w:after="120" w:line="240" w:lineRule="auto"/>
        <w:textAlignment w:val="baseline"/>
        <w:outlineLvl w:val="0"/>
        <w:rPr>
          <w:rFonts w:eastAsia="Times New Roman" w:cstheme="minorHAnsi"/>
          <w:b/>
          <w:bCs/>
          <w:kern w:val="36"/>
        </w:rPr>
      </w:pPr>
      <w:r w:rsidRPr="002C68AC">
        <w:rPr>
          <w:rFonts w:eastAsia="Times New Roman" w:cstheme="minorHAnsi"/>
          <w:b/>
          <w:bCs/>
          <w:kern w:val="36"/>
        </w:rPr>
        <w:t>Labs Reporting Backlog of COVID-19 Results</w:t>
      </w:r>
    </w:p>
    <w:tbl>
      <w:tblPr>
        <w:tblW w:w="0" w:type="auto"/>
        <w:tblLook w:val="04A0" w:firstRow="1" w:lastRow="0" w:firstColumn="1" w:lastColumn="0" w:noHBand="0" w:noVBand="1"/>
      </w:tblPr>
      <w:tblGrid>
        <w:gridCol w:w="2002"/>
        <w:gridCol w:w="1278"/>
        <w:gridCol w:w="1238"/>
        <w:gridCol w:w="979"/>
        <w:gridCol w:w="839"/>
        <w:gridCol w:w="1175"/>
        <w:gridCol w:w="1849"/>
      </w:tblGrid>
      <w:tr w:rsidR="002C68AC" w:rsidRPr="002C68AC" w14:paraId="28EFD338" w14:textId="77777777" w:rsidTr="00B0360C">
        <w:tc>
          <w:tcPr>
            <w:tcW w:w="0" w:type="auto"/>
            <w:hideMark/>
          </w:tcPr>
          <w:p w14:paraId="6AB6391E" w14:textId="77777777" w:rsidR="00B0360C" w:rsidRPr="002C68AC" w:rsidRDefault="00B0360C" w:rsidP="00B0360C">
            <w:pPr>
              <w:spacing w:after="0" w:line="240" w:lineRule="auto"/>
              <w:rPr>
                <w:rFonts w:eastAsia="Times New Roman" w:cstheme="minorHAnsi"/>
                <w:b/>
                <w:bCs/>
                <w:sz w:val="20"/>
                <w:szCs w:val="20"/>
              </w:rPr>
            </w:pPr>
            <w:r w:rsidRPr="002C68AC">
              <w:rPr>
                <w:rFonts w:eastAsia="Times New Roman" w:cstheme="minorHAnsi"/>
                <w:b/>
                <w:bCs/>
                <w:sz w:val="20"/>
                <w:szCs w:val="20"/>
              </w:rPr>
              <w:t>Facility</w:t>
            </w:r>
          </w:p>
        </w:tc>
        <w:tc>
          <w:tcPr>
            <w:tcW w:w="0" w:type="auto"/>
            <w:hideMark/>
          </w:tcPr>
          <w:p w14:paraId="6BBA32AD" w14:textId="77777777" w:rsidR="00B0360C" w:rsidRPr="002C68AC" w:rsidRDefault="00B0360C" w:rsidP="00B0360C">
            <w:pPr>
              <w:spacing w:after="0" w:line="240" w:lineRule="auto"/>
              <w:rPr>
                <w:rFonts w:eastAsia="Times New Roman" w:cstheme="minorHAnsi"/>
                <w:b/>
                <w:bCs/>
                <w:sz w:val="20"/>
                <w:szCs w:val="20"/>
              </w:rPr>
            </w:pPr>
            <w:r w:rsidRPr="002C68AC">
              <w:rPr>
                <w:rFonts w:eastAsia="Times New Roman" w:cstheme="minorHAnsi"/>
                <w:b/>
                <w:bCs/>
                <w:sz w:val="20"/>
                <w:szCs w:val="20"/>
              </w:rPr>
              <w:t>CLIA Number</w:t>
            </w:r>
          </w:p>
        </w:tc>
        <w:tc>
          <w:tcPr>
            <w:tcW w:w="0" w:type="auto"/>
            <w:hideMark/>
          </w:tcPr>
          <w:p w14:paraId="6136FD93" w14:textId="77777777" w:rsidR="00B0360C" w:rsidRPr="002C68AC" w:rsidRDefault="00B0360C" w:rsidP="00B0360C">
            <w:pPr>
              <w:spacing w:after="0" w:line="240" w:lineRule="auto"/>
              <w:rPr>
                <w:rFonts w:eastAsia="Times New Roman" w:cstheme="minorHAnsi"/>
                <w:b/>
                <w:bCs/>
                <w:sz w:val="20"/>
                <w:szCs w:val="20"/>
              </w:rPr>
            </w:pPr>
            <w:r w:rsidRPr="002C68AC">
              <w:rPr>
                <w:rFonts w:eastAsia="Times New Roman" w:cstheme="minorHAnsi"/>
                <w:b/>
                <w:bCs/>
                <w:sz w:val="20"/>
                <w:szCs w:val="20"/>
              </w:rPr>
              <w:t>Beginning date</w:t>
            </w:r>
          </w:p>
        </w:tc>
        <w:tc>
          <w:tcPr>
            <w:tcW w:w="0" w:type="auto"/>
            <w:hideMark/>
          </w:tcPr>
          <w:p w14:paraId="15AACB71" w14:textId="77777777" w:rsidR="00B0360C" w:rsidRPr="002C68AC" w:rsidRDefault="00B0360C" w:rsidP="00B0360C">
            <w:pPr>
              <w:spacing w:after="0" w:line="240" w:lineRule="auto"/>
              <w:rPr>
                <w:rFonts w:eastAsia="Times New Roman" w:cstheme="minorHAnsi"/>
                <w:b/>
                <w:bCs/>
                <w:sz w:val="20"/>
                <w:szCs w:val="20"/>
              </w:rPr>
            </w:pPr>
            <w:r w:rsidRPr="002C68AC">
              <w:rPr>
                <w:rFonts w:eastAsia="Times New Roman" w:cstheme="minorHAnsi"/>
                <w:b/>
                <w:bCs/>
                <w:sz w:val="20"/>
                <w:szCs w:val="20"/>
              </w:rPr>
              <w:t>End date</w:t>
            </w:r>
          </w:p>
        </w:tc>
        <w:tc>
          <w:tcPr>
            <w:tcW w:w="0" w:type="auto"/>
            <w:hideMark/>
          </w:tcPr>
          <w:p w14:paraId="544B7C20" w14:textId="77777777" w:rsidR="00B0360C" w:rsidRPr="002C68AC" w:rsidRDefault="00B0360C" w:rsidP="00B0360C">
            <w:pPr>
              <w:spacing w:after="0" w:line="240" w:lineRule="auto"/>
              <w:rPr>
                <w:rFonts w:eastAsia="Times New Roman" w:cstheme="minorHAnsi"/>
                <w:b/>
                <w:bCs/>
                <w:sz w:val="20"/>
                <w:szCs w:val="20"/>
              </w:rPr>
            </w:pPr>
            <w:r w:rsidRPr="002C68AC">
              <w:rPr>
                <w:rFonts w:eastAsia="Times New Roman" w:cstheme="minorHAnsi"/>
                <w:b/>
                <w:bCs/>
                <w:sz w:val="20"/>
                <w:szCs w:val="20"/>
              </w:rPr>
              <w:t>Total ELRs</w:t>
            </w:r>
          </w:p>
        </w:tc>
        <w:tc>
          <w:tcPr>
            <w:tcW w:w="0" w:type="auto"/>
            <w:hideMark/>
          </w:tcPr>
          <w:p w14:paraId="6EE5BBCD" w14:textId="77777777" w:rsidR="00B0360C" w:rsidRPr="002C68AC" w:rsidRDefault="00B0360C" w:rsidP="00B0360C">
            <w:pPr>
              <w:spacing w:after="0" w:line="240" w:lineRule="auto"/>
              <w:rPr>
                <w:rFonts w:eastAsia="Times New Roman" w:cstheme="minorHAnsi"/>
                <w:b/>
                <w:bCs/>
                <w:sz w:val="20"/>
                <w:szCs w:val="20"/>
              </w:rPr>
            </w:pPr>
            <w:r w:rsidRPr="002C68AC">
              <w:rPr>
                <w:rFonts w:eastAsia="Times New Roman" w:cstheme="minorHAnsi"/>
                <w:b/>
                <w:bCs/>
                <w:sz w:val="20"/>
                <w:szCs w:val="20"/>
              </w:rPr>
              <w:t>Total Positives</w:t>
            </w:r>
          </w:p>
        </w:tc>
        <w:tc>
          <w:tcPr>
            <w:tcW w:w="0" w:type="auto"/>
            <w:hideMark/>
          </w:tcPr>
          <w:p w14:paraId="7E62A20D" w14:textId="77777777" w:rsidR="00B0360C" w:rsidRPr="002C68AC" w:rsidRDefault="00B0360C" w:rsidP="00B0360C">
            <w:pPr>
              <w:spacing w:after="0" w:line="240" w:lineRule="auto"/>
              <w:rPr>
                <w:rFonts w:eastAsia="Times New Roman" w:cstheme="minorHAnsi"/>
                <w:b/>
                <w:bCs/>
                <w:sz w:val="20"/>
                <w:szCs w:val="20"/>
              </w:rPr>
            </w:pPr>
            <w:r w:rsidRPr="002C68AC">
              <w:rPr>
                <w:rFonts w:eastAsia="Times New Roman" w:cstheme="minorHAnsi"/>
                <w:b/>
                <w:bCs/>
                <w:sz w:val="20"/>
                <w:szCs w:val="20"/>
              </w:rPr>
              <w:t>Jurisdictions affected</w:t>
            </w:r>
          </w:p>
        </w:tc>
      </w:tr>
      <w:tr w:rsidR="002C68AC" w:rsidRPr="002C68AC" w14:paraId="55063F0A" w14:textId="77777777" w:rsidTr="00B0360C">
        <w:tc>
          <w:tcPr>
            <w:tcW w:w="0" w:type="auto"/>
            <w:hideMark/>
          </w:tcPr>
          <w:p w14:paraId="1386E6FC" w14:textId="77777777" w:rsidR="00B0360C" w:rsidRPr="002C68AC" w:rsidRDefault="00B0360C" w:rsidP="00B0360C">
            <w:pPr>
              <w:spacing w:after="0" w:line="240" w:lineRule="auto"/>
              <w:rPr>
                <w:rFonts w:eastAsia="Times New Roman" w:cstheme="minorHAnsi"/>
                <w:sz w:val="20"/>
                <w:szCs w:val="20"/>
              </w:rPr>
            </w:pPr>
            <w:r w:rsidRPr="002C68AC">
              <w:rPr>
                <w:rFonts w:eastAsia="Times New Roman" w:cstheme="minorHAnsi"/>
                <w:sz w:val="20"/>
                <w:szCs w:val="20"/>
              </w:rPr>
              <w:t xml:space="preserve">Parkland Health &amp; Hospital Main Lab </w:t>
            </w:r>
          </w:p>
        </w:tc>
        <w:tc>
          <w:tcPr>
            <w:tcW w:w="0" w:type="auto"/>
            <w:hideMark/>
          </w:tcPr>
          <w:p w14:paraId="39580AA5" w14:textId="77777777" w:rsidR="00B0360C" w:rsidRPr="002C68AC" w:rsidRDefault="00B0360C" w:rsidP="00B0360C">
            <w:pPr>
              <w:spacing w:after="0" w:line="240" w:lineRule="auto"/>
              <w:rPr>
                <w:rFonts w:eastAsia="Times New Roman" w:cstheme="minorHAnsi"/>
                <w:sz w:val="20"/>
                <w:szCs w:val="20"/>
              </w:rPr>
            </w:pPr>
            <w:r w:rsidRPr="002C68AC">
              <w:rPr>
                <w:rFonts w:eastAsia="Times New Roman" w:cstheme="minorHAnsi"/>
                <w:sz w:val="20"/>
                <w:szCs w:val="20"/>
              </w:rPr>
              <w:t>45D0481057</w:t>
            </w:r>
          </w:p>
        </w:tc>
        <w:tc>
          <w:tcPr>
            <w:tcW w:w="0" w:type="auto"/>
            <w:hideMark/>
          </w:tcPr>
          <w:p w14:paraId="019D1F28" w14:textId="77777777" w:rsidR="00B0360C" w:rsidRPr="002C68AC" w:rsidRDefault="00B0360C" w:rsidP="00B0360C">
            <w:pPr>
              <w:spacing w:after="0" w:line="240" w:lineRule="auto"/>
              <w:rPr>
                <w:rFonts w:eastAsia="Times New Roman" w:cstheme="minorHAnsi"/>
                <w:sz w:val="20"/>
                <w:szCs w:val="20"/>
              </w:rPr>
            </w:pPr>
            <w:r w:rsidRPr="002C68AC">
              <w:rPr>
                <w:rFonts w:eastAsia="Times New Roman" w:cstheme="minorHAnsi"/>
                <w:sz w:val="20"/>
                <w:szCs w:val="20"/>
              </w:rPr>
              <w:t>10/10/22</w:t>
            </w:r>
          </w:p>
        </w:tc>
        <w:tc>
          <w:tcPr>
            <w:tcW w:w="0" w:type="auto"/>
            <w:hideMark/>
          </w:tcPr>
          <w:p w14:paraId="03C0F263" w14:textId="77777777" w:rsidR="00B0360C" w:rsidRPr="002C68AC" w:rsidRDefault="00B0360C" w:rsidP="00B0360C">
            <w:pPr>
              <w:spacing w:after="0" w:line="240" w:lineRule="auto"/>
              <w:rPr>
                <w:rFonts w:eastAsia="Times New Roman" w:cstheme="minorHAnsi"/>
                <w:sz w:val="20"/>
                <w:szCs w:val="20"/>
              </w:rPr>
            </w:pPr>
            <w:r w:rsidRPr="002C68AC">
              <w:rPr>
                <w:rFonts w:eastAsia="Times New Roman" w:cstheme="minorHAnsi"/>
                <w:sz w:val="20"/>
                <w:szCs w:val="20"/>
              </w:rPr>
              <w:t>11/16/22</w:t>
            </w:r>
          </w:p>
        </w:tc>
        <w:tc>
          <w:tcPr>
            <w:tcW w:w="0" w:type="auto"/>
            <w:hideMark/>
          </w:tcPr>
          <w:p w14:paraId="1C1F83EE" w14:textId="77777777" w:rsidR="00B0360C" w:rsidRPr="002C68AC" w:rsidRDefault="00B0360C" w:rsidP="00B0360C">
            <w:pPr>
              <w:spacing w:after="0" w:line="240" w:lineRule="auto"/>
              <w:rPr>
                <w:rFonts w:eastAsia="Times New Roman" w:cstheme="minorHAnsi"/>
                <w:sz w:val="20"/>
                <w:szCs w:val="20"/>
              </w:rPr>
            </w:pPr>
            <w:r w:rsidRPr="002C68AC">
              <w:rPr>
                <w:rFonts w:eastAsia="Times New Roman" w:cstheme="minorHAnsi"/>
                <w:sz w:val="20"/>
                <w:szCs w:val="20"/>
              </w:rPr>
              <w:t>5915</w:t>
            </w:r>
          </w:p>
        </w:tc>
        <w:tc>
          <w:tcPr>
            <w:tcW w:w="0" w:type="auto"/>
            <w:hideMark/>
          </w:tcPr>
          <w:p w14:paraId="0014F6C6" w14:textId="77777777" w:rsidR="00B0360C" w:rsidRPr="002C68AC" w:rsidRDefault="00B0360C" w:rsidP="00B0360C">
            <w:pPr>
              <w:spacing w:after="0" w:line="240" w:lineRule="auto"/>
              <w:rPr>
                <w:rFonts w:eastAsia="Times New Roman" w:cstheme="minorHAnsi"/>
                <w:sz w:val="20"/>
                <w:szCs w:val="20"/>
              </w:rPr>
            </w:pPr>
            <w:r w:rsidRPr="002C68AC">
              <w:rPr>
                <w:rFonts w:eastAsia="Times New Roman" w:cstheme="minorHAnsi"/>
                <w:sz w:val="20"/>
                <w:szCs w:val="20"/>
              </w:rPr>
              <w:t>335</w:t>
            </w:r>
          </w:p>
        </w:tc>
        <w:tc>
          <w:tcPr>
            <w:tcW w:w="0" w:type="auto"/>
            <w:hideMark/>
          </w:tcPr>
          <w:p w14:paraId="3F4BABAF" w14:textId="77777777" w:rsidR="00B0360C" w:rsidRPr="002C68AC" w:rsidRDefault="00B0360C" w:rsidP="00B0360C">
            <w:pPr>
              <w:spacing w:after="0" w:line="240" w:lineRule="auto"/>
              <w:rPr>
                <w:rFonts w:eastAsia="Times New Roman" w:cstheme="minorHAnsi"/>
                <w:sz w:val="20"/>
                <w:szCs w:val="20"/>
              </w:rPr>
            </w:pPr>
            <w:r w:rsidRPr="002C68AC">
              <w:rPr>
                <w:rFonts w:eastAsia="Times New Roman" w:cstheme="minorHAnsi"/>
                <w:sz w:val="20"/>
                <w:szCs w:val="20"/>
              </w:rPr>
              <w:t>Statewide, but mostly Dallas</w:t>
            </w:r>
          </w:p>
        </w:tc>
      </w:tr>
    </w:tbl>
    <w:p w14:paraId="376CF581" w14:textId="1D8610F7" w:rsidR="002C68AC" w:rsidRPr="002C68AC" w:rsidRDefault="002C68AC" w:rsidP="009B2BC8">
      <w:pPr>
        <w:shd w:val="clear" w:color="auto" w:fill="FFFFFF"/>
        <w:spacing w:after="240" w:line="240" w:lineRule="auto"/>
        <w:textAlignment w:val="baseline"/>
        <w:rPr>
          <w:rFonts w:eastAsia="Times New Roman" w:cstheme="minorHAnsi"/>
          <w:sz w:val="20"/>
          <w:szCs w:val="20"/>
          <w:u w:val="single"/>
        </w:rPr>
      </w:pPr>
    </w:p>
    <w:tbl>
      <w:tblPr>
        <w:tblStyle w:val="Style1"/>
        <w:tblW w:w="0" w:type="auto"/>
        <w:tblLook w:val="04A0" w:firstRow="1" w:lastRow="0" w:firstColumn="1" w:lastColumn="0" w:noHBand="0" w:noVBand="1"/>
      </w:tblPr>
      <w:tblGrid>
        <w:gridCol w:w="1653"/>
        <w:gridCol w:w="1291"/>
        <w:gridCol w:w="1332"/>
        <w:gridCol w:w="1081"/>
        <w:gridCol w:w="972"/>
        <w:gridCol w:w="1279"/>
        <w:gridCol w:w="1752"/>
      </w:tblGrid>
      <w:tr w:rsidR="002C68AC" w:rsidRPr="002C68AC" w14:paraId="030AE406" w14:textId="77777777" w:rsidTr="002C68AC">
        <w:tc>
          <w:tcPr>
            <w:tcW w:w="0" w:type="auto"/>
            <w:hideMark/>
          </w:tcPr>
          <w:p w14:paraId="4FC64576" w14:textId="77777777" w:rsidR="002C68AC" w:rsidRPr="002C68AC" w:rsidRDefault="002C68AC">
            <w:pPr>
              <w:rPr>
                <w:rFonts w:eastAsia="Times New Roman" w:cstheme="minorHAnsi"/>
                <w:b/>
                <w:bCs/>
                <w:sz w:val="20"/>
                <w:szCs w:val="20"/>
              </w:rPr>
            </w:pPr>
            <w:r w:rsidRPr="002C68AC">
              <w:rPr>
                <w:rFonts w:eastAsia="Times New Roman" w:cstheme="minorHAnsi"/>
                <w:b/>
                <w:bCs/>
                <w:sz w:val="20"/>
                <w:szCs w:val="20"/>
              </w:rPr>
              <w:t>Facility</w:t>
            </w:r>
          </w:p>
        </w:tc>
        <w:tc>
          <w:tcPr>
            <w:tcW w:w="0" w:type="auto"/>
            <w:hideMark/>
          </w:tcPr>
          <w:p w14:paraId="04639643" w14:textId="77777777" w:rsidR="002C68AC" w:rsidRPr="002C68AC" w:rsidRDefault="002C68AC">
            <w:pPr>
              <w:rPr>
                <w:rFonts w:eastAsia="Times New Roman" w:cstheme="minorHAnsi"/>
                <w:b/>
                <w:bCs/>
                <w:sz w:val="20"/>
                <w:szCs w:val="20"/>
              </w:rPr>
            </w:pPr>
            <w:r w:rsidRPr="002C68AC">
              <w:rPr>
                <w:rFonts w:eastAsia="Times New Roman" w:cstheme="minorHAnsi"/>
                <w:b/>
                <w:bCs/>
                <w:sz w:val="20"/>
                <w:szCs w:val="20"/>
              </w:rPr>
              <w:t>CLIA Number</w:t>
            </w:r>
          </w:p>
        </w:tc>
        <w:tc>
          <w:tcPr>
            <w:tcW w:w="0" w:type="auto"/>
            <w:hideMark/>
          </w:tcPr>
          <w:p w14:paraId="7B884C5F" w14:textId="77777777" w:rsidR="002C68AC" w:rsidRPr="002C68AC" w:rsidRDefault="002C68AC">
            <w:pPr>
              <w:rPr>
                <w:rFonts w:eastAsia="Times New Roman" w:cstheme="minorHAnsi"/>
                <w:b/>
                <w:bCs/>
                <w:sz w:val="20"/>
                <w:szCs w:val="20"/>
              </w:rPr>
            </w:pPr>
            <w:r w:rsidRPr="002C68AC">
              <w:rPr>
                <w:rFonts w:eastAsia="Times New Roman" w:cstheme="minorHAnsi"/>
                <w:b/>
                <w:bCs/>
                <w:sz w:val="20"/>
                <w:szCs w:val="20"/>
              </w:rPr>
              <w:t>Beginning date</w:t>
            </w:r>
          </w:p>
        </w:tc>
        <w:tc>
          <w:tcPr>
            <w:tcW w:w="0" w:type="auto"/>
            <w:hideMark/>
          </w:tcPr>
          <w:p w14:paraId="36E6D604" w14:textId="77777777" w:rsidR="002C68AC" w:rsidRPr="002C68AC" w:rsidRDefault="002C68AC">
            <w:pPr>
              <w:rPr>
                <w:rFonts w:eastAsia="Times New Roman" w:cstheme="minorHAnsi"/>
                <w:b/>
                <w:bCs/>
                <w:sz w:val="20"/>
                <w:szCs w:val="20"/>
              </w:rPr>
            </w:pPr>
            <w:r w:rsidRPr="002C68AC">
              <w:rPr>
                <w:rFonts w:eastAsia="Times New Roman" w:cstheme="minorHAnsi"/>
                <w:b/>
                <w:bCs/>
                <w:sz w:val="20"/>
                <w:szCs w:val="20"/>
              </w:rPr>
              <w:t>End date</w:t>
            </w:r>
          </w:p>
        </w:tc>
        <w:tc>
          <w:tcPr>
            <w:tcW w:w="0" w:type="auto"/>
            <w:hideMark/>
          </w:tcPr>
          <w:p w14:paraId="50AD3AE2" w14:textId="77777777" w:rsidR="002C68AC" w:rsidRPr="002C68AC" w:rsidRDefault="002C68AC">
            <w:pPr>
              <w:rPr>
                <w:rFonts w:eastAsia="Times New Roman" w:cstheme="minorHAnsi"/>
                <w:b/>
                <w:bCs/>
                <w:sz w:val="20"/>
                <w:szCs w:val="20"/>
              </w:rPr>
            </w:pPr>
            <w:r w:rsidRPr="002C68AC">
              <w:rPr>
                <w:rFonts w:eastAsia="Times New Roman" w:cstheme="minorHAnsi"/>
                <w:b/>
                <w:bCs/>
                <w:sz w:val="20"/>
                <w:szCs w:val="20"/>
              </w:rPr>
              <w:t>Total ELRs</w:t>
            </w:r>
          </w:p>
        </w:tc>
        <w:tc>
          <w:tcPr>
            <w:tcW w:w="0" w:type="auto"/>
            <w:hideMark/>
          </w:tcPr>
          <w:p w14:paraId="20B8CB5E" w14:textId="77777777" w:rsidR="002C68AC" w:rsidRPr="002C68AC" w:rsidRDefault="002C68AC">
            <w:pPr>
              <w:rPr>
                <w:rFonts w:eastAsia="Times New Roman" w:cstheme="minorHAnsi"/>
                <w:b/>
                <w:bCs/>
                <w:sz w:val="20"/>
                <w:szCs w:val="20"/>
              </w:rPr>
            </w:pPr>
            <w:r w:rsidRPr="002C68AC">
              <w:rPr>
                <w:rFonts w:eastAsia="Times New Roman" w:cstheme="minorHAnsi"/>
                <w:b/>
                <w:bCs/>
                <w:sz w:val="20"/>
                <w:szCs w:val="20"/>
              </w:rPr>
              <w:t>Total Positives</w:t>
            </w:r>
          </w:p>
        </w:tc>
        <w:tc>
          <w:tcPr>
            <w:tcW w:w="0" w:type="auto"/>
            <w:hideMark/>
          </w:tcPr>
          <w:p w14:paraId="6C5E91C3" w14:textId="77777777" w:rsidR="002C68AC" w:rsidRPr="002C68AC" w:rsidRDefault="002C68AC">
            <w:pPr>
              <w:rPr>
                <w:rFonts w:eastAsia="Times New Roman" w:cstheme="minorHAnsi"/>
                <w:b/>
                <w:bCs/>
                <w:sz w:val="20"/>
                <w:szCs w:val="20"/>
              </w:rPr>
            </w:pPr>
            <w:r w:rsidRPr="002C68AC">
              <w:rPr>
                <w:rFonts w:eastAsia="Times New Roman" w:cstheme="minorHAnsi"/>
                <w:b/>
                <w:bCs/>
                <w:sz w:val="20"/>
                <w:szCs w:val="20"/>
              </w:rPr>
              <w:t>Jurisdictions affected</w:t>
            </w:r>
          </w:p>
        </w:tc>
      </w:tr>
      <w:tr w:rsidR="002C68AC" w:rsidRPr="002C68AC" w14:paraId="19AA98F4" w14:textId="77777777" w:rsidTr="002C68AC">
        <w:tc>
          <w:tcPr>
            <w:tcW w:w="0" w:type="auto"/>
            <w:hideMark/>
          </w:tcPr>
          <w:p w14:paraId="53DA6929" w14:textId="77777777" w:rsidR="002C68AC" w:rsidRPr="002C68AC" w:rsidRDefault="002C68AC">
            <w:pPr>
              <w:rPr>
                <w:rFonts w:eastAsia="Times New Roman" w:cstheme="minorHAnsi"/>
                <w:sz w:val="20"/>
                <w:szCs w:val="20"/>
              </w:rPr>
            </w:pPr>
            <w:r w:rsidRPr="002C68AC">
              <w:rPr>
                <w:rFonts w:eastAsia="Times New Roman" w:cstheme="minorHAnsi"/>
                <w:sz w:val="20"/>
                <w:szCs w:val="20"/>
              </w:rPr>
              <w:t>Rapid Reliable Testing</w:t>
            </w:r>
          </w:p>
        </w:tc>
        <w:tc>
          <w:tcPr>
            <w:tcW w:w="0" w:type="auto"/>
            <w:hideMark/>
          </w:tcPr>
          <w:p w14:paraId="7D011F76" w14:textId="77777777" w:rsidR="002C68AC" w:rsidRPr="002C68AC" w:rsidRDefault="002C68AC">
            <w:pPr>
              <w:rPr>
                <w:rFonts w:eastAsia="Times New Roman" w:cstheme="minorHAnsi"/>
                <w:sz w:val="20"/>
                <w:szCs w:val="20"/>
              </w:rPr>
            </w:pPr>
            <w:r w:rsidRPr="002C68AC">
              <w:rPr>
                <w:rFonts w:eastAsia="Times New Roman" w:cstheme="minorHAnsi"/>
                <w:sz w:val="20"/>
                <w:szCs w:val="20"/>
              </w:rPr>
              <w:t>45D2194432</w:t>
            </w:r>
          </w:p>
        </w:tc>
        <w:tc>
          <w:tcPr>
            <w:tcW w:w="0" w:type="auto"/>
            <w:hideMark/>
          </w:tcPr>
          <w:p w14:paraId="2F20F358" w14:textId="77777777" w:rsidR="002C68AC" w:rsidRPr="002C68AC" w:rsidRDefault="002C68AC">
            <w:pPr>
              <w:rPr>
                <w:rFonts w:eastAsia="Times New Roman" w:cstheme="minorHAnsi"/>
                <w:sz w:val="20"/>
                <w:szCs w:val="20"/>
              </w:rPr>
            </w:pPr>
            <w:r w:rsidRPr="002C68AC">
              <w:rPr>
                <w:rFonts w:eastAsia="Times New Roman" w:cstheme="minorHAnsi"/>
                <w:sz w:val="20"/>
                <w:szCs w:val="20"/>
              </w:rPr>
              <w:t>1/1/2022</w:t>
            </w:r>
          </w:p>
        </w:tc>
        <w:tc>
          <w:tcPr>
            <w:tcW w:w="0" w:type="auto"/>
            <w:hideMark/>
          </w:tcPr>
          <w:p w14:paraId="1E244C04" w14:textId="77777777" w:rsidR="002C68AC" w:rsidRPr="002C68AC" w:rsidRDefault="002C68AC">
            <w:pPr>
              <w:rPr>
                <w:rFonts w:eastAsia="Times New Roman" w:cstheme="minorHAnsi"/>
                <w:sz w:val="20"/>
                <w:szCs w:val="20"/>
              </w:rPr>
            </w:pPr>
            <w:r w:rsidRPr="002C68AC">
              <w:rPr>
                <w:rFonts w:eastAsia="Times New Roman" w:cstheme="minorHAnsi"/>
                <w:sz w:val="20"/>
                <w:szCs w:val="20"/>
              </w:rPr>
              <w:t>8/22/2022</w:t>
            </w:r>
          </w:p>
        </w:tc>
        <w:tc>
          <w:tcPr>
            <w:tcW w:w="0" w:type="auto"/>
            <w:hideMark/>
          </w:tcPr>
          <w:p w14:paraId="7184EF25" w14:textId="77777777" w:rsidR="002C68AC" w:rsidRPr="002C68AC" w:rsidRDefault="002C68AC">
            <w:pPr>
              <w:rPr>
                <w:rFonts w:eastAsia="Times New Roman" w:cstheme="minorHAnsi"/>
                <w:sz w:val="20"/>
                <w:szCs w:val="20"/>
              </w:rPr>
            </w:pPr>
            <w:r w:rsidRPr="002C68AC">
              <w:rPr>
                <w:rFonts w:eastAsia="Times New Roman" w:cstheme="minorHAnsi"/>
                <w:sz w:val="20"/>
                <w:szCs w:val="20"/>
              </w:rPr>
              <w:t>26,853</w:t>
            </w:r>
          </w:p>
        </w:tc>
        <w:tc>
          <w:tcPr>
            <w:tcW w:w="0" w:type="auto"/>
            <w:hideMark/>
          </w:tcPr>
          <w:p w14:paraId="13D75967" w14:textId="77777777" w:rsidR="002C68AC" w:rsidRPr="002C68AC" w:rsidRDefault="002C68AC">
            <w:pPr>
              <w:rPr>
                <w:rFonts w:eastAsia="Times New Roman" w:cstheme="minorHAnsi"/>
                <w:sz w:val="20"/>
                <w:szCs w:val="20"/>
              </w:rPr>
            </w:pPr>
            <w:r w:rsidRPr="002C68AC">
              <w:rPr>
                <w:rFonts w:eastAsia="Times New Roman" w:cstheme="minorHAnsi"/>
                <w:sz w:val="20"/>
                <w:szCs w:val="20"/>
              </w:rPr>
              <w:t>285</w:t>
            </w:r>
          </w:p>
        </w:tc>
        <w:tc>
          <w:tcPr>
            <w:tcW w:w="0" w:type="auto"/>
            <w:hideMark/>
          </w:tcPr>
          <w:p w14:paraId="478D7ABE" w14:textId="77777777" w:rsidR="002C68AC" w:rsidRPr="002C68AC" w:rsidRDefault="002C68AC">
            <w:pPr>
              <w:rPr>
                <w:rFonts w:eastAsia="Times New Roman" w:cstheme="minorHAnsi"/>
                <w:sz w:val="20"/>
                <w:szCs w:val="20"/>
              </w:rPr>
            </w:pPr>
            <w:r w:rsidRPr="002C68AC">
              <w:rPr>
                <w:rFonts w:eastAsia="Times New Roman" w:cstheme="minorHAnsi"/>
                <w:sz w:val="20"/>
                <w:szCs w:val="20"/>
              </w:rPr>
              <w:t xml:space="preserve">Statewide </w:t>
            </w:r>
          </w:p>
        </w:tc>
      </w:tr>
    </w:tbl>
    <w:p w14:paraId="5A10790C" w14:textId="66ADDCA3" w:rsidR="009B2BC8" w:rsidRPr="002C68AC" w:rsidRDefault="009B2BC8" w:rsidP="009B2BC8">
      <w:pPr>
        <w:shd w:val="clear" w:color="auto" w:fill="FFFFFF"/>
        <w:spacing w:after="240" w:line="240" w:lineRule="auto"/>
        <w:textAlignment w:val="baseline"/>
        <w:rPr>
          <w:rFonts w:eastAsia="Times New Roman" w:cstheme="minorHAnsi"/>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837"/>
        <w:gridCol w:w="1523"/>
        <w:gridCol w:w="1193"/>
        <w:gridCol w:w="854"/>
        <w:gridCol w:w="789"/>
        <w:gridCol w:w="1121"/>
        <w:gridCol w:w="3043"/>
      </w:tblGrid>
      <w:tr w:rsidR="002C68AC" w:rsidRPr="002C68AC" w14:paraId="6BDFA582" w14:textId="77777777" w:rsidTr="009B2BC8">
        <w:tc>
          <w:tcPr>
            <w:tcW w:w="0" w:type="auto"/>
            <w:tcBorders>
              <w:top w:val="nil"/>
              <w:left w:val="nil"/>
              <w:bottom w:val="nil"/>
              <w:right w:val="nil"/>
            </w:tcBorders>
            <w:shd w:val="clear" w:color="auto" w:fill="FFFFFF"/>
            <w:vAlign w:val="center"/>
            <w:hideMark/>
          </w:tcPr>
          <w:p w14:paraId="4500AC95"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Facility  </w:t>
            </w:r>
          </w:p>
        </w:tc>
        <w:tc>
          <w:tcPr>
            <w:tcW w:w="0" w:type="auto"/>
            <w:tcBorders>
              <w:top w:val="nil"/>
              <w:left w:val="nil"/>
              <w:bottom w:val="nil"/>
              <w:right w:val="nil"/>
            </w:tcBorders>
            <w:shd w:val="clear" w:color="auto" w:fill="FFFFFF"/>
            <w:vAlign w:val="center"/>
            <w:hideMark/>
          </w:tcPr>
          <w:p w14:paraId="45E9A732"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CLIA Number  </w:t>
            </w:r>
          </w:p>
        </w:tc>
        <w:tc>
          <w:tcPr>
            <w:tcW w:w="0" w:type="auto"/>
            <w:tcBorders>
              <w:top w:val="nil"/>
              <w:left w:val="nil"/>
              <w:bottom w:val="nil"/>
              <w:right w:val="nil"/>
            </w:tcBorders>
            <w:shd w:val="clear" w:color="auto" w:fill="FFFFFF"/>
            <w:vAlign w:val="center"/>
            <w:hideMark/>
          </w:tcPr>
          <w:p w14:paraId="2FC0058D"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Beginning date  </w:t>
            </w:r>
          </w:p>
        </w:tc>
        <w:tc>
          <w:tcPr>
            <w:tcW w:w="0" w:type="auto"/>
            <w:tcBorders>
              <w:top w:val="nil"/>
              <w:left w:val="nil"/>
              <w:bottom w:val="nil"/>
              <w:right w:val="nil"/>
            </w:tcBorders>
            <w:shd w:val="clear" w:color="auto" w:fill="FFFFFF"/>
            <w:vAlign w:val="center"/>
            <w:hideMark/>
          </w:tcPr>
          <w:p w14:paraId="74A1CAA3"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End date  </w:t>
            </w:r>
          </w:p>
        </w:tc>
        <w:tc>
          <w:tcPr>
            <w:tcW w:w="0" w:type="auto"/>
            <w:tcBorders>
              <w:top w:val="nil"/>
              <w:left w:val="nil"/>
              <w:bottom w:val="nil"/>
              <w:right w:val="nil"/>
            </w:tcBorders>
            <w:shd w:val="clear" w:color="auto" w:fill="FFFFFF"/>
            <w:vAlign w:val="center"/>
            <w:hideMark/>
          </w:tcPr>
          <w:p w14:paraId="7DE7B5F0"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Total ELRs  </w:t>
            </w:r>
          </w:p>
        </w:tc>
        <w:tc>
          <w:tcPr>
            <w:tcW w:w="0" w:type="auto"/>
            <w:tcBorders>
              <w:top w:val="nil"/>
              <w:left w:val="nil"/>
              <w:bottom w:val="nil"/>
              <w:right w:val="nil"/>
            </w:tcBorders>
            <w:shd w:val="clear" w:color="auto" w:fill="FFFFFF"/>
            <w:vAlign w:val="center"/>
            <w:hideMark/>
          </w:tcPr>
          <w:p w14:paraId="3D3BB997"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Total Positives  </w:t>
            </w:r>
          </w:p>
        </w:tc>
        <w:tc>
          <w:tcPr>
            <w:tcW w:w="0" w:type="auto"/>
            <w:tcBorders>
              <w:top w:val="nil"/>
              <w:left w:val="nil"/>
              <w:bottom w:val="nil"/>
              <w:right w:val="nil"/>
            </w:tcBorders>
            <w:shd w:val="clear" w:color="auto" w:fill="FFFFFF"/>
            <w:vAlign w:val="center"/>
            <w:hideMark/>
          </w:tcPr>
          <w:p w14:paraId="374BA402"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Jurisdictions affected  </w:t>
            </w:r>
          </w:p>
        </w:tc>
      </w:tr>
      <w:tr w:rsidR="002C68AC" w:rsidRPr="002C68AC" w14:paraId="7C15377C" w14:textId="77777777" w:rsidTr="009B2BC8">
        <w:tc>
          <w:tcPr>
            <w:tcW w:w="0" w:type="auto"/>
            <w:tcBorders>
              <w:top w:val="nil"/>
              <w:left w:val="nil"/>
              <w:bottom w:val="nil"/>
              <w:right w:val="nil"/>
            </w:tcBorders>
            <w:shd w:val="clear" w:color="auto" w:fill="FFFFFF"/>
            <w:vAlign w:val="center"/>
            <w:hideMark/>
          </w:tcPr>
          <w:p w14:paraId="7DDD62AF"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WellMed  </w:t>
            </w:r>
          </w:p>
        </w:tc>
        <w:tc>
          <w:tcPr>
            <w:tcW w:w="0" w:type="auto"/>
            <w:tcBorders>
              <w:top w:val="nil"/>
              <w:left w:val="nil"/>
              <w:bottom w:val="nil"/>
              <w:right w:val="nil"/>
            </w:tcBorders>
            <w:shd w:val="clear" w:color="auto" w:fill="FFFFFF"/>
            <w:vAlign w:val="center"/>
            <w:hideMark/>
          </w:tcPr>
          <w:p w14:paraId="311FDA85"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Multiple CLIA numbers  </w:t>
            </w:r>
          </w:p>
        </w:tc>
        <w:tc>
          <w:tcPr>
            <w:tcW w:w="0" w:type="auto"/>
            <w:tcBorders>
              <w:top w:val="nil"/>
              <w:left w:val="nil"/>
              <w:bottom w:val="nil"/>
              <w:right w:val="nil"/>
            </w:tcBorders>
            <w:shd w:val="clear" w:color="auto" w:fill="FFFFFF"/>
            <w:vAlign w:val="center"/>
            <w:hideMark/>
          </w:tcPr>
          <w:p w14:paraId="2E0EFF67"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2/16/2022  </w:t>
            </w:r>
          </w:p>
        </w:tc>
        <w:tc>
          <w:tcPr>
            <w:tcW w:w="0" w:type="auto"/>
            <w:tcBorders>
              <w:top w:val="nil"/>
              <w:left w:val="nil"/>
              <w:bottom w:val="nil"/>
              <w:right w:val="nil"/>
            </w:tcBorders>
            <w:shd w:val="clear" w:color="auto" w:fill="FFFFFF"/>
            <w:vAlign w:val="center"/>
            <w:hideMark/>
          </w:tcPr>
          <w:p w14:paraId="1068D927"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8/2/2022  </w:t>
            </w:r>
          </w:p>
        </w:tc>
        <w:tc>
          <w:tcPr>
            <w:tcW w:w="0" w:type="auto"/>
            <w:tcBorders>
              <w:top w:val="nil"/>
              <w:left w:val="nil"/>
              <w:bottom w:val="nil"/>
              <w:right w:val="nil"/>
            </w:tcBorders>
            <w:shd w:val="clear" w:color="auto" w:fill="FFFFFF"/>
            <w:vAlign w:val="center"/>
            <w:hideMark/>
          </w:tcPr>
          <w:p w14:paraId="215F72A1"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5,658  </w:t>
            </w:r>
          </w:p>
        </w:tc>
        <w:tc>
          <w:tcPr>
            <w:tcW w:w="0" w:type="auto"/>
            <w:tcBorders>
              <w:top w:val="nil"/>
              <w:left w:val="nil"/>
              <w:bottom w:val="nil"/>
              <w:right w:val="nil"/>
            </w:tcBorders>
            <w:shd w:val="clear" w:color="auto" w:fill="FFFFFF"/>
            <w:vAlign w:val="center"/>
            <w:hideMark/>
          </w:tcPr>
          <w:p w14:paraId="65BD4C93"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1,688  </w:t>
            </w:r>
          </w:p>
        </w:tc>
        <w:tc>
          <w:tcPr>
            <w:tcW w:w="0" w:type="auto"/>
            <w:tcBorders>
              <w:top w:val="nil"/>
              <w:left w:val="nil"/>
              <w:bottom w:val="nil"/>
              <w:right w:val="nil"/>
            </w:tcBorders>
            <w:shd w:val="clear" w:color="auto" w:fill="FFFFFF"/>
            <w:vAlign w:val="center"/>
            <w:hideMark/>
          </w:tcPr>
          <w:p w14:paraId="2A2F852F"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Statewide but most from El Paso and Bexar counties</w:t>
            </w:r>
          </w:p>
        </w:tc>
      </w:tr>
    </w:tbl>
    <w:p w14:paraId="42A65361" w14:textId="227DFECE" w:rsidR="009B2BC8" w:rsidRPr="002C68AC" w:rsidRDefault="009B2BC8" w:rsidP="009B2BC8">
      <w:pPr>
        <w:shd w:val="clear" w:color="auto" w:fill="FFFFFF"/>
        <w:spacing w:after="240" w:line="240" w:lineRule="auto"/>
        <w:textAlignment w:val="baseline"/>
        <w:rPr>
          <w:rFonts w:eastAsia="Times New Roman" w:cstheme="minorHAnsi"/>
          <w:sz w:val="20"/>
          <w:szCs w:val="20"/>
        </w:rPr>
      </w:pPr>
      <w:r w:rsidRPr="002C68AC">
        <w:rPr>
          <w:rFonts w:eastAsia="Times New Roman" w:cstheme="minorHAnsi"/>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1148"/>
        <w:gridCol w:w="1206"/>
        <w:gridCol w:w="1021"/>
        <w:gridCol w:w="854"/>
        <w:gridCol w:w="747"/>
        <w:gridCol w:w="1006"/>
        <w:gridCol w:w="3378"/>
      </w:tblGrid>
      <w:tr w:rsidR="002C68AC" w:rsidRPr="002C68AC" w14:paraId="6EE8FF05" w14:textId="77777777" w:rsidTr="009B2BC8">
        <w:tc>
          <w:tcPr>
            <w:tcW w:w="0" w:type="auto"/>
            <w:tcBorders>
              <w:top w:val="nil"/>
              <w:left w:val="nil"/>
              <w:bottom w:val="nil"/>
              <w:right w:val="nil"/>
            </w:tcBorders>
            <w:shd w:val="clear" w:color="auto" w:fill="FFFFFF"/>
            <w:vAlign w:val="center"/>
            <w:hideMark/>
          </w:tcPr>
          <w:p w14:paraId="01D98D4E"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Facility  </w:t>
            </w:r>
          </w:p>
        </w:tc>
        <w:tc>
          <w:tcPr>
            <w:tcW w:w="0" w:type="auto"/>
            <w:tcBorders>
              <w:top w:val="nil"/>
              <w:left w:val="nil"/>
              <w:bottom w:val="nil"/>
              <w:right w:val="nil"/>
            </w:tcBorders>
            <w:shd w:val="clear" w:color="auto" w:fill="FFFFFF"/>
            <w:vAlign w:val="center"/>
            <w:hideMark/>
          </w:tcPr>
          <w:p w14:paraId="120E8D61"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CLIA Number  </w:t>
            </w:r>
          </w:p>
        </w:tc>
        <w:tc>
          <w:tcPr>
            <w:tcW w:w="0" w:type="auto"/>
            <w:tcBorders>
              <w:top w:val="nil"/>
              <w:left w:val="nil"/>
              <w:bottom w:val="nil"/>
              <w:right w:val="nil"/>
            </w:tcBorders>
            <w:shd w:val="clear" w:color="auto" w:fill="FFFFFF"/>
            <w:vAlign w:val="center"/>
            <w:hideMark/>
          </w:tcPr>
          <w:p w14:paraId="535283E1"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Beginning date  </w:t>
            </w:r>
          </w:p>
        </w:tc>
        <w:tc>
          <w:tcPr>
            <w:tcW w:w="0" w:type="auto"/>
            <w:tcBorders>
              <w:top w:val="nil"/>
              <w:left w:val="nil"/>
              <w:bottom w:val="nil"/>
              <w:right w:val="nil"/>
            </w:tcBorders>
            <w:shd w:val="clear" w:color="auto" w:fill="FFFFFF"/>
            <w:vAlign w:val="center"/>
            <w:hideMark/>
          </w:tcPr>
          <w:p w14:paraId="1F9A1DB7"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End date  </w:t>
            </w:r>
          </w:p>
        </w:tc>
        <w:tc>
          <w:tcPr>
            <w:tcW w:w="0" w:type="auto"/>
            <w:tcBorders>
              <w:top w:val="nil"/>
              <w:left w:val="nil"/>
              <w:bottom w:val="nil"/>
              <w:right w:val="nil"/>
            </w:tcBorders>
            <w:shd w:val="clear" w:color="auto" w:fill="FFFFFF"/>
            <w:vAlign w:val="center"/>
            <w:hideMark/>
          </w:tcPr>
          <w:p w14:paraId="7672BA30"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Total ELRs  </w:t>
            </w:r>
          </w:p>
        </w:tc>
        <w:tc>
          <w:tcPr>
            <w:tcW w:w="0" w:type="auto"/>
            <w:tcBorders>
              <w:top w:val="nil"/>
              <w:left w:val="nil"/>
              <w:bottom w:val="nil"/>
              <w:right w:val="nil"/>
            </w:tcBorders>
            <w:shd w:val="clear" w:color="auto" w:fill="FFFFFF"/>
            <w:vAlign w:val="center"/>
            <w:hideMark/>
          </w:tcPr>
          <w:p w14:paraId="2A5DB2EF"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 Total Positives  </w:t>
            </w:r>
          </w:p>
        </w:tc>
        <w:tc>
          <w:tcPr>
            <w:tcW w:w="0" w:type="auto"/>
            <w:tcBorders>
              <w:top w:val="nil"/>
              <w:left w:val="nil"/>
              <w:bottom w:val="nil"/>
              <w:right w:val="nil"/>
            </w:tcBorders>
            <w:shd w:val="clear" w:color="auto" w:fill="FFFFFF"/>
            <w:vAlign w:val="center"/>
            <w:hideMark/>
          </w:tcPr>
          <w:p w14:paraId="67A63916"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b/>
                <w:bCs/>
                <w:sz w:val="20"/>
                <w:szCs w:val="20"/>
              </w:rPr>
              <w:t>Jurisdictions affected  </w:t>
            </w:r>
          </w:p>
        </w:tc>
      </w:tr>
      <w:tr w:rsidR="002C68AC" w:rsidRPr="002C68AC" w14:paraId="40EDAFCB" w14:textId="77777777" w:rsidTr="009B2BC8">
        <w:tc>
          <w:tcPr>
            <w:tcW w:w="0" w:type="auto"/>
            <w:tcBorders>
              <w:top w:val="nil"/>
              <w:left w:val="nil"/>
              <w:bottom w:val="nil"/>
              <w:right w:val="nil"/>
            </w:tcBorders>
            <w:shd w:val="clear" w:color="auto" w:fill="FFFFFF"/>
            <w:vAlign w:val="center"/>
            <w:hideMark/>
          </w:tcPr>
          <w:p w14:paraId="7B8C5095"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GOODSIDE HEALTH  </w:t>
            </w:r>
          </w:p>
        </w:tc>
        <w:tc>
          <w:tcPr>
            <w:tcW w:w="0" w:type="auto"/>
            <w:tcBorders>
              <w:top w:val="nil"/>
              <w:left w:val="nil"/>
              <w:bottom w:val="nil"/>
              <w:right w:val="nil"/>
            </w:tcBorders>
            <w:shd w:val="clear" w:color="auto" w:fill="FFFFFF"/>
            <w:vAlign w:val="center"/>
            <w:hideMark/>
          </w:tcPr>
          <w:p w14:paraId="50FC6860"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Multiple CLIA numbers  </w:t>
            </w:r>
          </w:p>
        </w:tc>
        <w:tc>
          <w:tcPr>
            <w:tcW w:w="0" w:type="auto"/>
            <w:tcBorders>
              <w:top w:val="nil"/>
              <w:left w:val="nil"/>
              <w:bottom w:val="nil"/>
              <w:right w:val="nil"/>
            </w:tcBorders>
            <w:shd w:val="clear" w:color="auto" w:fill="FFFFFF"/>
            <w:vAlign w:val="center"/>
            <w:hideMark/>
          </w:tcPr>
          <w:p w14:paraId="7E3D1BA3"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1/1/2022  </w:t>
            </w:r>
          </w:p>
        </w:tc>
        <w:tc>
          <w:tcPr>
            <w:tcW w:w="0" w:type="auto"/>
            <w:tcBorders>
              <w:top w:val="nil"/>
              <w:left w:val="nil"/>
              <w:bottom w:val="nil"/>
              <w:right w:val="nil"/>
            </w:tcBorders>
            <w:shd w:val="clear" w:color="auto" w:fill="FFFFFF"/>
            <w:vAlign w:val="center"/>
            <w:hideMark/>
          </w:tcPr>
          <w:p w14:paraId="095A4A95"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8/4/2022  </w:t>
            </w:r>
          </w:p>
        </w:tc>
        <w:tc>
          <w:tcPr>
            <w:tcW w:w="0" w:type="auto"/>
            <w:tcBorders>
              <w:top w:val="nil"/>
              <w:left w:val="nil"/>
              <w:bottom w:val="nil"/>
              <w:right w:val="nil"/>
            </w:tcBorders>
            <w:shd w:val="clear" w:color="auto" w:fill="FFFFFF"/>
            <w:vAlign w:val="center"/>
            <w:hideMark/>
          </w:tcPr>
          <w:p w14:paraId="67EBEE19"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26,833  </w:t>
            </w:r>
          </w:p>
        </w:tc>
        <w:tc>
          <w:tcPr>
            <w:tcW w:w="0" w:type="auto"/>
            <w:tcBorders>
              <w:top w:val="nil"/>
              <w:left w:val="nil"/>
              <w:bottom w:val="nil"/>
              <w:right w:val="nil"/>
            </w:tcBorders>
            <w:shd w:val="clear" w:color="auto" w:fill="FFFFFF"/>
            <w:vAlign w:val="center"/>
            <w:hideMark/>
          </w:tcPr>
          <w:p w14:paraId="611A2938"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6,207  </w:t>
            </w:r>
          </w:p>
        </w:tc>
        <w:tc>
          <w:tcPr>
            <w:tcW w:w="0" w:type="auto"/>
            <w:tcBorders>
              <w:top w:val="nil"/>
              <w:left w:val="nil"/>
              <w:bottom w:val="nil"/>
              <w:right w:val="nil"/>
            </w:tcBorders>
            <w:shd w:val="clear" w:color="auto" w:fill="FFFFFF"/>
            <w:vAlign w:val="center"/>
            <w:hideMark/>
          </w:tcPr>
          <w:p w14:paraId="43AC3803" w14:textId="77777777" w:rsidR="009B2BC8" w:rsidRPr="002C68AC" w:rsidRDefault="009B2BC8" w:rsidP="009B2BC8">
            <w:pPr>
              <w:spacing w:after="0" w:line="240" w:lineRule="auto"/>
              <w:rPr>
                <w:rFonts w:eastAsia="Times New Roman" w:cstheme="minorHAnsi"/>
                <w:sz w:val="20"/>
                <w:szCs w:val="20"/>
              </w:rPr>
            </w:pPr>
            <w:r w:rsidRPr="002C68AC">
              <w:rPr>
                <w:rFonts w:eastAsia="Times New Roman" w:cstheme="minorHAnsi"/>
                <w:sz w:val="20"/>
                <w:szCs w:val="20"/>
              </w:rPr>
              <w:t>Statewide but most from Tarrant, Collin, Harris, Dallas, Williamson, and Montgomery counties  </w:t>
            </w:r>
          </w:p>
        </w:tc>
      </w:tr>
    </w:tbl>
    <w:p w14:paraId="69E8025B" w14:textId="59104BAD" w:rsidR="009B2BC8" w:rsidRPr="002C68AC" w:rsidRDefault="009B2BC8">
      <w:pPr>
        <w:rPr>
          <w:rFonts w:cstheme="minorHAnsi"/>
          <w:sz w:val="20"/>
          <w:szCs w:val="20"/>
        </w:rPr>
      </w:pPr>
    </w:p>
    <w:tbl>
      <w:tblPr>
        <w:tblStyle w:val="Style1"/>
        <w:tblW w:w="0" w:type="auto"/>
        <w:tblLook w:val="04A0" w:firstRow="1" w:lastRow="0" w:firstColumn="1" w:lastColumn="0" w:noHBand="0" w:noVBand="1"/>
      </w:tblPr>
      <w:tblGrid>
        <w:gridCol w:w="1492"/>
        <w:gridCol w:w="1412"/>
        <w:gridCol w:w="1239"/>
        <w:gridCol w:w="1081"/>
        <w:gridCol w:w="834"/>
        <w:gridCol w:w="1052"/>
        <w:gridCol w:w="2250"/>
      </w:tblGrid>
      <w:tr w:rsidR="002C68AC" w:rsidRPr="002C68AC" w14:paraId="734C069C" w14:textId="77777777" w:rsidTr="002C68AC">
        <w:tc>
          <w:tcPr>
            <w:tcW w:w="0" w:type="auto"/>
            <w:hideMark/>
          </w:tcPr>
          <w:p w14:paraId="2BC8025F" w14:textId="77777777" w:rsidR="002C68AC" w:rsidRPr="002C68AC" w:rsidRDefault="002C68AC">
            <w:pPr>
              <w:rPr>
                <w:rFonts w:cstheme="minorHAnsi"/>
                <w:b/>
                <w:bCs/>
                <w:sz w:val="20"/>
                <w:szCs w:val="20"/>
              </w:rPr>
            </w:pPr>
            <w:r w:rsidRPr="002C68AC">
              <w:rPr>
                <w:rFonts w:cstheme="minorHAnsi"/>
                <w:b/>
                <w:bCs/>
                <w:sz w:val="20"/>
                <w:szCs w:val="20"/>
              </w:rPr>
              <w:t>Facility</w:t>
            </w:r>
          </w:p>
        </w:tc>
        <w:tc>
          <w:tcPr>
            <w:tcW w:w="0" w:type="auto"/>
            <w:hideMark/>
          </w:tcPr>
          <w:p w14:paraId="330FC676" w14:textId="77777777" w:rsidR="002C68AC" w:rsidRPr="002C68AC" w:rsidRDefault="002C68AC">
            <w:pPr>
              <w:rPr>
                <w:rFonts w:cstheme="minorHAnsi"/>
                <w:b/>
                <w:bCs/>
                <w:sz w:val="20"/>
                <w:szCs w:val="20"/>
              </w:rPr>
            </w:pPr>
            <w:r w:rsidRPr="002C68AC">
              <w:rPr>
                <w:rFonts w:cstheme="minorHAnsi"/>
                <w:b/>
                <w:bCs/>
                <w:sz w:val="20"/>
                <w:szCs w:val="20"/>
              </w:rPr>
              <w:t>CLIA Number</w:t>
            </w:r>
          </w:p>
        </w:tc>
        <w:tc>
          <w:tcPr>
            <w:tcW w:w="0" w:type="auto"/>
            <w:hideMark/>
          </w:tcPr>
          <w:p w14:paraId="7F3D6F6F" w14:textId="77777777" w:rsidR="002C68AC" w:rsidRPr="002C68AC" w:rsidRDefault="002C68AC">
            <w:pPr>
              <w:rPr>
                <w:rFonts w:cstheme="minorHAnsi"/>
                <w:b/>
                <w:bCs/>
                <w:sz w:val="20"/>
                <w:szCs w:val="20"/>
              </w:rPr>
            </w:pPr>
            <w:r w:rsidRPr="002C68AC">
              <w:rPr>
                <w:rFonts w:cstheme="minorHAnsi"/>
                <w:b/>
                <w:bCs/>
                <w:sz w:val="20"/>
                <w:szCs w:val="20"/>
              </w:rPr>
              <w:t>Beginning date</w:t>
            </w:r>
          </w:p>
        </w:tc>
        <w:tc>
          <w:tcPr>
            <w:tcW w:w="0" w:type="auto"/>
            <w:hideMark/>
          </w:tcPr>
          <w:p w14:paraId="72E8FBF8" w14:textId="77777777" w:rsidR="002C68AC" w:rsidRPr="002C68AC" w:rsidRDefault="002C68AC">
            <w:pPr>
              <w:rPr>
                <w:rFonts w:cstheme="minorHAnsi"/>
                <w:b/>
                <w:bCs/>
                <w:sz w:val="20"/>
                <w:szCs w:val="20"/>
              </w:rPr>
            </w:pPr>
            <w:r w:rsidRPr="002C68AC">
              <w:rPr>
                <w:rFonts w:cstheme="minorHAnsi"/>
                <w:b/>
                <w:bCs/>
                <w:sz w:val="20"/>
                <w:szCs w:val="20"/>
              </w:rPr>
              <w:t>End date</w:t>
            </w:r>
          </w:p>
        </w:tc>
        <w:tc>
          <w:tcPr>
            <w:tcW w:w="0" w:type="auto"/>
            <w:hideMark/>
          </w:tcPr>
          <w:p w14:paraId="6F1742AA" w14:textId="77777777" w:rsidR="002C68AC" w:rsidRPr="002C68AC" w:rsidRDefault="002C68AC">
            <w:pPr>
              <w:rPr>
                <w:rFonts w:cstheme="minorHAnsi"/>
                <w:b/>
                <w:bCs/>
                <w:sz w:val="20"/>
                <w:szCs w:val="20"/>
              </w:rPr>
            </w:pPr>
            <w:r w:rsidRPr="002C68AC">
              <w:rPr>
                <w:rFonts w:cstheme="minorHAnsi"/>
                <w:b/>
                <w:bCs/>
                <w:sz w:val="20"/>
                <w:szCs w:val="20"/>
              </w:rPr>
              <w:t>Total ELRs</w:t>
            </w:r>
          </w:p>
        </w:tc>
        <w:tc>
          <w:tcPr>
            <w:tcW w:w="1052" w:type="dxa"/>
            <w:hideMark/>
          </w:tcPr>
          <w:p w14:paraId="6A657169" w14:textId="77777777" w:rsidR="002C68AC" w:rsidRPr="002C68AC" w:rsidRDefault="002C68AC">
            <w:pPr>
              <w:rPr>
                <w:rFonts w:cstheme="minorHAnsi"/>
                <w:b/>
                <w:bCs/>
                <w:sz w:val="20"/>
                <w:szCs w:val="20"/>
              </w:rPr>
            </w:pPr>
            <w:r w:rsidRPr="002C68AC">
              <w:rPr>
                <w:rFonts w:cstheme="minorHAnsi"/>
                <w:b/>
                <w:bCs/>
                <w:sz w:val="20"/>
                <w:szCs w:val="20"/>
              </w:rPr>
              <w:t>Total Positives</w:t>
            </w:r>
          </w:p>
        </w:tc>
        <w:tc>
          <w:tcPr>
            <w:tcW w:w="2250" w:type="dxa"/>
            <w:hideMark/>
          </w:tcPr>
          <w:p w14:paraId="50BCBA83" w14:textId="77777777" w:rsidR="002C68AC" w:rsidRPr="002C68AC" w:rsidRDefault="002C68AC">
            <w:pPr>
              <w:rPr>
                <w:rFonts w:cstheme="minorHAnsi"/>
                <w:b/>
                <w:bCs/>
                <w:sz w:val="20"/>
                <w:szCs w:val="20"/>
              </w:rPr>
            </w:pPr>
            <w:r w:rsidRPr="002C68AC">
              <w:rPr>
                <w:rFonts w:cstheme="minorHAnsi"/>
                <w:b/>
                <w:bCs/>
                <w:sz w:val="20"/>
                <w:szCs w:val="20"/>
              </w:rPr>
              <w:t>Jurisdictions affected</w:t>
            </w:r>
          </w:p>
        </w:tc>
      </w:tr>
      <w:tr w:rsidR="002C68AC" w:rsidRPr="002C68AC" w14:paraId="78C2C5E4" w14:textId="77777777" w:rsidTr="002C68AC">
        <w:tc>
          <w:tcPr>
            <w:tcW w:w="0" w:type="auto"/>
            <w:hideMark/>
          </w:tcPr>
          <w:p w14:paraId="46A67267" w14:textId="77777777" w:rsidR="002C68AC" w:rsidRPr="002C68AC" w:rsidRDefault="002C68AC">
            <w:pPr>
              <w:rPr>
                <w:rFonts w:cstheme="minorHAnsi"/>
                <w:sz w:val="20"/>
                <w:szCs w:val="20"/>
              </w:rPr>
            </w:pPr>
            <w:r w:rsidRPr="002C68AC">
              <w:rPr>
                <w:rFonts w:cstheme="minorHAnsi"/>
                <w:sz w:val="20"/>
                <w:szCs w:val="20"/>
              </w:rPr>
              <w:t>TMC Provider Group PLLC</w:t>
            </w:r>
          </w:p>
        </w:tc>
        <w:tc>
          <w:tcPr>
            <w:tcW w:w="0" w:type="auto"/>
            <w:hideMark/>
          </w:tcPr>
          <w:p w14:paraId="7A7FAA43" w14:textId="77777777" w:rsidR="002C68AC" w:rsidRPr="002C68AC" w:rsidRDefault="002C68AC">
            <w:pPr>
              <w:rPr>
                <w:rFonts w:cstheme="minorHAnsi"/>
                <w:sz w:val="20"/>
                <w:szCs w:val="20"/>
              </w:rPr>
            </w:pPr>
            <w:r w:rsidRPr="002C68AC">
              <w:rPr>
                <w:rFonts w:cstheme="minorHAnsi"/>
                <w:sz w:val="20"/>
                <w:szCs w:val="20"/>
              </w:rPr>
              <w:t>Multiple CLIA numbers</w:t>
            </w:r>
          </w:p>
        </w:tc>
        <w:tc>
          <w:tcPr>
            <w:tcW w:w="0" w:type="auto"/>
            <w:hideMark/>
          </w:tcPr>
          <w:p w14:paraId="0EB3CC2C" w14:textId="77777777" w:rsidR="002C68AC" w:rsidRPr="002C68AC" w:rsidRDefault="002C68AC">
            <w:pPr>
              <w:rPr>
                <w:rFonts w:cstheme="minorHAnsi"/>
                <w:sz w:val="20"/>
                <w:szCs w:val="20"/>
              </w:rPr>
            </w:pPr>
            <w:r w:rsidRPr="002C68AC">
              <w:rPr>
                <w:rFonts w:cstheme="minorHAnsi"/>
                <w:sz w:val="20"/>
                <w:szCs w:val="20"/>
              </w:rPr>
              <w:t>6/20/2022</w:t>
            </w:r>
          </w:p>
        </w:tc>
        <w:tc>
          <w:tcPr>
            <w:tcW w:w="0" w:type="auto"/>
            <w:hideMark/>
          </w:tcPr>
          <w:p w14:paraId="22AC62F7" w14:textId="77777777" w:rsidR="002C68AC" w:rsidRPr="002C68AC" w:rsidRDefault="002C68AC">
            <w:pPr>
              <w:rPr>
                <w:rFonts w:cstheme="minorHAnsi"/>
                <w:sz w:val="20"/>
                <w:szCs w:val="20"/>
              </w:rPr>
            </w:pPr>
            <w:r w:rsidRPr="002C68AC">
              <w:rPr>
                <w:rFonts w:cstheme="minorHAnsi"/>
                <w:sz w:val="20"/>
                <w:szCs w:val="20"/>
              </w:rPr>
              <w:t>7/31/2022</w:t>
            </w:r>
          </w:p>
        </w:tc>
        <w:tc>
          <w:tcPr>
            <w:tcW w:w="0" w:type="auto"/>
            <w:hideMark/>
          </w:tcPr>
          <w:p w14:paraId="4A5D734C" w14:textId="77777777" w:rsidR="002C68AC" w:rsidRPr="002C68AC" w:rsidRDefault="002C68AC">
            <w:pPr>
              <w:rPr>
                <w:rFonts w:cstheme="minorHAnsi"/>
                <w:sz w:val="20"/>
                <w:szCs w:val="20"/>
              </w:rPr>
            </w:pPr>
            <w:r w:rsidRPr="002C68AC">
              <w:rPr>
                <w:rFonts w:cstheme="minorHAnsi"/>
                <w:sz w:val="20"/>
                <w:szCs w:val="20"/>
              </w:rPr>
              <w:t>6,539</w:t>
            </w:r>
          </w:p>
        </w:tc>
        <w:tc>
          <w:tcPr>
            <w:tcW w:w="1052" w:type="dxa"/>
            <w:hideMark/>
          </w:tcPr>
          <w:p w14:paraId="7E1D1514" w14:textId="77777777" w:rsidR="002C68AC" w:rsidRPr="002C68AC" w:rsidRDefault="002C68AC">
            <w:pPr>
              <w:rPr>
                <w:rFonts w:cstheme="minorHAnsi"/>
                <w:sz w:val="20"/>
                <w:szCs w:val="20"/>
              </w:rPr>
            </w:pPr>
            <w:r w:rsidRPr="002C68AC">
              <w:rPr>
                <w:rFonts w:cstheme="minorHAnsi"/>
                <w:sz w:val="20"/>
                <w:szCs w:val="20"/>
              </w:rPr>
              <w:t>2,797</w:t>
            </w:r>
          </w:p>
        </w:tc>
        <w:tc>
          <w:tcPr>
            <w:tcW w:w="2250" w:type="dxa"/>
            <w:hideMark/>
          </w:tcPr>
          <w:p w14:paraId="3CBEA4BD" w14:textId="77777777" w:rsidR="002C68AC" w:rsidRPr="002C68AC" w:rsidRDefault="002C68AC">
            <w:pPr>
              <w:rPr>
                <w:rFonts w:cstheme="minorHAnsi"/>
                <w:sz w:val="20"/>
                <w:szCs w:val="20"/>
              </w:rPr>
            </w:pPr>
            <w:r w:rsidRPr="002C68AC">
              <w:rPr>
                <w:rFonts w:cstheme="minorHAnsi"/>
                <w:sz w:val="20"/>
                <w:szCs w:val="20"/>
              </w:rPr>
              <w:t>Statewide but most from Bexar County</w:t>
            </w:r>
          </w:p>
        </w:tc>
      </w:tr>
    </w:tbl>
    <w:p w14:paraId="541BAAE3" w14:textId="4477B881" w:rsidR="002C68AC" w:rsidRPr="002C68AC" w:rsidRDefault="002C68AC">
      <w:pPr>
        <w:rPr>
          <w:rFonts w:cstheme="minorHAnsi"/>
          <w:sz w:val="20"/>
          <w:szCs w:val="20"/>
        </w:rPr>
      </w:pPr>
    </w:p>
    <w:tbl>
      <w:tblPr>
        <w:tblStyle w:val="Style1"/>
        <w:tblW w:w="0" w:type="auto"/>
        <w:tblLook w:val="04A0" w:firstRow="1" w:lastRow="0" w:firstColumn="1" w:lastColumn="0" w:noHBand="0" w:noVBand="1"/>
      </w:tblPr>
      <w:tblGrid>
        <w:gridCol w:w="1616"/>
        <w:gridCol w:w="1280"/>
        <w:gridCol w:w="1253"/>
        <w:gridCol w:w="979"/>
        <w:gridCol w:w="919"/>
        <w:gridCol w:w="1153"/>
        <w:gridCol w:w="2160"/>
      </w:tblGrid>
      <w:tr w:rsidR="002C68AC" w:rsidRPr="002C68AC" w14:paraId="0A373FC9" w14:textId="77777777" w:rsidTr="002C68AC">
        <w:tc>
          <w:tcPr>
            <w:tcW w:w="0" w:type="auto"/>
            <w:hideMark/>
          </w:tcPr>
          <w:p w14:paraId="491DD0AF" w14:textId="77777777" w:rsidR="002C68AC" w:rsidRPr="002C68AC" w:rsidRDefault="002C68AC">
            <w:pPr>
              <w:rPr>
                <w:rFonts w:cstheme="minorHAnsi"/>
                <w:b/>
                <w:bCs/>
                <w:sz w:val="20"/>
                <w:szCs w:val="20"/>
              </w:rPr>
            </w:pPr>
            <w:r w:rsidRPr="002C68AC">
              <w:rPr>
                <w:rFonts w:cstheme="minorHAnsi"/>
                <w:b/>
                <w:bCs/>
                <w:sz w:val="20"/>
                <w:szCs w:val="20"/>
              </w:rPr>
              <w:t>Facility</w:t>
            </w:r>
          </w:p>
        </w:tc>
        <w:tc>
          <w:tcPr>
            <w:tcW w:w="0" w:type="auto"/>
            <w:hideMark/>
          </w:tcPr>
          <w:p w14:paraId="17DBB420" w14:textId="77777777" w:rsidR="002C68AC" w:rsidRPr="002C68AC" w:rsidRDefault="002C68AC">
            <w:pPr>
              <w:rPr>
                <w:rFonts w:cstheme="minorHAnsi"/>
                <w:b/>
                <w:bCs/>
                <w:sz w:val="20"/>
                <w:szCs w:val="20"/>
              </w:rPr>
            </w:pPr>
            <w:r w:rsidRPr="002C68AC">
              <w:rPr>
                <w:rFonts w:cstheme="minorHAnsi"/>
                <w:b/>
                <w:bCs/>
                <w:sz w:val="20"/>
                <w:szCs w:val="20"/>
              </w:rPr>
              <w:t>CLIA Number</w:t>
            </w:r>
          </w:p>
        </w:tc>
        <w:tc>
          <w:tcPr>
            <w:tcW w:w="0" w:type="auto"/>
            <w:hideMark/>
          </w:tcPr>
          <w:p w14:paraId="6299EE57" w14:textId="77777777" w:rsidR="002C68AC" w:rsidRPr="002C68AC" w:rsidRDefault="002C68AC">
            <w:pPr>
              <w:rPr>
                <w:rFonts w:cstheme="minorHAnsi"/>
                <w:b/>
                <w:bCs/>
                <w:sz w:val="20"/>
                <w:szCs w:val="20"/>
              </w:rPr>
            </w:pPr>
            <w:r w:rsidRPr="002C68AC">
              <w:rPr>
                <w:rFonts w:cstheme="minorHAnsi"/>
                <w:b/>
                <w:bCs/>
                <w:sz w:val="20"/>
                <w:szCs w:val="20"/>
              </w:rPr>
              <w:t>Beginning date</w:t>
            </w:r>
          </w:p>
        </w:tc>
        <w:tc>
          <w:tcPr>
            <w:tcW w:w="0" w:type="auto"/>
            <w:hideMark/>
          </w:tcPr>
          <w:p w14:paraId="46595AB8" w14:textId="77777777" w:rsidR="002C68AC" w:rsidRPr="002C68AC" w:rsidRDefault="002C68AC">
            <w:pPr>
              <w:rPr>
                <w:rFonts w:cstheme="minorHAnsi"/>
                <w:b/>
                <w:bCs/>
                <w:sz w:val="20"/>
                <w:szCs w:val="20"/>
              </w:rPr>
            </w:pPr>
            <w:r w:rsidRPr="002C68AC">
              <w:rPr>
                <w:rFonts w:cstheme="minorHAnsi"/>
                <w:b/>
                <w:bCs/>
                <w:sz w:val="20"/>
                <w:szCs w:val="20"/>
              </w:rPr>
              <w:t>End date</w:t>
            </w:r>
          </w:p>
        </w:tc>
        <w:tc>
          <w:tcPr>
            <w:tcW w:w="0" w:type="auto"/>
            <w:hideMark/>
          </w:tcPr>
          <w:p w14:paraId="6CFA19E3" w14:textId="77777777" w:rsidR="002C68AC" w:rsidRPr="002C68AC" w:rsidRDefault="002C68AC">
            <w:pPr>
              <w:rPr>
                <w:rFonts w:cstheme="minorHAnsi"/>
                <w:b/>
                <w:bCs/>
                <w:sz w:val="20"/>
                <w:szCs w:val="20"/>
              </w:rPr>
            </w:pPr>
            <w:r w:rsidRPr="002C68AC">
              <w:rPr>
                <w:rFonts w:cstheme="minorHAnsi"/>
                <w:b/>
                <w:bCs/>
                <w:sz w:val="20"/>
                <w:szCs w:val="20"/>
              </w:rPr>
              <w:t>Total ELRs</w:t>
            </w:r>
          </w:p>
        </w:tc>
        <w:tc>
          <w:tcPr>
            <w:tcW w:w="1153" w:type="dxa"/>
            <w:hideMark/>
          </w:tcPr>
          <w:p w14:paraId="51BFF986" w14:textId="77777777" w:rsidR="002C68AC" w:rsidRPr="002C68AC" w:rsidRDefault="002C68AC">
            <w:pPr>
              <w:rPr>
                <w:rFonts w:cstheme="minorHAnsi"/>
                <w:b/>
                <w:bCs/>
                <w:sz w:val="20"/>
                <w:szCs w:val="20"/>
              </w:rPr>
            </w:pPr>
            <w:r w:rsidRPr="002C68AC">
              <w:rPr>
                <w:rFonts w:cstheme="minorHAnsi"/>
                <w:b/>
                <w:bCs/>
                <w:sz w:val="20"/>
                <w:szCs w:val="20"/>
              </w:rPr>
              <w:t>Total Positives</w:t>
            </w:r>
          </w:p>
        </w:tc>
        <w:tc>
          <w:tcPr>
            <w:tcW w:w="2160" w:type="dxa"/>
            <w:hideMark/>
          </w:tcPr>
          <w:p w14:paraId="4CD45E6C" w14:textId="77777777" w:rsidR="002C68AC" w:rsidRPr="002C68AC" w:rsidRDefault="002C68AC">
            <w:pPr>
              <w:rPr>
                <w:rFonts w:cstheme="minorHAnsi"/>
                <w:b/>
                <w:bCs/>
                <w:sz w:val="20"/>
                <w:szCs w:val="20"/>
              </w:rPr>
            </w:pPr>
            <w:r w:rsidRPr="002C68AC">
              <w:rPr>
                <w:rFonts w:cstheme="minorHAnsi"/>
                <w:b/>
                <w:bCs/>
                <w:sz w:val="20"/>
                <w:szCs w:val="20"/>
              </w:rPr>
              <w:t>Jurisdictions affected</w:t>
            </w:r>
          </w:p>
        </w:tc>
      </w:tr>
      <w:tr w:rsidR="002C68AC" w:rsidRPr="002C68AC" w14:paraId="4DFE944A" w14:textId="77777777" w:rsidTr="002C68AC">
        <w:tc>
          <w:tcPr>
            <w:tcW w:w="0" w:type="auto"/>
            <w:hideMark/>
          </w:tcPr>
          <w:p w14:paraId="0496C0BD" w14:textId="77777777" w:rsidR="002C68AC" w:rsidRPr="002C68AC" w:rsidRDefault="002C68AC">
            <w:pPr>
              <w:rPr>
                <w:rFonts w:cstheme="minorHAnsi"/>
                <w:sz w:val="20"/>
                <w:szCs w:val="20"/>
              </w:rPr>
            </w:pPr>
            <w:r w:rsidRPr="002C68AC">
              <w:rPr>
                <w:rFonts w:cstheme="minorHAnsi"/>
                <w:sz w:val="20"/>
                <w:szCs w:val="20"/>
              </w:rPr>
              <w:t>BESTMED URGENT CARE</w:t>
            </w:r>
          </w:p>
        </w:tc>
        <w:tc>
          <w:tcPr>
            <w:tcW w:w="0" w:type="auto"/>
            <w:hideMark/>
          </w:tcPr>
          <w:p w14:paraId="266CC769" w14:textId="77777777" w:rsidR="002C68AC" w:rsidRPr="002C68AC" w:rsidRDefault="002C68AC">
            <w:pPr>
              <w:rPr>
                <w:rFonts w:cstheme="minorHAnsi"/>
                <w:sz w:val="20"/>
                <w:szCs w:val="20"/>
              </w:rPr>
            </w:pPr>
            <w:r w:rsidRPr="002C68AC">
              <w:rPr>
                <w:rFonts w:cstheme="minorHAnsi"/>
                <w:sz w:val="20"/>
                <w:szCs w:val="20"/>
              </w:rPr>
              <w:t>45D2151031</w:t>
            </w:r>
          </w:p>
        </w:tc>
        <w:tc>
          <w:tcPr>
            <w:tcW w:w="0" w:type="auto"/>
            <w:hideMark/>
          </w:tcPr>
          <w:p w14:paraId="362ADC30" w14:textId="77777777" w:rsidR="002C68AC" w:rsidRPr="002C68AC" w:rsidRDefault="002C68AC">
            <w:pPr>
              <w:rPr>
                <w:rFonts w:cstheme="minorHAnsi"/>
                <w:sz w:val="20"/>
                <w:szCs w:val="20"/>
              </w:rPr>
            </w:pPr>
            <w:r w:rsidRPr="002C68AC">
              <w:rPr>
                <w:rFonts w:cstheme="minorHAnsi"/>
                <w:sz w:val="20"/>
                <w:szCs w:val="20"/>
              </w:rPr>
              <w:t>1/1/2022</w:t>
            </w:r>
          </w:p>
        </w:tc>
        <w:tc>
          <w:tcPr>
            <w:tcW w:w="0" w:type="auto"/>
            <w:hideMark/>
          </w:tcPr>
          <w:p w14:paraId="254DFD7F" w14:textId="77777777" w:rsidR="002C68AC" w:rsidRPr="002C68AC" w:rsidRDefault="002C68AC">
            <w:pPr>
              <w:rPr>
                <w:rFonts w:cstheme="minorHAnsi"/>
                <w:sz w:val="20"/>
                <w:szCs w:val="20"/>
              </w:rPr>
            </w:pPr>
            <w:r w:rsidRPr="002C68AC">
              <w:rPr>
                <w:rFonts w:cstheme="minorHAnsi"/>
                <w:sz w:val="20"/>
                <w:szCs w:val="20"/>
              </w:rPr>
              <w:t>7/7/2022</w:t>
            </w:r>
          </w:p>
        </w:tc>
        <w:tc>
          <w:tcPr>
            <w:tcW w:w="0" w:type="auto"/>
            <w:hideMark/>
          </w:tcPr>
          <w:p w14:paraId="3C02C5BB" w14:textId="77777777" w:rsidR="002C68AC" w:rsidRPr="002C68AC" w:rsidRDefault="002C68AC">
            <w:pPr>
              <w:rPr>
                <w:rFonts w:cstheme="minorHAnsi"/>
                <w:sz w:val="20"/>
                <w:szCs w:val="20"/>
              </w:rPr>
            </w:pPr>
            <w:r w:rsidRPr="002C68AC">
              <w:rPr>
                <w:rFonts w:cstheme="minorHAnsi"/>
                <w:sz w:val="20"/>
                <w:szCs w:val="20"/>
              </w:rPr>
              <w:t>14,338</w:t>
            </w:r>
          </w:p>
        </w:tc>
        <w:tc>
          <w:tcPr>
            <w:tcW w:w="1153" w:type="dxa"/>
            <w:hideMark/>
          </w:tcPr>
          <w:p w14:paraId="5168738B" w14:textId="77777777" w:rsidR="002C68AC" w:rsidRPr="002C68AC" w:rsidRDefault="002C68AC">
            <w:pPr>
              <w:rPr>
                <w:rFonts w:cstheme="minorHAnsi"/>
                <w:sz w:val="20"/>
                <w:szCs w:val="20"/>
              </w:rPr>
            </w:pPr>
            <w:r w:rsidRPr="002C68AC">
              <w:rPr>
                <w:rFonts w:cstheme="minorHAnsi"/>
                <w:sz w:val="20"/>
                <w:szCs w:val="20"/>
              </w:rPr>
              <w:t>3,861</w:t>
            </w:r>
          </w:p>
        </w:tc>
        <w:tc>
          <w:tcPr>
            <w:tcW w:w="2160" w:type="dxa"/>
            <w:hideMark/>
          </w:tcPr>
          <w:p w14:paraId="2F2588D1" w14:textId="77777777" w:rsidR="002C68AC" w:rsidRPr="002C68AC" w:rsidRDefault="002C68AC">
            <w:pPr>
              <w:rPr>
                <w:rFonts w:cstheme="minorHAnsi"/>
                <w:sz w:val="20"/>
                <w:szCs w:val="20"/>
              </w:rPr>
            </w:pPr>
            <w:r w:rsidRPr="002C68AC">
              <w:rPr>
                <w:rFonts w:cstheme="minorHAnsi"/>
                <w:sz w:val="20"/>
                <w:szCs w:val="20"/>
              </w:rPr>
              <w:t>Statewide but most from Orange and Hardin Counties</w:t>
            </w:r>
          </w:p>
        </w:tc>
      </w:tr>
    </w:tbl>
    <w:p w14:paraId="3FEE183C" w14:textId="77777777" w:rsidR="002C68AC" w:rsidRPr="002C68AC" w:rsidRDefault="002C68AC">
      <w:pPr>
        <w:rPr>
          <w:rFonts w:cstheme="minorHAnsi"/>
          <w:sz w:val="20"/>
          <w:szCs w:val="20"/>
        </w:rPr>
      </w:pPr>
    </w:p>
    <w:tbl>
      <w:tblPr>
        <w:tblStyle w:val="Style1"/>
        <w:tblW w:w="0" w:type="auto"/>
        <w:tblLook w:val="04A0" w:firstRow="1" w:lastRow="0" w:firstColumn="1" w:lastColumn="0" w:noHBand="0" w:noVBand="1"/>
      </w:tblPr>
      <w:tblGrid>
        <w:gridCol w:w="1869"/>
        <w:gridCol w:w="1271"/>
        <w:gridCol w:w="1185"/>
        <w:gridCol w:w="1081"/>
        <w:gridCol w:w="872"/>
        <w:gridCol w:w="1102"/>
        <w:gridCol w:w="1980"/>
      </w:tblGrid>
      <w:tr w:rsidR="002C68AC" w:rsidRPr="002C68AC" w14:paraId="7CE8CA8A" w14:textId="77777777" w:rsidTr="002C68AC">
        <w:tc>
          <w:tcPr>
            <w:tcW w:w="0" w:type="auto"/>
            <w:hideMark/>
          </w:tcPr>
          <w:p w14:paraId="1DE63EE9" w14:textId="77777777" w:rsidR="002C68AC" w:rsidRPr="002C68AC" w:rsidRDefault="002C68AC">
            <w:pPr>
              <w:rPr>
                <w:rFonts w:cstheme="minorHAnsi"/>
                <w:b/>
                <w:bCs/>
                <w:sz w:val="20"/>
                <w:szCs w:val="20"/>
              </w:rPr>
            </w:pPr>
            <w:r w:rsidRPr="002C68AC">
              <w:rPr>
                <w:rFonts w:cstheme="minorHAnsi"/>
                <w:b/>
                <w:bCs/>
                <w:sz w:val="20"/>
                <w:szCs w:val="20"/>
              </w:rPr>
              <w:t>Facility</w:t>
            </w:r>
          </w:p>
        </w:tc>
        <w:tc>
          <w:tcPr>
            <w:tcW w:w="0" w:type="auto"/>
            <w:hideMark/>
          </w:tcPr>
          <w:p w14:paraId="25082984" w14:textId="77777777" w:rsidR="002C68AC" w:rsidRPr="002C68AC" w:rsidRDefault="002C68AC">
            <w:pPr>
              <w:rPr>
                <w:rFonts w:cstheme="minorHAnsi"/>
                <w:b/>
                <w:bCs/>
                <w:sz w:val="20"/>
                <w:szCs w:val="20"/>
              </w:rPr>
            </w:pPr>
            <w:r w:rsidRPr="002C68AC">
              <w:rPr>
                <w:rFonts w:cstheme="minorHAnsi"/>
                <w:b/>
                <w:bCs/>
                <w:sz w:val="20"/>
                <w:szCs w:val="20"/>
              </w:rPr>
              <w:t>CLIA Number</w:t>
            </w:r>
          </w:p>
        </w:tc>
        <w:tc>
          <w:tcPr>
            <w:tcW w:w="0" w:type="auto"/>
            <w:hideMark/>
          </w:tcPr>
          <w:p w14:paraId="452D819F" w14:textId="77777777" w:rsidR="002C68AC" w:rsidRPr="002C68AC" w:rsidRDefault="002C68AC">
            <w:pPr>
              <w:rPr>
                <w:rFonts w:cstheme="minorHAnsi"/>
                <w:b/>
                <w:bCs/>
                <w:sz w:val="20"/>
                <w:szCs w:val="20"/>
              </w:rPr>
            </w:pPr>
            <w:r w:rsidRPr="002C68AC">
              <w:rPr>
                <w:rFonts w:cstheme="minorHAnsi"/>
                <w:b/>
                <w:bCs/>
                <w:sz w:val="20"/>
                <w:szCs w:val="20"/>
              </w:rPr>
              <w:t>Beginning date</w:t>
            </w:r>
          </w:p>
        </w:tc>
        <w:tc>
          <w:tcPr>
            <w:tcW w:w="0" w:type="auto"/>
            <w:hideMark/>
          </w:tcPr>
          <w:p w14:paraId="7DD29457" w14:textId="77777777" w:rsidR="002C68AC" w:rsidRPr="002C68AC" w:rsidRDefault="002C68AC">
            <w:pPr>
              <w:rPr>
                <w:rFonts w:cstheme="minorHAnsi"/>
                <w:b/>
                <w:bCs/>
                <w:sz w:val="20"/>
                <w:szCs w:val="20"/>
              </w:rPr>
            </w:pPr>
            <w:r w:rsidRPr="002C68AC">
              <w:rPr>
                <w:rFonts w:cstheme="minorHAnsi"/>
                <w:b/>
                <w:bCs/>
                <w:sz w:val="20"/>
                <w:szCs w:val="20"/>
              </w:rPr>
              <w:t>End date</w:t>
            </w:r>
          </w:p>
        </w:tc>
        <w:tc>
          <w:tcPr>
            <w:tcW w:w="0" w:type="auto"/>
            <w:hideMark/>
          </w:tcPr>
          <w:p w14:paraId="1291B6CF" w14:textId="77777777" w:rsidR="002C68AC" w:rsidRPr="002C68AC" w:rsidRDefault="002C68AC">
            <w:pPr>
              <w:rPr>
                <w:rFonts w:cstheme="minorHAnsi"/>
                <w:b/>
                <w:bCs/>
                <w:sz w:val="20"/>
                <w:szCs w:val="20"/>
              </w:rPr>
            </w:pPr>
            <w:r w:rsidRPr="002C68AC">
              <w:rPr>
                <w:rFonts w:cstheme="minorHAnsi"/>
                <w:b/>
                <w:bCs/>
                <w:sz w:val="20"/>
                <w:szCs w:val="20"/>
              </w:rPr>
              <w:t>Total ELRs</w:t>
            </w:r>
          </w:p>
        </w:tc>
        <w:tc>
          <w:tcPr>
            <w:tcW w:w="1102" w:type="dxa"/>
            <w:hideMark/>
          </w:tcPr>
          <w:p w14:paraId="7B1ED792" w14:textId="77777777" w:rsidR="002C68AC" w:rsidRPr="002C68AC" w:rsidRDefault="002C68AC">
            <w:pPr>
              <w:rPr>
                <w:rFonts w:cstheme="minorHAnsi"/>
                <w:b/>
                <w:bCs/>
                <w:sz w:val="20"/>
                <w:szCs w:val="20"/>
              </w:rPr>
            </w:pPr>
            <w:r w:rsidRPr="002C68AC">
              <w:rPr>
                <w:rFonts w:cstheme="minorHAnsi"/>
                <w:b/>
                <w:bCs/>
                <w:sz w:val="20"/>
                <w:szCs w:val="20"/>
              </w:rPr>
              <w:t>Total Positives</w:t>
            </w:r>
          </w:p>
        </w:tc>
        <w:tc>
          <w:tcPr>
            <w:tcW w:w="1980" w:type="dxa"/>
            <w:hideMark/>
          </w:tcPr>
          <w:p w14:paraId="6940FAF7" w14:textId="77777777" w:rsidR="002C68AC" w:rsidRPr="002C68AC" w:rsidRDefault="002C68AC">
            <w:pPr>
              <w:rPr>
                <w:rFonts w:cstheme="minorHAnsi"/>
                <w:b/>
                <w:bCs/>
                <w:sz w:val="20"/>
                <w:szCs w:val="20"/>
              </w:rPr>
            </w:pPr>
            <w:r w:rsidRPr="002C68AC">
              <w:rPr>
                <w:rFonts w:cstheme="minorHAnsi"/>
                <w:b/>
                <w:bCs/>
                <w:sz w:val="20"/>
                <w:szCs w:val="20"/>
              </w:rPr>
              <w:t>Jurisdictions affected</w:t>
            </w:r>
          </w:p>
        </w:tc>
      </w:tr>
      <w:tr w:rsidR="002C68AC" w:rsidRPr="002C68AC" w14:paraId="411306C6" w14:textId="77777777" w:rsidTr="002C68AC">
        <w:tc>
          <w:tcPr>
            <w:tcW w:w="0" w:type="auto"/>
            <w:hideMark/>
          </w:tcPr>
          <w:p w14:paraId="09AF1728" w14:textId="77777777" w:rsidR="002C68AC" w:rsidRPr="002C68AC" w:rsidRDefault="002C68AC">
            <w:pPr>
              <w:rPr>
                <w:rFonts w:cstheme="minorHAnsi"/>
                <w:sz w:val="20"/>
                <w:szCs w:val="20"/>
              </w:rPr>
            </w:pPr>
            <w:r w:rsidRPr="002C68AC">
              <w:rPr>
                <w:rFonts w:cstheme="minorHAnsi"/>
                <w:sz w:val="20"/>
                <w:szCs w:val="20"/>
              </w:rPr>
              <w:t>COMMUNITY MED URGENT CARE</w:t>
            </w:r>
          </w:p>
        </w:tc>
        <w:tc>
          <w:tcPr>
            <w:tcW w:w="0" w:type="auto"/>
            <w:hideMark/>
          </w:tcPr>
          <w:p w14:paraId="1D18194C" w14:textId="77777777" w:rsidR="002C68AC" w:rsidRPr="002C68AC" w:rsidRDefault="002C68AC">
            <w:pPr>
              <w:rPr>
                <w:rFonts w:cstheme="minorHAnsi"/>
                <w:sz w:val="20"/>
                <w:szCs w:val="20"/>
              </w:rPr>
            </w:pPr>
            <w:r w:rsidRPr="002C68AC">
              <w:rPr>
                <w:rFonts w:cstheme="minorHAnsi"/>
                <w:sz w:val="20"/>
                <w:szCs w:val="20"/>
              </w:rPr>
              <w:t>45D2189349</w:t>
            </w:r>
          </w:p>
        </w:tc>
        <w:tc>
          <w:tcPr>
            <w:tcW w:w="0" w:type="auto"/>
            <w:hideMark/>
          </w:tcPr>
          <w:p w14:paraId="408F4230" w14:textId="77777777" w:rsidR="002C68AC" w:rsidRPr="002C68AC" w:rsidRDefault="002C68AC">
            <w:pPr>
              <w:rPr>
                <w:rFonts w:cstheme="minorHAnsi"/>
                <w:sz w:val="20"/>
                <w:szCs w:val="20"/>
              </w:rPr>
            </w:pPr>
            <w:r w:rsidRPr="002C68AC">
              <w:rPr>
                <w:rFonts w:cstheme="minorHAnsi"/>
                <w:sz w:val="20"/>
                <w:szCs w:val="20"/>
              </w:rPr>
              <w:t>3/1/2022</w:t>
            </w:r>
          </w:p>
        </w:tc>
        <w:tc>
          <w:tcPr>
            <w:tcW w:w="0" w:type="auto"/>
            <w:hideMark/>
          </w:tcPr>
          <w:p w14:paraId="52EB1383" w14:textId="77777777" w:rsidR="002C68AC" w:rsidRPr="002C68AC" w:rsidRDefault="002C68AC">
            <w:pPr>
              <w:rPr>
                <w:rFonts w:cstheme="minorHAnsi"/>
                <w:sz w:val="20"/>
                <w:szCs w:val="20"/>
              </w:rPr>
            </w:pPr>
            <w:r w:rsidRPr="002C68AC">
              <w:rPr>
                <w:rFonts w:cstheme="minorHAnsi"/>
                <w:sz w:val="20"/>
                <w:szCs w:val="20"/>
              </w:rPr>
              <w:t>6/30/2022</w:t>
            </w:r>
          </w:p>
        </w:tc>
        <w:tc>
          <w:tcPr>
            <w:tcW w:w="0" w:type="auto"/>
            <w:hideMark/>
          </w:tcPr>
          <w:p w14:paraId="1F586DE5" w14:textId="77777777" w:rsidR="002C68AC" w:rsidRPr="002C68AC" w:rsidRDefault="002C68AC">
            <w:pPr>
              <w:rPr>
                <w:rFonts w:cstheme="minorHAnsi"/>
                <w:sz w:val="20"/>
                <w:szCs w:val="20"/>
              </w:rPr>
            </w:pPr>
            <w:r w:rsidRPr="002C68AC">
              <w:rPr>
                <w:rFonts w:cstheme="minorHAnsi"/>
                <w:sz w:val="20"/>
                <w:szCs w:val="20"/>
              </w:rPr>
              <w:t>14,547</w:t>
            </w:r>
          </w:p>
        </w:tc>
        <w:tc>
          <w:tcPr>
            <w:tcW w:w="1102" w:type="dxa"/>
            <w:hideMark/>
          </w:tcPr>
          <w:p w14:paraId="1E7CB3D9" w14:textId="77777777" w:rsidR="002C68AC" w:rsidRPr="002C68AC" w:rsidRDefault="002C68AC">
            <w:pPr>
              <w:rPr>
                <w:rFonts w:cstheme="minorHAnsi"/>
                <w:sz w:val="20"/>
                <w:szCs w:val="20"/>
              </w:rPr>
            </w:pPr>
            <w:r w:rsidRPr="002C68AC">
              <w:rPr>
                <w:rFonts w:cstheme="minorHAnsi"/>
                <w:sz w:val="20"/>
                <w:szCs w:val="20"/>
              </w:rPr>
              <w:t>2,146</w:t>
            </w:r>
          </w:p>
        </w:tc>
        <w:tc>
          <w:tcPr>
            <w:tcW w:w="1980" w:type="dxa"/>
            <w:hideMark/>
          </w:tcPr>
          <w:p w14:paraId="310C5484" w14:textId="77777777" w:rsidR="002C68AC" w:rsidRPr="002C68AC" w:rsidRDefault="002C68AC">
            <w:pPr>
              <w:rPr>
                <w:rFonts w:cstheme="minorHAnsi"/>
                <w:sz w:val="20"/>
                <w:szCs w:val="20"/>
              </w:rPr>
            </w:pPr>
            <w:r w:rsidRPr="002C68AC">
              <w:rPr>
                <w:rFonts w:cstheme="minorHAnsi"/>
                <w:sz w:val="20"/>
                <w:szCs w:val="20"/>
              </w:rPr>
              <w:t>Statewide but most from Collin, Tarrant, and Denton Counties</w:t>
            </w:r>
          </w:p>
        </w:tc>
      </w:tr>
    </w:tbl>
    <w:p w14:paraId="245E5945" w14:textId="5928950E" w:rsidR="002C68AC" w:rsidRPr="002C68AC" w:rsidRDefault="002C68AC">
      <w:pPr>
        <w:rPr>
          <w:rFonts w:cstheme="minorHAnsi"/>
          <w:sz w:val="20"/>
          <w:szCs w:val="20"/>
        </w:rPr>
      </w:pPr>
    </w:p>
    <w:tbl>
      <w:tblPr>
        <w:tblStyle w:val="Style1"/>
        <w:tblW w:w="0" w:type="auto"/>
        <w:tblLook w:val="04A0" w:firstRow="1" w:lastRow="0" w:firstColumn="1" w:lastColumn="0" w:noHBand="0" w:noVBand="1"/>
      </w:tblPr>
      <w:tblGrid>
        <w:gridCol w:w="2294"/>
        <w:gridCol w:w="1252"/>
        <w:gridCol w:w="1179"/>
        <w:gridCol w:w="1179"/>
        <w:gridCol w:w="989"/>
        <w:gridCol w:w="1051"/>
        <w:gridCol w:w="1416"/>
      </w:tblGrid>
      <w:tr w:rsidR="002C68AC" w:rsidRPr="002C68AC" w14:paraId="4032CDA7" w14:textId="77777777" w:rsidTr="002C68AC">
        <w:tc>
          <w:tcPr>
            <w:tcW w:w="3592" w:type="dxa"/>
            <w:hideMark/>
          </w:tcPr>
          <w:p w14:paraId="30D8E6C3" w14:textId="77777777" w:rsidR="002C68AC" w:rsidRPr="002C68AC" w:rsidRDefault="002C68AC">
            <w:pPr>
              <w:rPr>
                <w:rFonts w:cstheme="minorHAnsi"/>
                <w:b/>
                <w:bCs/>
                <w:sz w:val="20"/>
                <w:szCs w:val="20"/>
              </w:rPr>
            </w:pPr>
            <w:r w:rsidRPr="002C68AC">
              <w:rPr>
                <w:rFonts w:cstheme="minorHAnsi"/>
                <w:b/>
                <w:bCs/>
                <w:sz w:val="20"/>
                <w:szCs w:val="20"/>
              </w:rPr>
              <w:t>Facility</w:t>
            </w:r>
          </w:p>
        </w:tc>
        <w:tc>
          <w:tcPr>
            <w:tcW w:w="267" w:type="dxa"/>
            <w:hideMark/>
          </w:tcPr>
          <w:p w14:paraId="0C199B10" w14:textId="77777777" w:rsidR="002C68AC" w:rsidRPr="002C68AC" w:rsidRDefault="002C68AC">
            <w:pPr>
              <w:rPr>
                <w:rFonts w:cstheme="minorHAnsi"/>
                <w:b/>
                <w:bCs/>
                <w:sz w:val="20"/>
                <w:szCs w:val="20"/>
              </w:rPr>
            </w:pPr>
            <w:r w:rsidRPr="002C68AC">
              <w:rPr>
                <w:rFonts w:cstheme="minorHAnsi"/>
                <w:b/>
                <w:bCs/>
                <w:sz w:val="20"/>
                <w:szCs w:val="20"/>
              </w:rPr>
              <w:t>CLIA</w:t>
            </w:r>
          </w:p>
        </w:tc>
        <w:tc>
          <w:tcPr>
            <w:tcW w:w="1336" w:type="dxa"/>
            <w:hideMark/>
          </w:tcPr>
          <w:p w14:paraId="4D5E6E95" w14:textId="77777777" w:rsidR="002C68AC" w:rsidRPr="002C68AC" w:rsidRDefault="002C68AC">
            <w:pPr>
              <w:rPr>
                <w:rFonts w:cstheme="minorHAnsi"/>
                <w:b/>
                <w:bCs/>
                <w:sz w:val="20"/>
                <w:szCs w:val="20"/>
              </w:rPr>
            </w:pPr>
            <w:r w:rsidRPr="002C68AC">
              <w:rPr>
                <w:rFonts w:cstheme="minorHAnsi"/>
                <w:b/>
                <w:bCs/>
                <w:sz w:val="20"/>
                <w:szCs w:val="20"/>
              </w:rPr>
              <w:t>Start Date</w:t>
            </w:r>
          </w:p>
        </w:tc>
        <w:tc>
          <w:tcPr>
            <w:tcW w:w="1336" w:type="dxa"/>
            <w:hideMark/>
          </w:tcPr>
          <w:p w14:paraId="3AC525B1" w14:textId="77777777" w:rsidR="002C68AC" w:rsidRPr="002C68AC" w:rsidRDefault="002C68AC">
            <w:pPr>
              <w:rPr>
                <w:rFonts w:cstheme="minorHAnsi"/>
                <w:b/>
                <w:bCs/>
                <w:sz w:val="20"/>
                <w:szCs w:val="20"/>
              </w:rPr>
            </w:pPr>
            <w:r w:rsidRPr="002C68AC">
              <w:rPr>
                <w:rFonts w:cstheme="minorHAnsi"/>
                <w:b/>
                <w:bCs/>
                <w:sz w:val="20"/>
                <w:szCs w:val="20"/>
              </w:rPr>
              <w:t>End Date</w:t>
            </w:r>
          </w:p>
        </w:tc>
        <w:tc>
          <w:tcPr>
            <w:tcW w:w="1336" w:type="dxa"/>
            <w:hideMark/>
          </w:tcPr>
          <w:p w14:paraId="3843CFCB" w14:textId="77777777" w:rsidR="002C68AC" w:rsidRPr="002C68AC" w:rsidRDefault="002C68AC">
            <w:pPr>
              <w:rPr>
                <w:rFonts w:cstheme="minorHAnsi"/>
                <w:b/>
                <w:bCs/>
                <w:sz w:val="20"/>
                <w:szCs w:val="20"/>
              </w:rPr>
            </w:pPr>
            <w:r w:rsidRPr="002C68AC">
              <w:rPr>
                <w:rFonts w:cstheme="minorHAnsi"/>
                <w:b/>
                <w:bCs/>
                <w:sz w:val="20"/>
                <w:szCs w:val="20"/>
              </w:rPr>
              <w:t>Total ELRs</w:t>
            </w:r>
          </w:p>
        </w:tc>
        <w:tc>
          <w:tcPr>
            <w:tcW w:w="1336" w:type="dxa"/>
            <w:hideMark/>
          </w:tcPr>
          <w:p w14:paraId="1C876615" w14:textId="77777777" w:rsidR="002C68AC" w:rsidRPr="002C68AC" w:rsidRDefault="002C68AC">
            <w:pPr>
              <w:rPr>
                <w:rFonts w:cstheme="minorHAnsi"/>
                <w:b/>
                <w:bCs/>
                <w:sz w:val="20"/>
                <w:szCs w:val="20"/>
              </w:rPr>
            </w:pPr>
            <w:r w:rsidRPr="002C68AC">
              <w:rPr>
                <w:rFonts w:cstheme="minorHAnsi"/>
                <w:b/>
                <w:bCs/>
                <w:sz w:val="20"/>
                <w:szCs w:val="20"/>
              </w:rPr>
              <w:t>Total No. Positive</w:t>
            </w:r>
          </w:p>
        </w:tc>
        <w:tc>
          <w:tcPr>
            <w:tcW w:w="1695" w:type="dxa"/>
            <w:hideMark/>
          </w:tcPr>
          <w:p w14:paraId="1163E41C" w14:textId="77777777" w:rsidR="002C68AC" w:rsidRPr="002C68AC" w:rsidRDefault="002C68AC">
            <w:pPr>
              <w:rPr>
                <w:rFonts w:cstheme="minorHAnsi"/>
                <w:b/>
                <w:bCs/>
                <w:sz w:val="20"/>
                <w:szCs w:val="20"/>
              </w:rPr>
            </w:pPr>
            <w:r w:rsidRPr="002C68AC">
              <w:rPr>
                <w:rFonts w:cstheme="minorHAnsi"/>
                <w:b/>
                <w:bCs/>
                <w:sz w:val="20"/>
                <w:szCs w:val="20"/>
              </w:rPr>
              <w:t>Jurisdictions affected</w:t>
            </w:r>
          </w:p>
        </w:tc>
      </w:tr>
      <w:tr w:rsidR="002C68AC" w:rsidRPr="002C68AC" w14:paraId="2062D34F" w14:textId="77777777" w:rsidTr="002C68AC">
        <w:tc>
          <w:tcPr>
            <w:tcW w:w="3592" w:type="dxa"/>
            <w:hideMark/>
          </w:tcPr>
          <w:p w14:paraId="78086472" w14:textId="77777777" w:rsidR="002C68AC" w:rsidRPr="002C68AC" w:rsidRDefault="002C68AC">
            <w:pPr>
              <w:rPr>
                <w:rFonts w:cstheme="minorHAnsi"/>
                <w:sz w:val="20"/>
                <w:szCs w:val="20"/>
              </w:rPr>
            </w:pPr>
            <w:r w:rsidRPr="002C68AC">
              <w:rPr>
                <w:rFonts w:cstheme="minorHAnsi"/>
                <w:sz w:val="20"/>
                <w:szCs w:val="20"/>
              </w:rPr>
              <w:t>Comprehensive Labs LLC</w:t>
            </w:r>
          </w:p>
        </w:tc>
        <w:tc>
          <w:tcPr>
            <w:tcW w:w="267" w:type="dxa"/>
            <w:hideMark/>
          </w:tcPr>
          <w:p w14:paraId="75024F04" w14:textId="77777777" w:rsidR="002C68AC" w:rsidRPr="002C68AC" w:rsidRDefault="002C68AC">
            <w:pPr>
              <w:rPr>
                <w:rFonts w:cstheme="minorHAnsi"/>
                <w:sz w:val="20"/>
                <w:szCs w:val="20"/>
              </w:rPr>
            </w:pPr>
            <w:r w:rsidRPr="002C68AC">
              <w:rPr>
                <w:rFonts w:cstheme="minorHAnsi"/>
                <w:sz w:val="20"/>
                <w:szCs w:val="20"/>
              </w:rPr>
              <w:t>45D2232953</w:t>
            </w:r>
          </w:p>
        </w:tc>
        <w:tc>
          <w:tcPr>
            <w:tcW w:w="1336" w:type="dxa"/>
            <w:hideMark/>
          </w:tcPr>
          <w:p w14:paraId="749E31FA" w14:textId="77777777" w:rsidR="002C68AC" w:rsidRPr="002C68AC" w:rsidRDefault="002C68AC">
            <w:pPr>
              <w:rPr>
                <w:rFonts w:cstheme="minorHAnsi"/>
                <w:sz w:val="20"/>
                <w:szCs w:val="20"/>
              </w:rPr>
            </w:pPr>
            <w:r w:rsidRPr="002C68AC">
              <w:rPr>
                <w:rFonts w:cstheme="minorHAnsi"/>
                <w:sz w:val="20"/>
                <w:szCs w:val="20"/>
              </w:rPr>
              <w:t>4/14/2022</w:t>
            </w:r>
          </w:p>
        </w:tc>
        <w:tc>
          <w:tcPr>
            <w:tcW w:w="1336" w:type="dxa"/>
            <w:hideMark/>
          </w:tcPr>
          <w:p w14:paraId="73F048D1" w14:textId="77777777" w:rsidR="002C68AC" w:rsidRPr="002C68AC" w:rsidRDefault="002C68AC">
            <w:pPr>
              <w:rPr>
                <w:rFonts w:cstheme="minorHAnsi"/>
                <w:sz w:val="20"/>
                <w:szCs w:val="20"/>
              </w:rPr>
            </w:pPr>
            <w:r w:rsidRPr="002C68AC">
              <w:rPr>
                <w:rFonts w:cstheme="minorHAnsi"/>
                <w:sz w:val="20"/>
                <w:szCs w:val="20"/>
              </w:rPr>
              <w:t>6/10/2022</w:t>
            </w:r>
          </w:p>
        </w:tc>
        <w:tc>
          <w:tcPr>
            <w:tcW w:w="1336" w:type="dxa"/>
            <w:hideMark/>
          </w:tcPr>
          <w:p w14:paraId="642663A6" w14:textId="77777777" w:rsidR="002C68AC" w:rsidRPr="002C68AC" w:rsidRDefault="002C68AC">
            <w:pPr>
              <w:rPr>
                <w:rFonts w:cstheme="minorHAnsi"/>
                <w:sz w:val="20"/>
                <w:szCs w:val="20"/>
              </w:rPr>
            </w:pPr>
            <w:r w:rsidRPr="002C68AC">
              <w:rPr>
                <w:rFonts w:cstheme="minorHAnsi"/>
                <w:sz w:val="20"/>
                <w:szCs w:val="20"/>
              </w:rPr>
              <w:t>24,915</w:t>
            </w:r>
          </w:p>
        </w:tc>
        <w:tc>
          <w:tcPr>
            <w:tcW w:w="1336" w:type="dxa"/>
            <w:hideMark/>
          </w:tcPr>
          <w:p w14:paraId="2FC9BC89" w14:textId="77777777" w:rsidR="002C68AC" w:rsidRPr="002C68AC" w:rsidRDefault="002C68AC">
            <w:pPr>
              <w:rPr>
                <w:rFonts w:cstheme="minorHAnsi"/>
                <w:sz w:val="20"/>
                <w:szCs w:val="20"/>
              </w:rPr>
            </w:pPr>
            <w:r w:rsidRPr="002C68AC">
              <w:rPr>
                <w:rFonts w:cstheme="minorHAnsi"/>
                <w:sz w:val="20"/>
                <w:szCs w:val="20"/>
              </w:rPr>
              <w:t>695</w:t>
            </w:r>
          </w:p>
        </w:tc>
        <w:tc>
          <w:tcPr>
            <w:tcW w:w="1695" w:type="dxa"/>
            <w:hideMark/>
          </w:tcPr>
          <w:p w14:paraId="69529674" w14:textId="77777777" w:rsidR="002C68AC" w:rsidRPr="002C68AC" w:rsidRDefault="002C68AC">
            <w:pPr>
              <w:rPr>
                <w:rFonts w:cstheme="minorHAnsi"/>
                <w:sz w:val="20"/>
                <w:szCs w:val="20"/>
              </w:rPr>
            </w:pPr>
            <w:r w:rsidRPr="002C68AC">
              <w:rPr>
                <w:rFonts w:cstheme="minorHAnsi"/>
                <w:sz w:val="20"/>
                <w:szCs w:val="20"/>
              </w:rPr>
              <w:t>Nationwide</w:t>
            </w:r>
          </w:p>
        </w:tc>
      </w:tr>
    </w:tbl>
    <w:p w14:paraId="04EB0D69" w14:textId="77777777" w:rsidR="002C68AC" w:rsidRPr="002C68AC" w:rsidRDefault="002C68AC">
      <w:pPr>
        <w:rPr>
          <w:rFonts w:cstheme="minorHAnsi"/>
          <w:sz w:val="20"/>
          <w:szCs w:val="20"/>
        </w:rPr>
      </w:pPr>
    </w:p>
    <w:p w14:paraId="10DC9AC4" w14:textId="77777777" w:rsidR="002C68AC" w:rsidRPr="002C68AC" w:rsidRDefault="002C68AC">
      <w:pPr>
        <w:rPr>
          <w:rFonts w:eastAsia="Times New Roman" w:cstheme="minorHAnsi"/>
          <w:b/>
          <w:bCs/>
          <w:kern w:val="36"/>
          <w:sz w:val="20"/>
          <w:szCs w:val="20"/>
        </w:rPr>
      </w:pPr>
      <w:r w:rsidRPr="002C68AC">
        <w:rPr>
          <w:rFonts w:eastAsia="Times New Roman" w:cstheme="minorHAnsi"/>
          <w:b/>
          <w:bCs/>
          <w:kern w:val="36"/>
          <w:sz w:val="20"/>
          <w:szCs w:val="20"/>
        </w:rPr>
        <w:br w:type="page"/>
      </w:r>
    </w:p>
    <w:p w14:paraId="50894E0A" w14:textId="56A4F1C9" w:rsidR="009B2BC8" w:rsidRPr="002C68AC" w:rsidRDefault="009B2BC8" w:rsidP="009B2BC8">
      <w:pPr>
        <w:shd w:val="clear" w:color="auto" w:fill="FFFFFF"/>
        <w:spacing w:after="120" w:line="240" w:lineRule="auto"/>
        <w:textAlignment w:val="baseline"/>
        <w:outlineLvl w:val="0"/>
        <w:rPr>
          <w:rFonts w:eastAsia="Times New Roman" w:cstheme="minorHAnsi"/>
          <w:b/>
          <w:bCs/>
          <w:kern w:val="36"/>
        </w:rPr>
      </w:pPr>
      <w:r w:rsidRPr="002C68AC">
        <w:rPr>
          <w:rFonts w:eastAsia="Times New Roman" w:cstheme="minorHAnsi"/>
          <w:b/>
          <w:bCs/>
          <w:kern w:val="36"/>
        </w:rPr>
        <w:lastRenderedPageBreak/>
        <w:t>Case Notes - February through May 2022</w:t>
      </w:r>
    </w:p>
    <w:p w14:paraId="76CDCD72" w14:textId="14397684"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b/>
          <w:bCs/>
        </w:rPr>
        <w:t>May 2022</w:t>
      </w:r>
    </w:p>
    <w:p w14:paraId="3E83BE62" w14:textId="48D39172"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05/13/2022</w:t>
      </w:r>
    </w:p>
    <w:p w14:paraId="5F2B8CE4" w14:textId="77777777" w:rsidR="009B2BC8" w:rsidRPr="002C68AC" w:rsidRDefault="009B2BC8" w:rsidP="009B2BC8">
      <w:pPr>
        <w:numPr>
          <w:ilvl w:val="0"/>
          <w:numId w:val="31"/>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count is </w:t>
      </w:r>
      <w:r w:rsidRPr="002C68AC">
        <w:rPr>
          <w:rFonts w:eastAsia="Times New Roman" w:cstheme="minorHAnsi"/>
          <w:b/>
          <w:bCs/>
        </w:rPr>
        <w:t>2,451</w:t>
      </w:r>
      <w:r w:rsidRPr="002C68AC">
        <w:rPr>
          <w:rFonts w:eastAsia="Times New Roman" w:cstheme="minorHAnsi"/>
        </w:rPr>
        <w:t>. An additional 2,173 older cases dating back to Jan. 1, 2021 have been included in county and statewide totals.</w:t>
      </w:r>
    </w:p>
    <w:p w14:paraId="24C8F81F"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05/07/2022</w:t>
      </w:r>
    </w:p>
    <w:p w14:paraId="4CE38950" w14:textId="77777777" w:rsidR="009B2BC8" w:rsidRPr="002C68AC" w:rsidRDefault="009B2BC8" w:rsidP="009B2BC8">
      <w:pPr>
        <w:numPr>
          <w:ilvl w:val="0"/>
          <w:numId w:val="32"/>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2,197</w:t>
      </w:r>
      <w:r w:rsidRPr="002C68AC">
        <w:rPr>
          <w:rFonts w:eastAsia="Times New Roman" w:cstheme="minorHAnsi"/>
        </w:rPr>
        <w:t>. An additional 137 older cases dating back to Jan. 1, 2021 have been added to state and county cumulative totals.</w:t>
      </w:r>
    </w:p>
    <w:p w14:paraId="5017A9EA"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05/02/2022</w:t>
      </w:r>
    </w:p>
    <w:p w14:paraId="36DE4668" w14:textId="7B845501" w:rsidR="009B2BC8" w:rsidRPr="002C68AC" w:rsidRDefault="009B2BC8" w:rsidP="009B2BC8">
      <w:pPr>
        <w:numPr>
          <w:ilvl w:val="0"/>
          <w:numId w:val="33"/>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1,067</w:t>
      </w:r>
      <w:r w:rsidRPr="002C68AC">
        <w:rPr>
          <w:rFonts w:eastAsia="Times New Roman" w:cstheme="minorHAnsi"/>
        </w:rPr>
        <w:t>. An additional 994 older cases dating back to Jan. 1, 2021 have been added to state and county cumulative totals.</w:t>
      </w:r>
    </w:p>
    <w:p w14:paraId="1EBE0A44" w14:textId="53515AC5" w:rsidR="009B2BC8" w:rsidRPr="002C68AC" w:rsidRDefault="009B2BC8" w:rsidP="009B2BC8">
      <w:pPr>
        <w:shd w:val="clear" w:color="auto" w:fill="FFFFFF"/>
        <w:spacing w:after="0" w:line="240" w:lineRule="auto"/>
        <w:ind w:right="360"/>
        <w:textAlignment w:val="baseline"/>
        <w:rPr>
          <w:rFonts w:eastAsia="Times New Roman" w:cstheme="minorHAnsi"/>
        </w:rPr>
      </w:pPr>
    </w:p>
    <w:p w14:paraId="73142C4D" w14:textId="601177B9"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b/>
          <w:bCs/>
        </w:rPr>
        <w:t>April 2022</w:t>
      </w:r>
    </w:p>
    <w:p w14:paraId="083FD9CD"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04/28/2022</w:t>
      </w:r>
    </w:p>
    <w:p w14:paraId="14935508" w14:textId="77777777" w:rsidR="009B2BC8" w:rsidRPr="002C68AC" w:rsidRDefault="009B2BC8" w:rsidP="009B2BC8">
      <w:pPr>
        <w:numPr>
          <w:ilvl w:val="0"/>
          <w:numId w:val="34"/>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388</w:t>
      </w:r>
      <w:r w:rsidRPr="002C68AC">
        <w:rPr>
          <w:rFonts w:eastAsia="Times New Roman" w:cstheme="minorHAnsi"/>
        </w:rPr>
        <w:t>. An additional 1,249 older cases dating back to Jan. 1, 2021 have been added to state and county cumulative totals.</w:t>
      </w:r>
    </w:p>
    <w:p w14:paraId="7331D949"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04/23/2022</w:t>
      </w:r>
    </w:p>
    <w:p w14:paraId="5A69CD5D" w14:textId="77777777" w:rsidR="009B2BC8" w:rsidRPr="002C68AC" w:rsidRDefault="009B2BC8" w:rsidP="009B2BC8">
      <w:pPr>
        <w:numPr>
          <w:ilvl w:val="0"/>
          <w:numId w:val="35"/>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1,186</w:t>
      </w:r>
      <w:r w:rsidRPr="002C68AC">
        <w:rPr>
          <w:rFonts w:eastAsia="Times New Roman" w:cstheme="minorHAnsi"/>
        </w:rPr>
        <w:t>. An additional 482 older cases dating back to Jan. 1, 2021 have been added to state and county cumulative totals.</w:t>
      </w:r>
    </w:p>
    <w:p w14:paraId="27F84EC4"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04/22/2022</w:t>
      </w:r>
    </w:p>
    <w:p w14:paraId="7BF270D8" w14:textId="77777777" w:rsidR="009B2BC8" w:rsidRPr="002C68AC" w:rsidRDefault="009B2BC8" w:rsidP="009B2BC8">
      <w:pPr>
        <w:numPr>
          <w:ilvl w:val="0"/>
          <w:numId w:val="36"/>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1,151</w:t>
      </w:r>
      <w:r w:rsidRPr="002C68AC">
        <w:rPr>
          <w:rFonts w:eastAsia="Times New Roman" w:cstheme="minorHAnsi"/>
        </w:rPr>
        <w:t>. An additional 1,247 older cases dating back to Jan. 1, 2021 have been added to state and county cumulative totals.</w:t>
      </w:r>
    </w:p>
    <w:p w14:paraId="1EDFFECA"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04/14/2022</w:t>
      </w:r>
    </w:p>
    <w:p w14:paraId="123E49A7" w14:textId="77777777" w:rsidR="009B2BC8" w:rsidRPr="002C68AC" w:rsidRDefault="009B2BC8" w:rsidP="009B2BC8">
      <w:pPr>
        <w:numPr>
          <w:ilvl w:val="0"/>
          <w:numId w:val="37"/>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1,023</w:t>
      </w:r>
      <w:r w:rsidRPr="002C68AC">
        <w:rPr>
          <w:rFonts w:eastAsia="Times New Roman" w:cstheme="minorHAnsi"/>
        </w:rPr>
        <w:t>. An additional 559 older cases dating back to Jan. 1, 2021 have been added to state and county cumulative totals.</w:t>
      </w:r>
    </w:p>
    <w:p w14:paraId="7A9C3CF8"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04/13/2022</w:t>
      </w:r>
    </w:p>
    <w:p w14:paraId="56DBE3DD" w14:textId="77777777" w:rsidR="009B2BC8" w:rsidRPr="002C68AC" w:rsidRDefault="009B2BC8" w:rsidP="009B2BC8">
      <w:pPr>
        <w:numPr>
          <w:ilvl w:val="0"/>
          <w:numId w:val="38"/>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856</w:t>
      </w:r>
      <w:r w:rsidRPr="002C68AC">
        <w:rPr>
          <w:rFonts w:eastAsia="Times New Roman" w:cstheme="minorHAnsi"/>
        </w:rPr>
        <w:t>. An additional 584 older cases dating back to Jan. 1, 2021 have been added to state and county cumulative totals.</w:t>
      </w:r>
    </w:p>
    <w:p w14:paraId="4CC1732B"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04/12/2022</w:t>
      </w:r>
    </w:p>
    <w:p w14:paraId="346C2950" w14:textId="77777777" w:rsidR="009B2BC8" w:rsidRPr="002C68AC" w:rsidRDefault="009B2BC8" w:rsidP="009B2BC8">
      <w:pPr>
        <w:numPr>
          <w:ilvl w:val="0"/>
          <w:numId w:val="39"/>
        </w:numPr>
        <w:shd w:val="clear" w:color="auto" w:fill="FFFFFF"/>
        <w:spacing w:after="24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719</w:t>
      </w:r>
      <w:r w:rsidRPr="002C68AC">
        <w:rPr>
          <w:rFonts w:eastAsia="Times New Roman" w:cstheme="minorHAnsi"/>
        </w:rPr>
        <w:t>. An additional 424 older cases dating back to Jan. 1, 2021 have been added to state and county cumulative totals.</w:t>
      </w:r>
    </w:p>
    <w:p w14:paraId="3479C318"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04/11/2022</w:t>
      </w:r>
    </w:p>
    <w:p w14:paraId="3E3E522D" w14:textId="77777777" w:rsidR="009B2BC8" w:rsidRPr="002C68AC" w:rsidRDefault="009B2BC8" w:rsidP="009B2BC8">
      <w:pPr>
        <w:numPr>
          <w:ilvl w:val="0"/>
          <w:numId w:val="40"/>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709</w:t>
      </w:r>
      <w:r w:rsidRPr="002C68AC">
        <w:rPr>
          <w:rFonts w:eastAsia="Times New Roman" w:cstheme="minorHAnsi"/>
        </w:rPr>
        <w:t>. An additional 125 older cases dating back to Jan. 1, 2021 have been added to state and county cumulative totals.</w:t>
      </w:r>
    </w:p>
    <w:p w14:paraId="77E355BF"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04/09/2022</w:t>
      </w:r>
    </w:p>
    <w:p w14:paraId="675D7293" w14:textId="77777777" w:rsidR="009B2BC8" w:rsidRPr="002C68AC" w:rsidRDefault="009B2BC8" w:rsidP="009B2BC8">
      <w:pPr>
        <w:numPr>
          <w:ilvl w:val="0"/>
          <w:numId w:val="41"/>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lastRenderedPageBreak/>
        <w:t>Today’s new confirmed case count is </w:t>
      </w:r>
      <w:r w:rsidRPr="002C68AC">
        <w:rPr>
          <w:rFonts w:eastAsia="Times New Roman" w:cstheme="minorHAnsi"/>
          <w:b/>
          <w:bCs/>
        </w:rPr>
        <w:t>926</w:t>
      </w:r>
      <w:r w:rsidRPr="002C68AC">
        <w:rPr>
          <w:rFonts w:eastAsia="Times New Roman" w:cstheme="minorHAnsi"/>
        </w:rPr>
        <w:t>. An additional 620 older cases dating back to Jan. 1, 2021 have been added to state and county cumulative totals.</w:t>
      </w:r>
    </w:p>
    <w:p w14:paraId="07016AB7"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04/08/2022</w:t>
      </w:r>
    </w:p>
    <w:p w14:paraId="5C67A4E1" w14:textId="77777777" w:rsidR="009B2BC8" w:rsidRPr="002C68AC" w:rsidRDefault="009B2BC8" w:rsidP="009B2BC8">
      <w:pPr>
        <w:numPr>
          <w:ilvl w:val="0"/>
          <w:numId w:val="42"/>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839</w:t>
      </w:r>
      <w:r w:rsidRPr="002C68AC">
        <w:rPr>
          <w:rFonts w:eastAsia="Times New Roman" w:cstheme="minorHAnsi"/>
        </w:rPr>
        <w:t>. An additional 545 older cases dating back to Jan. 1, 2021 have been added to state and county cumulative totals.</w:t>
      </w:r>
    </w:p>
    <w:p w14:paraId="0F2D20A3"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04/07/2022</w:t>
      </w:r>
    </w:p>
    <w:p w14:paraId="5149B8F9" w14:textId="77777777" w:rsidR="009B2BC8" w:rsidRPr="002C68AC" w:rsidRDefault="009B2BC8" w:rsidP="009B2BC8">
      <w:pPr>
        <w:numPr>
          <w:ilvl w:val="0"/>
          <w:numId w:val="43"/>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929</w:t>
      </w:r>
      <w:r w:rsidRPr="002C68AC">
        <w:rPr>
          <w:rFonts w:eastAsia="Times New Roman" w:cstheme="minorHAnsi"/>
        </w:rPr>
        <w:t>. An additional 703 older cases dating back to Jan. 1, 2021 have been added to state and county cumulative totals.</w:t>
      </w:r>
    </w:p>
    <w:p w14:paraId="144A054C"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04/02/2022</w:t>
      </w:r>
    </w:p>
    <w:p w14:paraId="76B9EA1B" w14:textId="77777777" w:rsidR="009B2BC8" w:rsidRPr="002C68AC" w:rsidRDefault="009B2BC8" w:rsidP="009B2BC8">
      <w:pPr>
        <w:numPr>
          <w:ilvl w:val="0"/>
          <w:numId w:val="44"/>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1,061</w:t>
      </w:r>
      <w:r w:rsidRPr="002C68AC">
        <w:rPr>
          <w:rFonts w:eastAsia="Times New Roman" w:cstheme="minorHAnsi"/>
        </w:rPr>
        <w:t>. An additional 1,096 older cases dating back to Jan. 1, 2021 have been added to state and county cumulative totals.</w:t>
      </w:r>
    </w:p>
    <w:p w14:paraId="5557022C"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04/01/2022</w:t>
      </w:r>
    </w:p>
    <w:p w14:paraId="05FB2F46" w14:textId="44BD9DDE" w:rsidR="009B2BC8" w:rsidRPr="002C68AC" w:rsidRDefault="009B2BC8" w:rsidP="009B2BC8">
      <w:pPr>
        <w:numPr>
          <w:ilvl w:val="0"/>
          <w:numId w:val="45"/>
        </w:numPr>
        <w:shd w:val="clear" w:color="auto" w:fill="FFFFFF"/>
        <w:spacing w:after="24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885</w:t>
      </w:r>
      <w:r w:rsidRPr="002C68AC">
        <w:rPr>
          <w:rFonts w:eastAsia="Times New Roman" w:cstheme="minorHAnsi"/>
        </w:rPr>
        <w:t>. An additional 508 older cases dating back to Jan. 1, 2021 have been added to state and county cumulative totals.</w:t>
      </w:r>
    </w:p>
    <w:p w14:paraId="6E42BF61" w14:textId="631F999D"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b/>
          <w:bCs/>
        </w:rPr>
        <w:t>March 2022</w:t>
      </w:r>
    </w:p>
    <w:p w14:paraId="10514961"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03/31/2022</w:t>
      </w:r>
    </w:p>
    <w:p w14:paraId="1978C384" w14:textId="77777777" w:rsidR="009B2BC8" w:rsidRPr="002C68AC" w:rsidRDefault="009B2BC8" w:rsidP="009B2BC8">
      <w:pPr>
        <w:numPr>
          <w:ilvl w:val="0"/>
          <w:numId w:val="46"/>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926</w:t>
      </w:r>
      <w:r w:rsidRPr="002C68AC">
        <w:rPr>
          <w:rFonts w:eastAsia="Times New Roman" w:cstheme="minorHAnsi"/>
        </w:rPr>
        <w:t>. An additional 3,736 older cases dating back to Jan. 1, 2021 have been added to state and county cumulative totals.</w:t>
      </w:r>
    </w:p>
    <w:p w14:paraId="48F1580C"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03/30/2022</w:t>
      </w:r>
    </w:p>
    <w:p w14:paraId="6DCBADEE" w14:textId="77777777" w:rsidR="009B2BC8" w:rsidRPr="002C68AC" w:rsidRDefault="009B2BC8" w:rsidP="009B2BC8">
      <w:pPr>
        <w:numPr>
          <w:ilvl w:val="0"/>
          <w:numId w:val="47"/>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789</w:t>
      </w:r>
      <w:r w:rsidRPr="002C68AC">
        <w:rPr>
          <w:rFonts w:eastAsia="Times New Roman" w:cstheme="minorHAnsi"/>
        </w:rPr>
        <w:t>. An additional 563 older cases dating back to Jan. 1, 2021 have been added to state and county cumulative totals.</w:t>
      </w:r>
    </w:p>
    <w:p w14:paraId="39DC810B"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03/29/2022</w:t>
      </w:r>
    </w:p>
    <w:p w14:paraId="5B4F46F4" w14:textId="77777777" w:rsidR="009B2BC8" w:rsidRPr="002C68AC" w:rsidRDefault="009B2BC8" w:rsidP="009B2BC8">
      <w:pPr>
        <w:numPr>
          <w:ilvl w:val="0"/>
          <w:numId w:val="48"/>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1,465</w:t>
      </w:r>
      <w:r w:rsidRPr="002C68AC">
        <w:rPr>
          <w:rFonts w:eastAsia="Times New Roman" w:cstheme="minorHAnsi"/>
        </w:rPr>
        <w:t>. An additional 1,951 older cases dating back to Jan. 1, 2021 have been added to state and county cumulative totals.</w:t>
      </w:r>
    </w:p>
    <w:p w14:paraId="0B61F52E"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03/26/2022</w:t>
      </w:r>
    </w:p>
    <w:p w14:paraId="4807A6D3" w14:textId="77777777" w:rsidR="009B2BC8" w:rsidRPr="002C68AC" w:rsidRDefault="009B2BC8" w:rsidP="009B2BC8">
      <w:pPr>
        <w:numPr>
          <w:ilvl w:val="0"/>
          <w:numId w:val="49"/>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957</w:t>
      </w:r>
      <w:r w:rsidRPr="002C68AC">
        <w:rPr>
          <w:rFonts w:eastAsia="Times New Roman" w:cstheme="minorHAnsi"/>
        </w:rPr>
        <w:t>. An additional 3,085 older cases dating back to Jan. 1, 2021 have been added to state and county cumulative totals. </w:t>
      </w:r>
    </w:p>
    <w:p w14:paraId="6897C092"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03/25/2022</w:t>
      </w:r>
    </w:p>
    <w:p w14:paraId="20C38BAA" w14:textId="77777777" w:rsidR="009B2BC8" w:rsidRPr="002C68AC" w:rsidRDefault="009B2BC8" w:rsidP="009B2BC8">
      <w:pPr>
        <w:numPr>
          <w:ilvl w:val="0"/>
          <w:numId w:val="50"/>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1,025</w:t>
      </w:r>
      <w:r w:rsidRPr="002C68AC">
        <w:rPr>
          <w:rFonts w:eastAsia="Times New Roman" w:cstheme="minorHAnsi"/>
        </w:rPr>
        <w:t>. An additional 1,685 older cases dating back to Jan. 1, 2021 have been added to state and county cumulative totals after a lab in the Houston area began reporting test results to DSHS. Almost all of the older cases are from Harris County.</w:t>
      </w:r>
    </w:p>
    <w:p w14:paraId="08D1BE72"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03/24/2022</w:t>
      </w:r>
    </w:p>
    <w:p w14:paraId="7183CC0A" w14:textId="77777777" w:rsidR="009B2BC8" w:rsidRPr="002C68AC" w:rsidRDefault="009B2BC8" w:rsidP="009B2BC8">
      <w:pPr>
        <w:numPr>
          <w:ilvl w:val="0"/>
          <w:numId w:val="51"/>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969</w:t>
      </w:r>
      <w:r w:rsidRPr="002C68AC">
        <w:rPr>
          <w:rFonts w:eastAsia="Times New Roman" w:cstheme="minorHAnsi"/>
        </w:rPr>
        <w:t>. An additional 3,339 older cases dating back to Jan. 1, 2021 have been added to state and county cumulative totals after a lab in the Houston area began reporting test results to DSHS. Almost all of the older cases are from Harris County.</w:t>
      </w:r>
    </w:p>
    <w:p w14:paraId="6837976A"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lastRenderedPageBreak/>
        <w:t>03/23/2022</w:t>
      </w:r>
    </w:p>
    <w:p w14:paraId="37B89A0C" w14:textId="6A2C61DB" w:rsidR="009B2BC8" w:rsidRPr="002C68AC" w:rsidRDefault="009B2BC8" w:rsidP="009B2BC8">
      <w:pPr>
        <w:numPr>
          <w:ilvl w:val="0"/>
          <w:numId w:val="52"/>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Today’s new confirmed case count is </w:t>
      </w:r>
      <w:r w:rsidRPr="002C68AC">
        <w:rPr>
          <w:rFonts w:eastAsia="Times New Roman" w:cstheme="minorHAnsi"/>
          <w:b/>
          <w:bCs/>
        </w:rPr>
        <w:t>1,285</w:t>
      </w:r>
      <w:r w:rsidRPr="002C68AC">
        <w:rPr>
          <w:rFonts w:eastAsia="Times New Roman" w:cstheme="minorHAnsi"/>
        </w:rPr>
        <w:t>. An additional 9,643 older cases dating back to Jan. 1, 2021 have been added to state and county cumulative totals after a lab in the Houston area began reporting test results to DSHS. Almost all of these older cases are from Harris County.</w:t>
      </w:r>
    </w:p>
    <w:p w14:paraId="43B2FDC1" w14:textId="77777777" w:rsidR="009B2BC8" w:rsidRPr="002C68AC" w:rsidRDefault="009B2BC8" w:rsidP="009B2BC8">
      <w:pPr>
        <w:shd w:val="clear" w:color="auto" w:fill="FFFFFF"/>
        <w:spacing w:after="0" w:line="240" w:lineRule="auto"/>
        <w:ind w:right="360"/>
        <w:textAlignment w:val="baseline"/>
        <w:rPr>
          <w:rFonts w:eastAsia="Times New Roman" w:cstheme="minorHAnsi"/>
        </w:rPr>
      </w:pPr>
    </w:p>
    <w:p w14:paraId="3FFA7E59" w14:textId="67A96FA1"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b/>
          <w:bCs/>
        </w:rPr>
        <w:t>February 2022</w:t>
      </w:r>
    </w:p>
    <w:p w14:paraId="07CDFAD2"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02/02/2022</w:t>
      </w:r>
    </w:p>
    <w:p w14:paraId="041BFFA4" w14:textId="77777777" w:rsidR="009B2BC8" w:rsidRPr="002C68AC" w:rsidRDefault="009B2BC8" w:rsidP="009B2BC8">
      <w:pPr>
        <w:numPr>
          <w:ilvl w:val="0"/>
          <w:numId w:val="53"/>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DSHS is reporting 61,777 cumulative confirmed cases that do not have a county due to an incomplete address. These are included in statewide totals of confirmed cases. </w:t>
      </w:r>
    </w:p>
    <w:p w14:paraId="412AF6A4" w14:textId="77777777" w:rsidR="009B2BC8" w:rsidRPr="002C68AC" w:rsidRDefault="009B2BC8" w:rsidP="009B2BC8">
      <w:pPr>
        <w:numPr>
          <w:ilvl w:val="0"/>
          <w:numId w:val="53"/>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DSHS is reporting 5,686 cumulative probable cases that do not have a county due to an incomplete address. These are included in statewide totals of probable cases.</w:t>
      </w:r>
    </w:p>
    <w:p w14:paraId="2844D708" w14:textId="77777777" w:rsidR="009B2BC8" w:rsidRPr="002C68AC" w:rsidRDefault="009B2BC8" w:rsidP="009B2BC8">
      <w:pPr>
        <w:shd w:val="clear" w:color="auto" w:fill="FFFFFF"/>
        <w:spacing w:after="240" w:line="240" w:lineRule="auto"/>
        <w:textAlignment w:val="baseline"/>
        <w:rPr>
          <w:rFonts w:eastAsia="Times New Roman" w:cstheme="minorHAnsi"/>
        </w:rPr>
      </w:pPr>
      <w:r w:rsidRPr="002C68AC">
        <w:rPr>
          <w:rFonts w:eastAsia="Times New Roman" w:cstheme="minorHAnsi"/>
          <w:u w:val="single"/>
        </w:rPr>
        <w:t>02/01/2022</w:t>
      </w:r>
    </w:p>
    <w:p w14:paraId="73FA257F" w14:textId="77777777" w:rsidR="009B2BC8" w:rsidRPr="002C68AC" w:rsidRDefault="009B2BC8" w:rsidP="009B2BC8">
      <w:pPr>
        <w:numPr>
          <w:ilvl w:val="0"/>
          <w:numId w:val="54"/>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DSHS is reporting 61,421 cumulative confirmed cases that do not have a county due to an incomplete address. These are included in statewide totals of confirmed cases. </w:t>
      </w:r>
    </w:p>
    <w:p w14:paraId="5E7D5FF0" w14:textId="1AE4C6E4" w:rsidR="009B2BC8" w:rsidRPr="002C68AC" w:rsidRDefault="009B2BC8" w:rsidP="009B2BC8">
      <w:pPr>
        <w:numPr>
          <w:ilvl w:val="0"/>
          <w:numId w:val="54"/>
        </w:numPr>
        <w:shd w:val="clear" w:color="auto" w:fill="FFFFFF"/>
        <w:spacing w:after="0" w:line="240" w:lineRule="auto"/>
        <w:ind w:left="1200" w:right="360"/>
        <w:textAlignment w:val="baseline"/>
        <w:rPr>
          <w:rFonts w:eastAsia="Times New Roman" w:cstheme="minorHAnsi"/>
        </w:rPr>
      </w:pPr>
      <w:r w:rsidRPr="002C68AC">
        <w:rPr>
          <w:rFonts w:eastAsia="Times New Roman" w:cstheme="minorHAnsi"/>
        </w:rPr>
        <w:t>DSHS is reporting 5,646 cumulative probable cases that do not have a county due to an incomplete address. These are included in statewide totals of probable cases.</w:t>
      </w:r>
    </w:p>
    <w:p w14:paraId="55AEE57B" w14:textId="77777777" w:rsidR="009B2BC8" w:rsidRPr="002C68AC" w:rsidRDefault="009B2BC8" w:rsidP="009B2BC8">
      <w:pPr>
        <w:shd w:val="clear" w:color="auto" w:fill="FFFFFF"/>
        <w:spacing w:after="0" w:line="240" w:lineRule="auto"/>
        <w:ind w:right="360"/>
        <w:textAlignment w:val="baseline"/>
        <w:rPr>
          <w:rFonts w:eastAsia="Times New Roman" w:cstheme="minorHAnsi"/>
        </w:rPr>
      </w:pPr>
    </w:p>
    <w:p w14:paraId="602E3E95" w14:textId="174A4357" w:rsidR="009B2BC8" w:rsidRPr="002C68AC" w:rsidRDefault="009B2BC8" w:rsidP="009B2BC8">
      <w:pPr>
        <w:pStyle w:val="Heading1"/>
        <w:shd w:val="clear" w:color="auto" w:fill="FFFFFF"/>
        <w:spacing w:before="0" w:beforeAutospacing="0" w:after="12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rPr>
        <w:t>January 2022</w:t>
      </w:r>
    </w:p>
    <w:p w14:paraId="6923B40A" w14:textId="77777777" w:rsidR="009B2BC8" w:rsidRPr="002C68AC" w:rsidRDefault="009B2BC8" w:rsidP="009B2BC8">
      <w:pPr>
        <w:numPr>
          <w:ilvl w:val="0"/>
          <w:numId w:val="1"/>
        </w:numPr>
        <w:shd w:val="clear" w:color="auto" w:fill="FFFFFF"/>
        <w:spacing w:after="0" w:line="240" w:lineRule="auto"/>
        <w:ind w:left="1200" w:right="360"/>
        <w:textAlignment w:val="baseline"/>
        <w:rPr>
          <w:rFonts w:cstheme="minorHAnsi"/>
        </w:rPr>
      </w:pPr>
      <w:r w:rsidRPr="002C68AC">
        <w:rPr>
          <w:rFonts w:cstheme="minorHAnsi"/>
        </w:rPr>
        <w:t>We currently do not have any older cases to report due to the transition to a new centralized case data system (NEDSS) on 12/1/2021.</w:t>
      </w:r>
    </w:p>
    <w:p w14:paraId="19BEE2A4" w14:textId="77777777" w:rsidR="009B2BC8" w:rsidRPr="002C68AC" w:rsidRDefault="009B2BC8" w:rsidP="009B2BC8">
      <w:pPr>
        <w:numPr>
          <w:ilvl w:val="0"/>
          <w:numId w:val="1"/>
        </w:numPr>
        <w:shd w:val="clear" w:color="auto" w:fill="FFFFFF"/>
        <w:spacing w:after="0" w:line="240" w:lineRule="auto"/>
        <w:ind w:left="1200" w:right="360"/>
        <w:textAlignment w:val="baseline"/>
        <w:rPr>
          <w:rFonts w:cstheme="minorHAnsi"/>
        </w:rPr>
      </w:pPr>
      <w:r w:rsidRPr="002C68AC">
        <w:rPr>
          <w:rFonts w:cstheme="minorHAnsi"/>
        </w:rPr>
        <w:t>Older cases that are entered into this system by the local jurisdictions are automatically assigned to the correct date, and the data are rewritten. </w:t>
      </w:r>
    </w:p>
    <w:p w14:paraId="4B095C7C"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01/31/2022</w:t>
      </w:r>
    </w:p>
    <w:p w14:paraId="412DCFA6" w14:textId="77777777" w:rsidR="009B2BC8" w:rsidRPr="002C68AC" w:rsidRDefault="009B2BC8" w:rsidP="009B2BC8">
      <w:pPr>
        <w:numPr>
          <w:ilvl w:val="0"/>
          <w:numId w:val="2"/>
        </w:numPr>
        <w:shd w:val="clear" w:color="auto" w:fill="FFFFFF"/>
        <w:spacing w:after="0" w:line="240" w:lineRule="auto"/>
        <w:ind w:left="1200" w:right="360"/>
        <w:textAlignment w:val="baseline"/>
        <w:rPr>
          <w:rFonts w:cstheme="minorHAnsi"/>
        </w:rPr>
      </w:pPr>
      <w:r w:rsidRPr="002C68AC">
        <w:rPr>
          <w:rFonts w:cstheme="minorHAnsi"/>
        </w:rPr>
        <w:t>DSHS is reporting 60,606 cumulative confirmed cases that do not have a county due to an incomplete address. These are included in statewide totals of confirmed cases. </w:t>
      </w:r>
    </w:p>
    <w:p w14:paraId="1583DB8A" w14:textId="77777777" w:rsidR="009B2BC8" w:rsidRPr="002C68AC" w:rsidRDefault="009B2BC8" w:rsidP="009B2BC8">
      <w:pPr>
        <w:numPr>
          <w:ilvl w:val="0"/>
          <w:numId w:val="2"/>
        </w:numPr>
        <w:shd w:val="clear" w:color="auto" w:fill="FFFFFF"/>
        <w:spacing w:after="0" w:line="240" w:lineRule="auto"/>
        <w:ind w:left="1200" w:right="360"/>
        <w:textAlignment w:val="baseline"/>
        <w:rPr>
          <w:rFonts w:cstheme="minorHAnsi"/>
        </w:rPr>
      </w:pPr>
      <w:r w:rsidRPr="002C68AC">
        <w:rPr>
          <w:rFonts w:cstheme="minorHAnsi"/>
        </w:rPr>
        <w:t>DSHS is reporting 5,614 cumulative probable cases that do not have a county due to an incomplete address. These are included in statewide totals of probable cases.</w:t>
      </w:r>
    </w:p>
    <w:p w14:paraId="7E89F480"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01/30/2022</w:t>
      </w:r>
    </w:p>
    <w:p w14:paraId="0D75DB9F" w14:textId="77777777" w:rsidR="009B2BC8" w:rsidRPr="002C68AC" w:rsidRDefault="009B2BC8" w:rsidP="009B2BC8">
      <w:pPr>
        <w:numPr>
          <w:ilvl w:val="0"/>
          <w:numId w:val="3"/>
        </w:numPr>
        <w:shd w:val="clear" w:color="auto" w:fill="FFFFFF"/>
        <w:spacing w:after="0" w:line="240" w:lineRule="auto"/>
        <w:ind w:left="1200" w:right="360"/>
        <w:textAlignment w:val="baseline"/>
        <w:rPr>
          <w:rFonts w:cstheme="minorHAnsi"/>
        </w:rPr>
      </w:pPr>
      <w:r w:rsidRPr="002C68AC">
        <w:rPr>
          <w:rFonts w:cstheme="minorHAnsi"/>
        </w:rPr>
        <w:t>DSHS is reporting 60,029 cumulative confirmed cases that do not have a county due to an incomplete address. These are included in statewide totals of confirmed cases. </w:t>
      </w:r>
    </w:p>
    <w:p w14:paraId="7D7725D2" w14:textId="77777777" w:rsidR="009B2BC8" w:rsidRPr="002C68AC" w:rsidRDefault="009B2BC8" w:rsidP="009B2BC8">
      <w:pPr>
        <w:numPr>
          <w:ilvl w:val="0"/>
          <w:numId w:val="3"/>
        </w:numPr>
        <w:shd w:val="clear" w:color="auto" w:fill="FFFFFF"/>
        <w:spacing w:after="0" w:line="240" w:lineRule="auto"/>
        <w:ind w:left="1200" w:right="360"/>
        <w:textAlignment w:val="baseline"/>
        <w:rPr>
          <w:rFonts w:cstheme="minorHAnsi"/>
        </w:rPr>
      </w:pPr>
      <w:r w:rsidRPr="002C68AC">
        <w:rPr>
          <w:rFonts w:cstheme="minorHAnsi"/>
        </w:rPr>
        <w:t>DSHS is reporting 5,595 cumulative probable cases that do not have a county due to an incomplete address. These are included in statewide totals of probable cases.</w:t>
      </w:r>
    </w:p>
    <w:p w14:paraId="5EF2D8EE"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01/29/2022</w:t>
      </w:r>
    </w:p>
    <w:p w14:paraId="2579152E" w14:textId="77777777" w:rsidR="009B2BC8" w:rsidRPr="002C68AC" w:rsidRDefault="009B2BC8" w:rsidP="009B2BC8">
      <w:pPr>
        <w:numPr>
          <w:ilvl w:val="0"/>
          <w:numId w:val="4"/>
        </w:numPr>
        <w:shd w:val="clear" w:color="auto" w:fill="FFFFFF"/>
        <w:spacing w:after="0" w:line="240" w:lineRule="auto"/>
        <w:ind w:left="1200" w:right="360"/>
        <w:textAlignment w:val="baseline"/>
        <w:rPr>
          <w:rFonts w:cstheme="minorHAnsi"/>
        </w:rPr>
      </w:pPr>
      <w:r w:rsidRPr="002C68AC">
        <w:rPr>
          <w:rFonts w:cstheme="minorHAnsi"/>
        </w:rPr>
        <w:t>DSHS is reporting 59,156 cumulative confirmed cases that do not have a county due to an incomplete address. These are included in statewide totals of confirmed cases. </w:t>
      </w:r>
    </w:p>
    <w:p w14:paraId="312E3CB6" w14:textId="77777777" w:rsidR="009B2BC8" w:rsidRPr="002C68AC" w:rsidRDefault="009B2BC8" w:rsidP="009B2BC8">
      <w:pPr>
        <w:numPr>
          <w:ilvl w:val="0"/>
          <w:numId w:val="4"/>
        </w:numPr>
        <w:shd w:val="clear" w:color="auto" w:fill="FFFFFF"/>
        <w:spacing w:after="0" w:line="240" w:lineRule="auto"/>
        <w:ind w:left="1200" w:right="360"/>
        <w:textAlignment w:val="baseline"/>
        <w:rPr>
          <w:rFonts w:cstheme="minorHAnsi"/>
        </w:rPr>
      </w:pPr>
      <w:r w:rsidRPr="002C68AC">
        <w:rPr>
          <w:rFonts w:cstheme="minorHAnsi"/>
        </w:rPr>
        <w:t>DSHS is reporting 5,574 cumulative probable cases that do not have a county due to an incomplete address. These are included in statewide totals of probable cases.</w:t>
      </w:r>
    </w:p>
    <w:p w14:paraId="55DBD208"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01/28/2022</w:t>
      </w:r>
    </w:p>
    <w:p w14:paraId="6D15546C" w14:textId="77777777" w:rsidR="009B2BC8" w:rsidRPr="002C68AC" w:rsidRDefault="009B2BC8" w:rsidP="009B2BC8">
      <w:pPr>
        <w:numPr>
          <w:ilvl w:val="0"/>
          <w:numId w:val="5"/>
        </w:numPr>
        <w:shd w:val="clear" w:color="auto" w:fill="FFFFFF"/>
        <w:spacing w:after="0" w:line="240" w:lineRule="auto"/>
        <w:ind w:left="1200" w:right="360"/>
        <w:textAlignment w:val="baseline"/>
        <w:rPr>
          <w:rFonts w:cstheme="minorHAnsi"/>
        </w:rPr>
      </w:pPr>
      <w:r w:rsidRPr="002C68AC">
        <w:rPr>
          <w:rFonts w:cstheme="minorHAnsi"/>
        </w:rPr>
        <w:lastRenderedPageBreak/>
        <w:t>DSHS is reporting 58,226 cumulative confirmed cases that do not have a county due to an incomplete address. These are included in statewide totals of confirmed cases. </w:t>
      </w:r>
    </w:p>
    <w:p w14:paraId="66549311" w14:textId="77777777" w:rsidR="009B2BC8" w:rsidRPr="002C68AC" w:rsidRDefault="009B2BC8" w:rsidP="009B2BC8">
      <w:pPr>
        <w:numPr>
          <w:ilvl w:val="0"/>
          <w:numId w:val="5"/>
        </w:numPr>
        <w:shd w:val="clear" w:color="auto" w:fill="FFFFFF"/>
        <w:spacing w:after="0" w:line="240" w:lineRule="auto"/>
        <w:ind w:left="1200" w:right="360"/>
        <w:textAlignment w:val="baseline"/>
        <w:rPr>
          <w:rFonts w:cstheme="minorHAnsi"/>
        </w:rPr>
      </w:pPr>
      <w:r w:rsidRPr="002C68AC">
        <w:rPr>
          <w:rFonts w:cstheme="minorHAnsi"/>
        </w:rPr>
        <w:t>DSHS is reporting 5,519 cumulative probable cases that do not have a county due to an incomplete address. These are included in statewide totals of probable cases.</w:t>
      </w:r>
    </w:p>
    <w:p w14:paraId="559AD94D"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01/27/2022</w:t>
      </w:r>
    </w:p>
    <w:p w14:paraId="308F4EEB" w14:textId="77777777" w:rsidR="009B2BC8" w:rsidRPr="002C68AC" w:rsidRDefault="009B2BC8" w:rsidP="009B2BC8">
      <w:pPr>
        <w:numPr>
          <w:ilvl w:val="0"/>
          <w:numId w:val="6"/>
        </w:numPr>
        <w:shd w:val="clear" w:color="auto" w:fill="FFFFFF"/>
        <w:spacing w:after="0" w:line="240" w:lineRule="auto"/>
        <w:ind w:left="1200" w:right="360"/>
        <w:textAlignment w:val="baseline"/>
        <w:rPr>
          <w:rFonts w:cstheme="minorHAnsi"/>
        </w:rPr>
      </w:pPr>
      <w:r w:rsidRPr="002C68AC">
        <w:rPr>
          <w:rFonts w:cstheme="minorHAnsi"/>
        </w:rPr>
        <w:t>DSHS is reporting 57,035 cumulative confirmed cases that do not have a county due to an incomplete address. These are included in statewide totals of confirmed cases. </w:t>
      </w:r>
    </w:p>
    <w:p w14:paraId="04D34F16" w14:textId="77777777" w:rsidR="009B2BC8" w:rsidRPr="002C68AC" w:rsidRDefault="009B2BC8" w:rsidP="009B2BC8">
      <w:pPr>
        <w:numPr>
          <w:ilvl w:val="0"/>
          <w:numId w:val="6"/>
        </w:numPr>
        <w:shd w:val="clear" w:color="auto" w:fill="FFFFFF"/>
        <w:spacing w:after="0" w:line="240" w:lineRule="auto"/>
        <w:ind w:left="1200" w:right="360"/>
        <w:textAlignment w:val="baseline"/>
        <w:rPr>
          <w:rFonts w:cstheme="minorHAnsi"/>
        </w:rPr>
      </w:pPr>
      <w:r w:rsidRPr="002C68AC">
        <w:rPr>
          <w:rFonts w:cstheme="minorHAnsi"/>
        </w:rPr>
        <w:t>DSHS is reporting 5,500 cumulative probable cases that do not have a county due to an incomplete address. These are included in statewide totals of probable cases.</w:t>
      </w:r>
    </w:p>
    <w:p w14:paraId="398DBDEF"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01/26/2022</w:t>
      </w:r>
    </w:p>
    <w:p w14:paraId="0DBC437B" w14:textId="77777777" w:rsidR="009B2BC8" w:rsidRPr="002C68AC" w:rsidRDefault="009B2BC8" w:rsidP="009B2BC8">
      <w:pPr>
        <w:numPr>
          <w:ilvl w:val="0"/>
          <w:numId w:val="7"/>
        </w:numPr>
        <w:shd w:val="clear" w:color="auto" w:fill="FFFFFF"/>
        <w:spacing w:after="0" w:line="240" w:lineRule="auto"/>
        <w:ind w:left="1200" w:right="360"/>
        <w:textAlignment w:val="baseline"/>
        <w:rPr>
          <w:rFonts w:cstheme="minorHAnsi"/>
        </w:rPr>
      </w:pPr>
      <w:r w:rsidRPr="002C68AC">
        <w:rPr>
          <w:rFonts w:cstheme="minorHAnsi"/>
        </w:rPr>
        <w:t>DSHS is reporting 56,665 cumulative confirmed cases that do not have a county due to an incomplete address. These are included in statewide totals of confirmed cases. </w:t>
      </w:r>
    </w:p>
    <w:p w14:paraId="0A758E5E" w14:textId="77777777" w:rsidR="009B2BC8" w:rsidRPr="002C68AC" w:rsidRDefault="009B2BC8" w:rsidP="009B2BC8">
      <w:pPr>
        <w:numPr>
          <w:ilvl w:val="0"/>
          <w:numId w:val="7"/>
        </w:numPr>
        <w:shd w:val="clear" w:color="auto" w:fill="FFFFFF"/>
        <w:spacing w:after="0" w:line="240" w:lineRule="auto"/>
        <w:ind w:left="1200" w:right="360"/>
        <w:textAlignment w:val="baseline"/>
        <w:rPr>
          <w:rFonts w:cstheme="minorHAnsi"/>
        </w:rPr>
      </w:pPr>
      <w:r w:rsidRPr="002C68AC">
        <w:rPr>
          <w:rFonts w:cstheme="minorHAnsi"/>
        </w:rPr>
        <w:t>DSHS is reporting 5,471 cumulative probable cases that do not have a county due to an incomplete address. These are included in statewide totals of probable cases.</w:t>
      </w:r>
    </w:p>
    <w:p w14:paraId="5AE366F7"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01/25/2022</w:t>
      </w:r>
    </w:p>
    <w:p w14:paraId="60F2021F" w14:textId="77777777" w:rsidR="009B2BC8" w:rsidRPr="002C68AC" w:rsidRDefault="009B2BC8" w:rsidP="009B2BC8">
      <w:pPr>
        <w:numPr>
          <w:ilvl w:val="0"/>
          <w:numId w:val="8"/>
        </w:numPr>
        <w:shd w:val="clear" w:color="auto" w:fill="FFFFFF"/>
        <w:spacing w:after="0" w:line="240" w:lineRule="auto"/>
        <w:ind w:left="1200" w:right="360"/>
        <w:textAlignment w:val="baseline"/>
        <w:rPr>
          <w:rFonts w:cstheme="minorHAnsi"/>
        </w:rPr>
      </w:pPr>
      <w:r w:rsidRPr="002C68AC">
        <w:rPr>
          <w:rFonts w:cstheme="minorHAnsi"/>
        </w:rPr>
        <w:t>DSHS is reporting 56,281 cumulative confirmed cases that do not have a county due to an incomplete address. These are included in statewide totals of confirmed cases. </w:t>
      </w:r>
    </w:p>
    <w:p w14:paraId="3F484AC9" w14:textId="77777777" w:rsidR="009B2BC8" w:rsidRPr="002C68AC" w:rsidRDefault="009B2BC8" w:rsidP="009B2BC8">
      <w:pPr>
        <w:numPr>
          <w:ilvl w:val="0"/>
          <w:numId w:val="8"/>
        </w:numPr>
        <w:shd w:val="clear" w:color="auto" w:fill="FFFFFF"/>
        <w:spacing w:after="0" w:line="240" w:lineRule="auto"/>
        <w:ind w:left="1200" w:right="360"/>
        <w:textAlignment w:val="baseline"/>
        <w:rPr>
          <w:rFonts w:cstheme="minorHAnsi"/>
        </w:rPr>
      </w:pPr>
      <w:r w:rsidRPr="002C68AC">
        <w:rPr>
          <w:rFonts w:cstheme="minorHAnsi"/>
        </w:rPr>
        <w:t>DSHS is reporting 5,449 cumulative probable cases that do not have a county due to an incomplete address. These are included in statewide totals of probable cases.</w:t>
      </w:r>
    </w:p>
    <w:p w14:paraId="5369CD98"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01/24/2022</w:t>
      </w:r>
    </w:p>
    <w:p w14:paraId="1D01327D" w14:textId="77777777" w:rsidR="009B2BC8" w:rsidRPr="002C68AC" w:rsidRDefault="009B2BC8" w:rsidP="009B2BC8">
      <w:pPr>
        <w:numPr>
          <w:ilvl w:val="0"/>
          <w:numId w:val="9"/>
        </w:numPr>
        <w:shd w:val="clear" w:color="auto" w:fill="FFFFFF"/>
        <w:spacing w:after="0" w:line="240" w:lineRule="auto"/>
        <w:ind w:left="1200" w:right="360"/>
        <w:textAlignment w:val="baseline"/>
        <w:rPr>
          <w:rFonts w:cstheme="minorHAnsi"/>
        </w:rPr>
      </w:pPr>
      <w:r w:rsidRPr="002C68AC">
        <w:rPr>
          <w:rFonts w:cstheme="minorHAnsi"/>
        </w:rPr>
        <w:t>DSHS is reporting 54,502 cumulative confirmed cases that do not have a county due to an incomplete address. These are included in statewide totals of confirmed cases. </w:t>
      </w:r>
    </w:p>
    <w:p w14:paraId="51FA98F6" w14:textId="77777777" w:rsidR="009B2BC8" w:rsidRPr="002C68AC" w:rsidRDefault="009B2BC8" w:rsidP="009B2BC8">
      <w:pPr>
        <w:numPr>
          <w:ilvl w:val="0"/>
          <w:numId w:val="9"/>
        </w:numPr>
        <w:shd w:val="clear" w:color="auto" w:fill="FFFFFF"/>
        <w:spacing w:after="0" w:line="240" w:lineRule="auto"/>
        <w:ind w:left="1200" w:right="360"/>
        <w:textAlignment w:val="baseline"/>
        <w:rPr>
          <w:rFonts w:cstheme="minorHAnsi"/>
        </w:rPr>
      </w:pPr>
      <w:r w:rsidRPr="002C68AC">
        <w:rPr>
          <w:rFonts w:cstheme="minorHAnsi"/>
        </w:rPr>
        <w:t>DSHS is reporting 5,406 cumulative probable cases that do not have a county due to an incomplete address. These are included in statewide totals of probable cases. </w:t>
      </w:r>
    </w:p>
    <w:p w14:paraId="15CAEE03"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01/23/2022</w:t>
      </w:r>
    </w:p>
    <w:p w14:paraId="251997FF" w14:textId="77777777" w:rsidR="009B2BC8" w:rsidRPr="002C68AC" w:rsidRDefault="009B2BC8" w:rsidP="009B2BC8">
      <w:pPr>
        <w:numPr>
          <w:ilvl w:val="0"/>
          <w:numId w:val="10"/>
        </w:numPr>
        <w:shd w:val="clear" w:color="auto" w:fill="FFFFFF"/>
        <w:spacing w:after="0" w:line="240" w:lineRule="auto"/>
        <w:ind w:left="1200" w:right="360"/>
        <w:textAlignment w:val="baseline"/>
        <w:rPr>
          <w:rFonts w:cstheme="minorHAnsi"/>
        </w:rPr>
      </w:pPr>
      <w:r w:rsidRPr="002C68AC">
        <w:rPr>
          <w:rFonts w:cstheme="minorHAnsi"/>
        </w:rPr>
        <w:t>DSHS is reporting 53,902 cumulative confirmed cases that do not have a county due to an incomplete address. These are included in statewide totals of confirmed cases. </w:t>
      </w:r>
    </w:p>
    <w:p w14:paraId="61E8E03C" w14:textId="77777777" w:rsidR="009B2BC8" w:rsidRPr="002C68AC" w:rsidRDefault="009B2BC8" w:rsidP="009B2BC8">
      <w:pPr>
        <w:numPr>
          <w:ilvl w:val="0"/>
          <w:numId w:val="10"/>
        </w:numPr>
        <w:shd w:val="clear" w:color="auto" w:fill="FFFFFF"/>
        <w:spacing w:after="0" w:line="240" w:lineRule="auto"/>
        <w:ind w:left="1200" w:right="360"/>
        <w:textAlignment w:val="baseline"/>
        <w:rPr>
          <w:rFonts w:cstheme="minorHAnsi"/>
        </w:rPr>
      </w:pPr>
      <w:r w:rsidRPr="002C68AC">
        <w:rPr>
          <w:rFonts w:cstheme="minorHAnsi"/>
        </w:rPr>
        <w:t>DSHS is reporting 5,377 cumulative probable cases that do not have a county due to an incomplete address. These are included in statewide totals of probable cases. </w:t>
      </w:r>
    </w:p>
    <w:p w14:paraId="3DEF4C64"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01/22/2022</w:t>
      </w:r>
    </w:p>
    <w:p w14:paraId="20527611" w14:textId="77777777" w:rsidR="009B2BC8" w:rsidRPr="002C68AC" w:rsidRDefault="009B2BC8" w:rsidP="009B2BC8">
      <w:pPr>
        <w:numPr>
          <w:ilvl w:val="0"/>
          <w:numId w:val="11"/>
        </w:numPr>
        <w:shd w:val="clear" w:color="auto" w:fill="FFFFFF"/>
        <w:spacing w:after="0" w:line="240" w:lineRule="auto"/>
        <w:ind w:left="1200" w:right="360"/>
        <w:textAlignment w:val="baseline"/>
        <w:rPr>
          <w:rFonts w:cstheme="minorHAnsi"/>
        </w:rPr>
      </w:pPr>
      <w:r w:rsidRPr="002C68AC">
        <w:rPr>
          <w:rFonts w:cstheme="minorHAnsi"/>
        </w:rPr>
        <w:t>DSHS is reporting 52,844 cumulative confirmed cases that do not have a county due to an incomplete address. These are included in statewide totals of confirmed cases. </w:t>
      </w:r>
    </w:p>
    <w:p w14:paraId="16882692" w14:textId="77777777" w:rsidR="009B2BC8" w:rsidRPr="002C68AC" w:rsidRDefault="009B2BC8" w:rsidP="009B2BC8">
      <w:pPr>
        <w:numPr>
          <w:ilvl w:val="0"/>
          <w:numId w:val="11"/>
        </w:numPr>
        <w:shd w:val="clear" w:color="auto" w:fill="FFFFFF"/>
        <w:spacing w:after="0" w:line="240" w:lineRule="auto"/>
        <w:ind w:left="1200" w:right="360"/>
        <w:textAlignment w:val="baseline"/>
        <w:rPr>
          <w:rFonts w:cstheme="minorHAnsi"/>
        </w:rPr>
      </w:pPr>
      <w:r w:rsidRPr="002C68AC">
        <w:rPr>
          <w:rFonts w:cstheme="minorHAnsi"/>
        </w:rPr>
        <w:t>DSHS is reporting 5,328 cumulative probable cases that do not have a county due to an incomplete address. These are included in statewide totals of probable cases. </w:t>
      </w:r>
    </w:p>
    <w:p w14:paraId="003C71F4"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01/21/2022</w:t>
      </w:r>
    </w:p>
    <w:p w14:paraId="29EC58FC" w14:textId="77777777" w:rsidR="009B2BC8" w:rsidRPr="002C68AC" w:rsidRDefault="009B2BC8" w:rsidP="009B2BC8">
      <w:pPr>
        <w:numPr>
          <w:ilvl w:val="0"/>
          <w:numId w:val="12"/>
        </w:numPr>
        <w:shd w:val="clear" w:color="auto" w:fill="FFFFFF"/>
        <w:spacing w:after="0" w:line="240" w:lineRule="auto"/>
        <w:ind w:left="1200" w:right="360"/>
        <w:textAlignment w:val="baseline"/>
        <w:rPr>
          <w:rFonts w:cstheme="minorHAnsi"/>
        </w:rPr>
      </w:pPr>
      <w:r w:rsidRPr="002C68AC">
        <w:rPr>
          <w:rFonts w:cstheme="minorHAnsi"/>
        </w:rPr>
        <w:t>DSHS is reporting 51,085 cumulative confirmed cases that do not have a county due to an incomplete address. These are included in statewide totals of confirmed cases. </w:t>
      </w:r>
    </w:p>
    <w:p w14:paraId="6B1E8FFD" w14:textId="77777777" w:rsidR="009B2BC8" w:rsidRPr="002C68AC" w:rsidRDefault="009B2BC8" w:rsidP="009B2BC8">
      <w:pPr>
        <w:numPr>
          <w:ilvl w:val="0"/>
          <w:numId w:val="12"/>
        </w:numPr>
        <w:shd w:val="clear" w:color="auto" w:fill="FFFFFF"/>
        <w:spacing w:after="0" w:line="240" w:lineRule="auto"/>
        <w:ind w:left="1200" w:right="360"/>
        <w:textAlignment w:val="baseline"/>
        <w:rPr>
          <w:rFonts w:cstheme="minorHAnsi"/>
        </w:rPr>
      </w:pPr>
      <w:r w:rsidRPr="002C68AC">
        <w:rPr>
          <w:rFonts w:cstheme="minorHAnsi"/>
        </w:rPr>
        <w:t>DSHS is reporting 5,288 cumulative probable cases that do not have a county due to an incomplete address. These are included in statewide totals of probable cases. </w:t>
      </w:r>
    </w:p>
    <w:p w14:paraId="0E86E056"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01/20/2022</w:t>
      </w:r>
    </w:p>
    <w:p w14:paraId="67590DCB" w14:textId="77777777" w:rsidR="009B2BC8" w:rsidRPr="002C68AC" w:rsidRDefault="009B2BC8" w:rsidP="009B2BC8">
      <w:pPr>
        <w:numPr>
          <w:ilvl w:val="0"/>
          <w:numId w:val="13"/>
        </w:numPr>
        <w:shd w:val="clear" w:color="auto" w:fill="FFFFFF"/>
        <w:spacing w:after="0" w:line="240" w:lineRule="auto"/>
        <w:ind w:left="1200" w:right="360"/>
        <w:textAlignment w:val="baseline"/>
        <w:rPr>
          <w:rFonts w:cstheme="minorHAnsi"/>
        </w:rPr>
      </w:pPr>
      <w:r w:rsidRPr="002C68AC">
        <w:rPr>
          <w:rFonts w:cstheme="minorHAnsi"/>
        </w:rPr>
        <w:lastRenderedPageBreak/>
        <w:t>DSHS is reporting 49,024 cumulative confirmed cases that do not have a county due to an incomplete address. These are included in statewide totals of confirmed cases. </w:t>
      </w:r>
    </w:p>
    <w:p w14:paraId="5E731AAF" w14:textId="77777777" w:rsidR="009B2BC8" w:rsidRPr="002C68AC" w:rsidRDefault="009B2BC8" w:rsidP="009B2BC8">
      <w:pPr>
        <w:numPr>
          <w:ilvl w:val="0"/>
          <w:numId w:val="13"/>
        </w:numPr>
        <w:shd w:val="clear" w:color="auto" w:fill="FFFFFF"/>
        <w:spacing w:after="0" w:line="240" w:lineRule="auto"/>
        <w:ind w:left="1200" w:right="360"/>
        <w:textAlignment w:val="baseline"/>
        <w:rPr>
          <w:rFonts w:cstheme="minorHAnsi"/>
        </w:rPr>
      </w:pPr>
      <w:r w:rsidRPr="002C68AC">
        <w:rPr>
          <w:rFonts w:cstheme="minorHAnsi"/>
        </w:rPr>
        <w:t>DSHS is reporting 5,181 cumulative probable cases that do not have a county due to an incomplete address. These are included in statewide totals of probable cases. </w:t>
      </w:r>
    </w:p>
    <w:p w14:paraId="00D381AC"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01/19/2022</w:t>
      </w:r>
    </w:p>
    <w:p w14:paraId="4D224BA5" w14:textId="77777777" w:rsidR="009B2BC8" w:rsidRPr="002C68AC" w:rsidRDefault="009B2BC8" w:rsidP="009B2BC8">
      <w:pPr>
        <w:numPr>
          <w:ilvl w:val="0"/>
          <w:numId w:val="14"/>
        </w:numPr>
        <w:shd w:val="clear" w:color="auto" w:fill="FFFFFF"/>
        <w:spacing w:after="0" w:line="240" w:lineRule="auto"/>
        <w:ind w:left="1200" w:right="360"/>
        <w:textAlignment w:val="baseline"/>
        <w:rPr>
          <w:rFonts w:cstheme="minorHAnsi"/>
        </w:rPr>
      </w:pPr>
      <w:r w:rsidRPr="002C68AC">
        <w:rPr>
          <w:rFonts w:cstheme="minorHAnsi"/>
        </w:rPr>
        <w:t>DSHS is reporting 46,976 cumulative confirmed cases that do not have a county due to an incomplete address. These are included in statewide totals of confirmed cases. </w:t>
      </w:r>
    </w:p>
    <w:p w14:paraId="37BCE092" w14:textId="77777777" w:rsidR="009B2BC8" w:rsidRPr="002C68AC" w:rsidRDefault="009B2BC8" w:rsidP="009B2BC8">
      <w:pPr>
        <w:numPr>
          <w:ilvl w:val="0"/>
          <w:numId w:val="14"/>
        </w:numPr>
        <w:shd w:val="clear" w:color="auto" w:fill="FFFFFF"/>
        <w:spacing w:after="0" w:line="240" w:lineRule="auto"/>
        <w:ind w:left="1200" w:right="360"/>
        <w:textAlignment w:val="baseline"/>
        <w:rPr>
          <w:rFonts w:cstheme="minorHAnsi"/>
        </w:rPr>
      </w:pPr>
      <w:r w:rsidRPr="002C68AC">
        <w:rPr>
          <w:rFonts w:cstheme="minorHAnsi"/>
        </w:rPr>
        <w:t>DSHS is reporting 5,154 cumulative probable cases that do not have a county due to an incomplete address. These are included in statewide totals of probable cases. </w:t>
      </w:r>
    </w:p>
    <w:p w14:paraId="640007FF"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01/18/2022</w:t>
      </w:r>
    </w:p>
    <w:p w14:paraId="703F9BFF" w14:textId="77777777" w:rsidR="009B2BC8" w:rsidRPr="002C68AC" w:rsidRDefault="009B2BC8" w:rsidP="009B2BC8">
      <w:pPr>
        <w:numPr>
          <w:ilvl w:val="0"/>
          <w:numId w:val="15"/>
        </w:numPr>
        <w:shd w:val="clear" w:color="auto" w:fill="FFFFFF"/>
        <w:spacing w:after="0" w:line="240" w:lineRule="auto"/>
        <w:ind w:left="1200" w:right="360"/>
        <w:textAlignment w:val="baseline"/>
        <w:rPr>
          <w:rFonts w:cstheme="minorHAnsi"/>
        </w:rPr>
      </w:pPr>
      <w:r w:rsidRPr="002C68AC">
        <w:rPr>
          <w:rFonts w:cstheme="minorHAnsi"/>
        </w:rPr>
        <w:t>DSHS is reporting 46,069 cumulative confirmed cases that do not have a county due to an incomplete address. These are included in statewide totals of confirmed cases. </w:t>
      </w:r>
    </w:p>
    <w:p w14:paraId="53508816" w14:textId="77777777" w:rsidR="009B2BC8" w:rsidRPr="002C68AC" w:rsidRDefault="009B2BC8" w:rsidP="009B2BC8">
      <w:pPr>
        <w:numPr>
          <w:ilvl w:val="0"/>
          <w:numId w:val="15"/>
        </w:numPr>
        <w:shd w:val="clear" w:color="auto" w:fill="FFFFFF"/>
        <w:spacing w:after="0" w:line="240" w:lineRule="auto"/>
        <w:ind w:left="1200" w:right="360"/>
        <w:textAlignment w:val="baseline"/>
        <w:rPr>
          <w:rFonts w:cstheme="minorHAnsi"/>
        </w:rPr>
      </w:pPr>
      <w:r w:rsidRPr="002C68AC">
        <w:rPr>
          <w:rFonts w:cstheme="minorHAnsi"/>
        </w:rPr>
        <w:t>DSHS is reporting 5,119 cumulative probable cases that do not have a county due to an incomplete address. These are included in statewide totals of probable cases. </w:t>
      </w:r>
    </w:p>
    <w:p w14:paraId="538196F9"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01/17/2022</w:t>
      </w:r>
    </w:p>
    <w:p w14:paraId="2D89A646" w14:textId="77777777" w:rsidR="009B2BC8" w:rsidRPr="002C68AC" w:rsidRDefault="009B2BC8" w:rsidP="009B2BC8">
      <w:pPr>
        <w:numPr>
          <w:ilvl w:val="0"/>
          <w:numId w:val="16"/>
        </w:numPr>
        <w:shd w:val="clear" w:color="auto" w:fill="FFFFFF"/>
        <w:spacing w:after="0" w:line="240" w:lineRule="auto"/>
        <w:ind w:left="1200" w:right="360"/>
        <w:textAlignment w:val="baseline"/>
        <w:rPr>
          <w:rFonts w:cstheme="minorHAnsi"/>
        </w:rPr>
      </w:pPr>
      <w:r w:rsidRPr="002C68AC">
        <w:rPr>
          <w:rFonts w:cstheme="minorHAnsi"/>
        </w:rPr>
        <w:t>DSHS is reporting 44,974 cumulative confirmed cases that do not have a county due to an incomplete address. These are included in statewide totals of confirmed cases. </w:t>
      </w:r>
    </w:p>
    <w:p w14:paraId="14BCA0C7" w14:textId="77777777" w:rsidR="009B2BC8" w:rsidRPr="002C68AC" w:rsidRDefault="009B2BC8" w:rsidP="009B2BC8">
      <w:pPr>
        <w:numPr>
          <w:ilvl w:val="0"/>
          <w:numId w:val="16"/>
        </w:numPr>
        <w:shd w:val="clear" w:color="auto" w:fill="FFFFFF"/>
        <w:spacing w:after="0" w:line="240" w:lineRule="auto"/>
        <w:ind w:left="1200" w:right="360"/>
        <w:textAlignment w:val="baseline"/>
        <w:rPr>
          <w:rFonts w:cstheme="minorHAnsi"/>
        </w:rPr>
      </w:pPr>
      <w:r w:rsidRPr="002C68AC">
        <w:rPr>
          <w:rFonts w:cstheme="minorHAnsi"/>
        </w:rPr>
        <w:t>DSHS is reporting 4,862 cumulative probable cases that do not have a county due to an incomplete address. These are included in statewide totals of probable cases. </w:t>
      </w:r>
    </w:p>
    <w:p w14:paraId="2370A180"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01/16/2022</w:t>
      </w:r>
    </w:p>
    <w:p w14:paraId="32F06F9C" w14:textId="77777777" w:rsidR="009B2BC8" w:rsidRPr="002C68AC" w:rsidRDefault="009B2BC8" w:rsidP="009B2BC8">
      <w:pPr>
        <w:numPr>
          <w:ilvl w:val="0"/>
          <w:numId w:val="17"/>
        </w:numPr>
        <w:shd w:val="clear" w:color="auto" w:fill="FFFFFF"/>
        <w:spacing w:after="0" w:line="240" w:lineRule="auto"/>
        <w:ind w:left="1200" w:right="360"/>
        <w:textAlignment w:val="baseline"/>
        <w:rPr>
          <w:rFonts w:cstheme="minorHAnsi"/>
        </w:rPr>
      </w:pPr>
      <w:r w:rsidRPr="002C68AC">
        <w:rPr>
          <w:rFonts w:cstheme="minorHAnsi"/>
        </w:rPr>
        <w:t>DSHS is reporting 42,724 cumulative confirmed cases that do not have a county due to an incomplete address. These are included in statewide totals of confirmed cases. </w:t>
      </w:r>
    </w:p>
    <w:p w14:paraId="4CF691C8" w14:textId="77777777" w:rsidR="009B2BC8" w:rsidRPr="002C68AC" w:rsidRDefault="009B2BC8" w:rsidP="009B2BC8">
      <w:pPr>
        <w:numPr>
          <w:ilvl w:val="0"/>
          <w:numId w:val="17"/>
        </w:numPr>
        <w:shd w:val="clear" w:color="auto" w:fill="FFFFFF"/>
        <w:spacing w:after="0" w:line="240" w:lineRule="auto"/>
        <w:ind w:left="1200" w:right="360"/>
        <w:textAlignment w:val="baseline"/>
        <w:rPr>
          <w:rFonts w:cstheme="minorHAnsi"/>
        </w:rPr>
      </w:pPr>
      <w:r w:rsidRPr="002C68AC">
        <w:rPr>
          <w:rFonts w:cstheme="minorHAnsi"/>
        </w:rPr>
        <w:t>DSHS is reporting 4,841 cumulative probable cases that do not have a county due to an incomplete address. These are included in statewide totals of probable cases. </w:t>
      </w:r>
    </w:p>
    <w:p w14:paraId="2A4384E4"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01/15/2022</w:t>
      </w:r>
    </w:p>
    <w:p w14:paraId="7B4DF37E" w14:textId="77777777" w:rsidR="009B2BC8" w:rsidRPr="002C68AC" w:rsidRDefault="009B2BC8" w:rsidP="009B2BC8">
      <w:pPr>
        <w:numPr>
          <w:ilvl w:val="0"/>
          <w:numId w:val="18"/>
        </w:numPr>
        <w:shd w:val="clear" w:color="auto" w:fill="FFFFFF"/>
        <w:spacing w:after="0" w:line="240" w:lineRule="auto"/>
        <w:ind w:left="1200" w:right="360"/>
        <w:textAlignment w:val="baseline"/>
        <w:rPr>
          <w:rFonts w:cstheme="minorHAnsi"/>
        </w:rPr>
      </w:pPr>
      <w:r w:rsidRPr="002C68AC">
        <w:rPr>
          <w:rFonts w:cstheme="minorHAnsi"/>
        </w:rPr>
        <w:t>DSHS is reporting 41,736 cumulative confirmed cases that do not have a county due to an incomplete address. These are included in statewide totals of confirmed cases. </w:t>
      </w:r>
    </w:p>
    <w:p w14:paraId="788332B7" w14:textId="77777777" w:rsidR="009B2BC8" w:rsidRPr="002C68AC" w:rsidRDefault="009B2BC8" w:rsidP="009B2BC8">
      <w:pPr>
        <w:numPr>
          <w:ilvl w:val="0"/>
          <w:numId w:val="18"/>
        </w:numPr>
        <w:shd w:val="clear" w:color="auto" w:fill="FFFFFF"/>
        <w:spacing w:after="0" w:line="240" w:lineRule="auto"/>
        <w:ind w:left="1200" w:right="360"/>
        <w:textAlignment w:val="baseline"/>
        <w:rPr>
          <w:rFonts w:cstheme="minorHAnsi"/>
        </w:rPr>
      </w:pPr>
      <w:r w:rsidRPr="002C68AC">
        <w:rPr>
          <w:rFonts w:cstheme="minorHAnsi"/>
        </w:rPr>
        <w:t>DSHS is reporting 4,819 cumulative probable cases that do not have a county due to an incomplete address. These are included in statewide totals of probable cases. </w:t>
      </w:r>
    </w:p>
    <w:p w14:paraId="5C3D7FC1"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01/14/2022</w:t>
      </w:r>
    </w:p>
    <w:p w14:paraId="3E5AF0E5" w14:textId="77777777" w:rsidR="009B2BC8" w:rsidRPr="002C68AC" w:rsidRDefault="009B2BC8" w:rsidP="009B2BC8">
      <w:pPr>
        <w:numPr>
          <w:ilvl w:val="0"/>
          <w:numId w:val="19"/>
        </w:numPr>
        <w:shd w:val="clear" w:color="auto" w:fill="FFFFFF"/>
        <w:spacing w:after="0" w:line="240" w:lineRule="auto"/>
        <w:ind w:left="1200" w:right="360"/>
        <w:textAlignment w:val="baseline"/>
        <w:rPr>
          <w:rFonts w:cstheme="minorHAnsi"/>
        </w:rPr>
      </w:pPr>
      <w:r w:rsidRPr="002C68AC">
        <w:rPr>
          <w:rFonts w:cstheme="minorHAnsi"/>
        </w:rPr>
        <w:t>DSHS is reporting 38,239 cumulative confirmed cases that do not have a county due to an incomplete address. These are included in statewide totals of confirmed cases. </w:t>
      </w:r>
    </w:p>
    <w:p w14:paraId="41D85C9B" w14:textId="77777777" w:rsidR="009B2BC8" w:rsidRPr="002C68AC" w:rsidRDefault="009B2BC8" w:rsidP="009B2BC8">
      <w:pPr>
        <w:numPr>
          <w:ilvl w:val="0"/>
          <w:numId w:val="19"/>
        </w:numPr>
        <w:shd w:val="clear" w:color="auto" w:fill="FFFFFF"/>
        <w:spacing w:after="0" w:line="240" w:lineRule="auto"/>
        <w:ind w:left="1200" w:right="360"/>
        <w:textAlignment w:val="baseline"/>
        <w:rPr>
          <w:rFonts w:cstheme="minorHAnsi"/>
        </w:rPr>
      </w:pPr>
      <w:r w:rsidRPr="002C68AC">
        <w:rPr>
          <w:rFonts w:cstheme="minorHAnsi"/>
        </w:rPr>
        <w:t>DSHS is reporting 4,780 cumulative probable cases that do not have a county due to an incomplete address. These are included in statewide totals of probable cases. </w:t>
      </w:r>
    </w:p>
    <w:p w14:paraId="246570DD" w14:textId="77777777" w:rsidR="009B2BC8" w:rsidRPr="002C68AC" w:rsidRDefault="009B2BC8" w:rsidP="009B2BC8">
      <w:pPr>
        <w:numPr>
          <w:ilvl w:val="0"/>
          <w:numId w:val="19"/>
        </w:numPr>
        <w:shd w:val="clear" w:color="auto" w:fill="FFFFFF"/>
        <w:spacing w:after="0" w:line="240" w:lineRule="auto"/>
        <w:ind w:left="1200" w:right="360"/>
        <w:textAlignment w:val="baseline"/>
        <w:rPr>
          <w:rFonts w:cstheme="minorHAnsi"/>
        </w:rPr>
      </w:pPr>
      <w:r w:rsidRPr="002C68AC">
        <w:rPr>
          <w:rFonts w:cstheme="minorHAnsi"/>
        </w:rPr>
        <w:t>DSHS has updated statewide and county case counts to include final 2020 data submitted to the CDC. That led to an increase of 52,465 confirmed cases and a decrease of 26,229 probable cases.</w:t>
      </w:r>
    </w:p>
    <w:p w14:paraId="62A79DDB"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01/13/2022</w:t>
      </w:r>
    </w:p>
    <w:p w14:paraId="535FD703" w14:textId="77777777" w:rsidR="009B2BC8" w:rsidRPr="002C68AC" w:rsidRDefault="009B2BC8" w:rsidP="009B2BC8">
      <w:pPr>
        <w:numPr>
          <w:ilvl w:val="0"/>
          <w:numId w:val="20"/>
        </w:numPr>
        <w:shd w:val="clear" w:color="auto" w:fill="FFFFFF"/>
        <w:spacing w:after="0" w:line="240" w:lineRule="auto"/>
        <w:ind w:left="1200" w:right="360"/>
        <w:textAlignment w:val="baseline"/>
        <w:rPr>
          <w:rFonts w:cstheme="minorHAnsi"/>
        </w:rPr>
      </w:pPr>
      <w:r w:rsidRPr="002C68AC">
        <w:rPr>
          <w:rFonts w:cstheme="minorHAnsi"/>
        </w:rPr>
        <w:t>DSHS is reporting 27,094 cumulative confirmed cases that do not have a county due to an incomplete address. These are included in statewide totals of confirmed cases. </w:t>
      </w:r>
    </w:p>
    <w:p w14:paraId="1EC882FB" w14:textId="77777777" w:rsidR="009B2BC8" w:rsidRPr="002C68AC" w:rsidRDefault="009B2BC8" w:rsidP="009B2BC8">
      <w:pPr>
        <w:numPr>
          <w:ilvl w:val="0"/>
          <w:numId w:val="20"/>
        </w:numPr>
        <w:shd w:val="clear" w:color="auto" w:fill="FFFFFF"/>
        <w:spacing w:after="0" w:line="240" w:lineRule="auto"/>
        <w:ind w:left="1200" w:right="360"/>
        <w:textAlignment w:val="baseline"/>
        <w:rPr>
          <w:rFonts w:cstheme="minorHAnsi"/>
        </w:rPr>
      </w:pPr>
      <w:r w:rsidRPr="002C68AC">
        <w:rPr>
          <w:rFonts w:cstheme="minorHAnsi"/>
        </w:rPr>
        <w:t>DSHS is reporting 917 cumulative probable cases that do not have a county due to an incomplete address. These are included in statewide totals of probable cases. </w:t>
      </w:r>
    </w:p>
    <w:p w14:paraId="0D559873" w14:textId="77777777" w:rsidR="009B2BC8" w:rsidRPr="002C68AC" w:rsidRDefault="009B2BC8" w:rsidP="009B2BC8">
      <w:pPr>
        <w:numPr>
          <w:ilvl w:val="0"/>
          <w:numId w:val="20"/>
        </w:numPr>
        <w:shd w:val="clear" w:color="auto" w:fill="FFFFFF"/>
        <w:spacing w:after="0" w:line="240" w:lineRule="auto"/>
        <w:ind w:left="1200" w:right="360"/>
        <w:textAlignment w:val="baseline"/>
        <w:rPr>
          <w:rFonts w:cstheme="minorHAnsi"/>
        </w:rPr>
      </w:pPr>
      <w:r w:rsidRPr="002C68AC">
        <w:rPr>
          <w:rFonts w:cstheme="minorHAnsi"/>
        </w:rPr>
        <w:lastRenderedPageBreak/>
        <w:t>The case counts for today include a one day backlog of lab reports. Due to high volume of COVID-19 lab tests, the system that processes electronic lab reports and identifies new cases was running slower yesterday. DSHS moved the lab importer to its own server and improved the system’s processing speed. The system can now process more than 300,000 lab reports each day. Because the positivity rate measures the number of positive lab tests as a percentage of the total number of lab reports received, the slower processing speed did not affect the accuracy of the positivity rate. </w:t>
      </w:r>
    </w:p>
    <w:p w14:paraId="27C62F46"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01/12/2022</w:t>
      </w:r>
    </w:p>
    <w:p w14:paraId="79104C72" w14:textId="77777777" w:rsidR="009B2BC8" w:rsidRPr="002C68AC" w:rsidRDefault="009B2BC8" w:rsidP="009B2BC8">
      <w:pPr>
        <w:numPr>
          <w:ilvl w:val="0"/>
          <w:numId w:val="21"/>
        </w:numPr>
        <w:shd w:val="clear" w:color="auto" w:fill="FFFFFF"/>
        <w:spacing w:after="0" w:line="240" w:lineRule="auto"/>
        <w:ind w:left="1200" w:right="360"/>
        <w:textAlignment w:val="baseline"/>
        <w:rPr>
          <w:rFonts w:cstheme="minorHAnsi"/>
        </w:rPr>
      </w:pPr>
      <w:r w:rsidRPr="002C68AC">
        <w:rPr>
          <w:rFonts w:cstheme="minorHAnsi"/>
        </w:rPr>
        <w:t>DSHS is reporting 24,628 cumulative confirmed cases that do not have a county due to an incomplete address. These are included in statewide totals of confirmed cases. </w:t>
      </w:r>
    </w:p>
    <w:p w14:paraId="01519E37" w14:textId="77777777" w:rsidR="009B2BC8" w:rsidRPr="002C68AC" w:rsidRDefault="009B2BC8" w:rsidP="009B2BC8">
      <w:pPr>
        <w:numPr>
          <w:ilvl w:val="0"/>
          <w:numId w:val="21"/>
        </w:numPr>
        <w:shd w:val="clear" w:color="auto" w:fill="FFFFFF"/>
        <w:spacing w:after="0" w:line="240" w:lineRule="auto"/>
        <w:ind w:left="1200" w:right="360"/>
        <w:textAlignment w:val="baseline"/>
        <w:rPr>
          <w:rFonts w:cstheme="minorHAnsi"/>
        </w:rPr>
      </w:pPr>
      <w:r w:rsidRPr="002C68AC">
        <w:rPr>
          <w:rFonts w:cstheme="minorHAnsi"/>
        </w:rPr>
        <w:t>DSHS is reporting 760 cumulative probable cases that do not have a county due to an incomplete address. These are included in statewide totals of probable cases. </w:t>
      </w:r>
    </w:p>
    <w:p w14:paraId="332F4D91" w14:textId="77777777" w:rsidR="009B2BC8" w:rsidRPr="002C68AC" w:rsidRDefault="009B2BC8" w:rsidP="009B2BC8">
      <w:pPr>
        <w:numPr>
          <w:ilvl w:val="0"/>
          <w:numId w:val="21"/>
        </w:numPr>
        <w:shd w:val="clear" w:color="auto" w:fill="FFFFFF"/>
        <w:spacing w:after="0" w:line="240" w:lineRule="auto"/>
        <w:ind w:left="1200" w:right="360"/>
        <w:textAlignment w:val="baseline"/>
        <w:rPr>
          <w:rFonts w:cstheme="minorHAnsi"/>
        </w:rPr>
      </w:pPr>
      <w:r w:rsidRPr="002C68AC">
        <w:rPr>
          <w:rFonts w:cstheme="minorHAnsi"/>
        </w:rPr>
        <w:t>The case counts for today include a one day backlog of lab reports. Due to high volume of COVID-19 lab tests, the system that processes electronic lab reports and identifies new cases was running slower yesterday. DSHS moved the lab importer to its own server and improved the system’s processing speed. The system can now process more than 300,000 lab reports each day. Because the positivity rate measures the number of positive lab tests as a percentage of the total number of lab reports received, the slower processing speed did not affect the accuracy of the positivity rate. </w:t>
      </w:r>
    </w:p>
    <w:p w14:paraId="38BF8640"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01/11/2022</w:t>
      </w:r>
    </w:p>
    <w:p w14:paraId="268E0AAC" w14:textId="77777777" w:rsidR="009B2BC8" w:rsidRPr="002C68AC" w:rsidRDefault="009B2BC8" w:rsidP="009B2BC8">
      <w:pPr>
        <w:numPr>
          <w:ilvl w:val="0"/>
          <w:numId w:val="22"/>
        </w:numPr>
        <w:shd w:val="clear" w:color="auto" w:fill="FFFFFF"/>
        <w:spacing w:after="0" w:line="240" w:lineRule="auto"/>
        <w:ind w:left="1200" w:right="360"/>
        <w:textAlignment w:val="baseline"/>
        <w:rPr>
          <w:rFonts w:cstheme="minorHAnsi"/>
        </w:rPr>
      </w:pPr>
      <w:r w:rsidRPr="002C68AC">
        <w:rPr>
          <w:rFonts w:cstheme="minorHAnsi"/>
        </w:rPr>
        <w:t>DSHS is reporting 22,423 cumulative confirmed cases that do not have a county due to an incomplete address. These are included in statewide totals of confirmed cases. </w:t>
      </w:r>
    </w:p>
    <w:p w14:paraId="323C3A4F" w14:textId="77777777" w:rsidR="009B2BC8" w:rsidRPr="002C68AC" w:rsidRDefault="009B2BC8" w:rsidP="009B2BC8">
      <w:pPr>
        <w:numPr>
          <w:ilvl w:val="0"/>
          <w:numId w:val="22"/>
        </w:numPr>
        <w:shd w:val="clear" w:color="auto" w:fill="FFFFFF"/>
        <w:spacing w:after="0" w:line="240" w:lineRule="auto"/>
        <w:ind w:left="1200" w:right="360"/>
        <w:textAlignment w:val="baseline"/>
        <w:rPr>
          <w:rFonts w:cstheme="minorHAnsi"/>
        </w:rPr>
      </w:pPr>
      <w:r w:rsidRPr="002C68AC">
        <w:rPr>
          <w:rFonts w:cstheme="minorHAnsi"/>
        </w:rPr>
        <w:t>DSHS is reporting 690 cumulative probable cases that do not have a county due to an incomplete address. These are included in statewide totals of probable cases. </w:t>
      </w:r>
    </w:p>
    <w:p w14:paraId="4B95A9A9"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01/10/2022</w:t>
      </w:r>
    </w:p>
    <w:p w14:paraId="479AA4BE" w14:textId="77777777" w:rsidR="009B2BC8" w:rsidRPr="002C68AC" w:rsidRDefault="009B2BC8" w:rsidP="009B2BC8">
      <w:pPr>
        <w:numPr>
          <w:ilvl w:val="0"/>
          <w:numId w:val="23"/>
        </w:numPr>
        <w:shd w:val="clear" w:color="auto" w:fill="FFFFFF"/>
        <w:spacing w:after="0" w:line="240" w:lineRule="auto"/>
        <w:ind w:left="1200" w:right="360"/>
        <w:textAlignment w:val="baseline"/>
        <w:rPr>
          <w:rFonts w:cstheme="minorHAnsi"/>
        </w:rPr>
      </w:pPr>
      <w:r w:rsidRPr="002C68AC">
        <w:rPr>
          <w:rFonts w:cstheme="minorHAnsi"/>
        </w:rPr>
        <w:t>DSHS is reporting 19,648 cumulative confirmed cases that do not have a county due to an incomplete address. These are included in statewide totals of confirmed cases. </w:t>
      </w:r>
    </w:p>
    <w:p w14:paraId="12AED987" w14:textId="77777777" w:rsidR="009B2BC8" w:rsidRPr="002C68AC" w:rsidRDefault="009B2BC8" w:rsidP="009B2BC8">
      <w:pPr>
        <w:numPr>
          <w:ilvl w:val="0"/>
          <w:numId w:val="23"/>
        </w:numPr>
        <w:shd w:val="clear" w:color="auto" w:fill="FFFFFF"/>
        <w:spacing w:after="0" w:line="240" w:lineRule="auto"/>
        <w:ind w:left="1200" w:right="360"/>
        <w:textAlignment w:val="baseline"/>
        <w:rPr>
          <w:rFonts w:cstheme="minorHAnsi"/>
        </w:rPr>
      </w:pPr>
      <w:r w:rsidRPr="002C68AC">
        <w:rPr>
          <w:rFonts w:cstheme="minorHAnsi"/>
        </w:rPr>
        <w:t>DSHS is reporting 667 cumulative probable cases that do not have a county due to an incomplete address. These are included in statewide totals of probable cases. </w:t>
      </w:r>
    </w:p>
    <w:p w14:paraId="58DBD4FA"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1/09/2022</w:t>
      </w:r>
    </w:p>
    <w:p w14:paraId="048658DC" w14:textId="77777777" w:rsidR="009B2BC8" w:rsidRPr="002C68AC" w:rsidRDefault="009B2BC8" w:rsidP="009B2BC8">
      <w:pPr>
        <w:numPr>
          <w:ilvl w:val="0"/>
          <w:numId w:val="24"/>
        </w:numPr>
        <w:shd w:val="clear" w:color="auto" w:fill="FFFFFF"/>
        <w:spacing w:after="0" w:line="240" w:lineRule="auto"/>
        <w:ind w:left="1200" w:right="360"/>
        <w:textAlignment w:val="baseline"/>
        <w:rPr>
          <w:rFonts w:cstheme="minorHAnsi"/>
        </w:rPr>
      </w:pPr>
      <w:r w:rsidRPr="002C68AC">
        <w:rPr>
          <w:rFonts w:cstheme="minorHAnsi"/>
        </w:rPr>
        <w:t>DSHS is reporting 18,159 cumulative confirmed cases that do not have a county due to an incomplete address. These are included in statewide totals of confirmed cases. </w:t>
      </w:r>
    </w:p>
    <w:p w14:paraId="310BA1D3" w14:textId="77777777" w:rsidR="009B2BC8" w:rsidRPr="002C68AC" w:rsidRDefault="009B2BC8" w:rsidP="009B2BC8">
      <w:pPr>
        <w:numPr>
          <w:ilvl w:val="0"/>
          <w:numId w:val="24"/>
        </w:numPr>
        <w:shd w:val="clear" w:color="auto" w:fill="FFFFFF"/>
        <w:spacing w:after="0" w:line="240" w:lineRule="auto"/>
        <w:ind w:left="1200" w:right="360"/>
        <w:textAlignment w:val="baseline"/>
        <w:rPr>
          <w:rFonts w:cstheme="minorHAnsi"/>
        </w:rPr>
      </w:pPr>
      <w:r w:rsidRPr="002C68AC">
        <w:rPr>
          <w:rFonts w:cstheme="minorHAnsi"/>
        </w:rPr>
        <w:t>DSHS is reporting 639 cumulative probable cases that do not have a county due to an incomplete address. These are included in statewide totals of probable cases. </w:t>
      </w:r>
    </w:p>
    <w:p w14:paraId="264BF472"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1/08/2022</w:t>
      </w:r>
    </w:p>
    <w:p w14:paraId="4AED7641" w14:textId="77777777" w:rsidR="009B2BC8" w:rsidRPr="002C68AC" w:rsidRDefault="009B2BC8" w:rsidP="009B2BC8">
      <w:pPr>
        <w:numPr>
          <w:ilvl w:val="0"/>
          <w:numId w:val="25"/>
        </w:numPr>
        <w:shd w:val="clear" w:color="auto" w:fill="FFFFFF"/>
        <w:spacing w:after="0" w:line="240" w:lineRule="auto"/>
        <w:ind w:left="1200" w:right="360"/>
        <w:textAlignment w:val="baseline"/>
        <w:rPr>
          <w:rFonts w:cstheme="minorHAnsi"/>
        </w:rPr>
      </w:pPr>
      <w:r w:rsidRPr="002C68AC">
        <w:rPr>
          <w:rFonts w:cstheme="minorHAnsi"/>
        </w:rPr>
        <w:t>DSHS is reporting 16,569 cumulative confirmed cases that do not have a county due to an incomplete address. These are included in statewide totals of confirmed cases. </w:t>
      </w:r>
    </w:p>
    <w:p w14:paraId="12DE8856" w14:textId="77777777" w:rsidR="009B2BC8" w:rsidRPr="002C68AC" w:rsidRDefault="009B2BC8" w:rsidP="009B2BC8">
      <w:pPr>
        <w:numPr>
          <w:ilvl w:val="0"/>
          <w:numId w:val="25"/>
        </w:numPr>
        <w:shd w:val="clear" w:color="auto" w:fill="FFFFFF"/>
        <w:spacing w:after="0" w:line="240" w:lineRule="auto"/>
        <w:ind w:left="1200" w:right="360"/>
        <w:textAlignment w:val="baseline"/>
        <w:rPr>
          <w:rFonts w:cstheme="minorHAnsi"/>
        </w:rPr>
      </w:pPr>
      <w:r w:rsidRPr="002C68AC">
        <w:rPr>
          <w:rFonts w:cstheme="minorHAnsi"/>
        </w:rPr>
        <w:t>DSHS is reporting 614 cumulative probable cases that do not have a county due to an incomplete address. These are included in statewide totals of probable cases. </w:t>
      </w:r>
    </w:p>
    <w:p w14:paraId="7E211438"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1/07/2022</w:t>
      </w:r>
    </w:p>
    <w:p w14:paraId="5611A566" w14:textId="77777777" w:rsidR="009B2BC8" w:rsidRPr="002C68AC" w:rsidRDefault="009B2BC8" w:rsidP="009B2BC8">
      <w:pPr>
        <w:numPr>
          <w:ilvl w:val="0"/>
          <w:numId w:val="26"/>
        </w:numPr>
        <w:shd w:val="clear" w:color="auto" w:fill="FFFFFF"/>
        <w:spacing w:after="0" w:line="240" w:lineRule="auto"/>
        <w:ind w:left="1200" w:right="360"/>
        <w:textAlignment w:val="baseline"/>
        <w:rPr>
          <w:rFonts w:cstheme="minorHAnsi"/>
        </w:rPr>
      </w:pPr>
      <w:r w:rsidRPr="002C68AC">
        <w:rPr>
          <w:rFonts w:cstheme="minorHAnsi"/>
        </w:rPr>
        <w:t>DSHS is reporting 14,981 cumulative confirmed cases that do not have a county due to an incomplete address. These are included in statewide totals of confirmed cases. </w:t>
      </w:r>
    </w:p>
    <w:p w14:paraId="7E031A09" w14:textId="77777777" w:rsidR="009B2BC8" w:rsidRPr="002C68AC" w:rsidRDefault="009B2BC8" w:rsidP="009B2BC8">
      <w:pPr>
        <w:numPr>
          <w:ilvl w:val="0"/>
          <w:numId w:val="26"/>
        </w:numPr>
        <w:shd w:val="clear" w:color="auto" w:fill="FFFFFF"/>
        <w:spacing w:after="0" w:line="240" w:lineRule="auto"/>
        <w:ind w:left="1200" w:right="360"/>
        <w:textAlignment w:val="baseline"/>
        <w:rPr>
          <w:rFonts w:cstheme="minorHAnsi"/>
        </w:rPr>
      </w:pPr>
      <w:r w:rsidRPr="002C68AC">
        <w:rPr>
          <w:rFonts w:cstheme="minorHAnsi"/>
        </w:rPr>
        <w:lastRenderedPageBreak/>
        <w:t>DSHS is reporting 579 cumulative probable cases that do not have a county due to an incomplete address. These are included in statewide totals of probable cases. </w:t>
      </w:r>
    </w:p>
    <w:p w14:paraId="580ABF42"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1/06/2022</w:t>
      </w:r>
    </w:p>
    <w:p w14:paraId="2F5827B6" w14:textId="77777777" w:rsidR="009B2BC8" w:rsidRPr="002C68AC" w:rsidRDefault="009B2BC8" w:rsidP="009B2BC8">
      <w:pPr>
        <w:numPr>
          <w:ilvl w:val="0"/>
          <w:numId w:val="27"/>
        </w:numPr>
        <w:shd w:val="clear" w:color="auto" w:fill="FFFFFF"/>
        <w:spacing w:after="0" w:line="240" w:lineRule="auto"/>
        <w:ind w:left="1200" w:right="360"/>
        <w:textAlignment w:val="baseline"/>
        <w:rPr>
          <w:rFonts w:cstheme="minorHAnsi"/>
        </w:rPr>
      </w:pPr>
      <w:r w:rsidRPr="002C68AC">
        <w:rPr>
          <w:rFonts w:cstheme="minorHAnsi"/>
        </w:rPr>
        <w:t>DSHS is reporting 12,705 cumulative confirmed cases that do not have a county due to an incomplete address. These are included in statewide totals of confirmed cases. </w:t>
      </w:r>
    </w:p>
    <w:p w14:paraId="63F837B3" w14:textId="77777777" w:rsidR="009B2BC8" w:rsidRPr="002C68AC" w:rsidRDefault="009B2BC8" w:rsidP="009B2BC8">
      <w:pPr>
        <w:numPr>
          <w:ilvl w:val="0"/>
          <w:numId w:val="27"/>
        </w:numPr>
        <w:shd w:val="clear" w:color="auto" w:fill="FFFFFF"/>
        <w:spacing w:after="0" w:line="240" w:lineRule="auto"/>
        <w:ind w:left="1200" w:right="360"/>
        <w:textAlignment w:val="baseline"/>
        <w:rPr>
          <w:rFonts w:cstheme="minorHAnsi"/>
        </w:rPr>
      </w:pPr>
      <w:r w:rsidRPr="002C68AC">
        <w:rPr>
          <w:rFonts w:cstheme="minorHAnsi"/>
        </w:rPr>
        <w:t>DSHS is reporting 529 cumulative probable cases that do not have a county due to an incomplete address. These are included in statewide totals of probable cases. </w:t>
      </w:r>
    </w:p>
    <w:p w14:paraId="447DABEA"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1/05/2022</w:t>
      </w:r>
    </w:p>
    <w:p w14:paraId="2438FA57" w14:textId="77777777" w:rsidR="009B2BC8" w:rsidRPr="002C68AC" w:rsidRDefault="009B2BC8" w:rsidP="009B2BC8">
      <w:pPr>
        <w:numPr>
          <w:ilvl w:val="0"/>
          <w:numId w:val="28"/>
        </w:numPr>
        <w:shd w:val="clear" w:color="auto" w:fill="FFFFFF"/>
        <w:spacing w:after="0" w:line="240" w:lineRule="auto"/>
        <w:ind w:left="1200" w:right="360"/>
        <w:textAlignment w:val="baseline"/>
        <w:rPr>
          <w:rFonts w:cstheme="minorHAnsi"/>
        </w:rPr>
      </w:pPr>
      <w:r w:rsidRPr="002C68AC">
        <w:rPr>
          <w:rFonts w:cstheme="minorHAnsi"/>
        </w:rPr>
        <w:t>DSHS is reporting 12,242 cumulative confirmed cases that do not have a county due to an incomplete address. These are included in statewide totals of confirmed cases. </w:t>
      </w:r>
    </w:p>
    <w:p w14:paraId="38E89646" w14:textId="77777777" w:rsidR="009B2BC8" w:rsidRPr="002C68AC" w:rsidRDefault="009B2BC8" w:rsidP="009B2BC8">
      <w:pPr>
        <w:numPr>
          <w:ilvl w:val="0"/>
          <w:numId w:val="28"/>
        </w:numPr>
        <w:shd w:val="clear" w:color="auto" w:fill="FFFFFF"/>
        <w:spacing w:after="0" w:line="240" w:lineRule="auto"/>
        <w:ind w:left="1200" w:right="360"/>
        <w:textAlignment w:val="baseline"/>
        <w:rPr>
          <w:rFonts w:cstheme="minorHAnsi"/>
        </w:rPr>
      </w:pPr>
      <w:r w:rsidRPr="002C68AC">
        <w:rPr>
          <w:rFonts w:cstheme="minorHAnsi"/>
        </w:rPr>
        <w:t>DSHS is reporting 496 cumulative probable cases that do not have a county due to an incomplete address. These are included in statewide totals of probable cases. </w:t>
      </w:r>
    </w:p>
    <w:p w14:paraId="4DD9DDE3"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1/04/2022</w:t>
      </w:r>
    </w:p>
    <w:p w14:paraId="3A221ADE" w14:textId="77777777" w:rsidR="009B2BC8" w:rsidRPr="002C68AC" w:rsidRDefault="009B2BC8" w:rsidP="009B2BC8">
      <w:pPr>
        <w:numPr>
          <w:ilvl w:val="0"/>
          <w:numId w:val="29"/>
        </w:numPr>
        <w:shd w:val="clear" w:color="auto" w:fill="FFFFFF"/>
        <w:spacing w:after="0" w:line="240" w:lineRule="auto"/>
        <w:ind w:left="1200" w:right="360"/>
        <w:textAlignment w:val="baseline"/>
        <w:rPr>
          <w:rFonts w:cstheme="minorHAnsi"/>
        </w:rPr>
      </w:pPr>
      <w:r w:rsidRPr="002C68AC">
        <w:rPr>
          <w:rFonts w:cstheme="minorHAnsi"/>
        </w:rPr>
        <w:t>The new case numbers for today are elevated, in part, because the system that processes electronic lab reports and identifies new cases was running slower for three days last week.</w:t>
      </w:r>
    </w:p>
    <w:p w14:paraId="496D827A" w14:textId="77777777" w:rsidR="009B2BC8" w:rsidRPr="002C68AC" w:rsidRDefault="009B2BC8" w:rsidP="009B2BC8">
      <w:pPr>
        <w:numPr>
          <w:ilvl w:val="0"/>
          <w:numId w:val="29"/>
        </w:numPr>
        <w:shd w:val="clear" w:color="auto" w:fill="FFFFFF"/>
        <w:spacing w:after="0" w:line="240" w:lineRule="auto"/>
        <w:ind w:left="1200" w:right="360"/>
        <w:textAlignment w:val="baseline"/>
        <w:rPr>
          <w:rFonts w:cstheme="minorHAnsi"/>
        </w:rPr>
      </w:pPr>
      <w:r w:rsidRPr="002C68AC">
        <w:rPr>
          <w:rFonts w:cstheme="minorHAnsi"/>
        </w:rPr>
        <w:t>DSHS is reporting 10,429 cumulative confirmed cases that do not have a county due to an incomplete address. These are included in statewide totals of confirmed cases. </w:t>
      </w:r>
    </w:p>
    <w:p w14:paraId="09335545" w14:textId="77777777" w:rsidR="009B2BC8" w:rsidRPr="002C68AC" w:rsidRDefault="009B2BC8" w:rsidP="009B2BC8">
      <w:pPr>
        <w:numPr>
          <w:ilvl w:val="0"/>
          <w:numId w:val="29"/>
        </w:numPr>
        <w:shd w:val="clear" w:color="auto" w:fill="FFFFFF"/>
        <w:spacing w:after="0" w:line="240" w:lineRule="auto"/>
        <w:ind w:left="1200" w:right="360"/>
        <w:textAlignment w:val="baseline"/>
        <w:rPr>
          <w:rFonts w:cstheme="minorHAnsi"/>
        </w:rPr>
      </w:pPr>
      <w:r w:rsidRPr="002C68AC">
        <w:rPr>
          <w:rFonts w:cstheme="minorHAnsi"/>
        </w:rPr>
        <w:t>DSHS is reporting 431 cumulative probable cases that do not have a county due to an incomplete address. These are included in statewide totals of probable cases. </w:t>
      </w:r>
    </w:p>
    <w:p w14:paraId="115AEE78" w14:textId="77777777" w:rsidR="009B2BC8" w:rsidRPr="002C68AC" w:rsidRDefault="009B2BC8" w:rsidP="009B2BC8">
      <w:pPr>
        <w:pStyle w:val="NormalWeb"/>
        <w:shd w:val="clear" w:color="auto" w:fill="FFFFFF"/>
        <w:spacing w:before="0" w:beforeAutospacing="0" w:after="240" w:afterAutospacing="0"/>
        <w:textAlignment w:val="baseline"/>
        <w:rPr>
          <w:rFonts w:asciiTheme="minorHAnsi" w:hAnsiTheme="minorHAnsi" w:cstheme="minorHAnsi"/>
          <w:sz w:val="22"/>
          <w:szCs w:val="22"/>
        </w:rPr>
      </w:pPr>
      <w:r w:rsidRPr="002C68AC">
        <w:rPr>
          <w:rFonts w:asciiTheme="minorHAnsi" w:hAnsiTheme="minorHAnsi" w:cstheme="minorHAnsi"/>
          <w:sz w:val="22"/>
          <w:szCs w:val="22"/>
          <w:u w:val="single"/>
        </w:rPr>
        <w:t>1/03/2022</w:t>
      </w:r>
    </w:p>
    <w:p w14:paraId="687B201F" w14:textId="192AE02E" w:rsidR="009B2BC8" w:rsidRPr="002C68AC" w:rsidRDefault="009B2BC8" w:rsidP="009B2BC8">
      <w:pPr>
        <w:numPr>
          <w:ilvl w:val="0"/>
          <w:numId w:val="30"/>
        </w:numPr>
        <w:shd w:val="clear" w:color="auto" w:fill="FFFFFF"/>
        <w:spacing w:after="0" w:line="240" w:lineRule="auto"/>
        <w:ind w:left="1200" w:right="360"/>
        <w:textAlignment w:val="baseline"/>
        <w:rPr>
          <w:rFonts w:cstheme="minorHAnsi"/>
        </w:rPr>
      </w:pPr>
      <w:r w:rsidRPr="002C68AC">
        <w:rPr>
          <w:rFonts w:cstheme="minorHAnsi"/>
        </w:rPr>
        <w:t>The case counts for Dec. 31 – Jan. 4 include backlogged lab reports from last week (12/27 – 12/31). Due to the rapid increase in COVID-19 lab tests, the system that processes electronic lab reports and identifies new cases was running slower for three days last week. DSHS identified ways to streamline the algorithm that identifies new cases, which dramatically improved the system’s processing speed. The system will finish processing all lab reports older than one day on Tuesday, Jan. 4.</w:t>
      </w:r>
      <w:r w:rsidRPr="002C68AC">
        <w:rPr>
          <w:rFonts w:cstheme="minorHAnsi"/>
        </w:rPr>
        <w:br/>
      </w:r>
      <w:r w:rsidRPr="002C68AC">
        <w:rPr>
          <w:rFonts w:cstheme="minorHAnsi"/>
        </w:rPr>
        <w:br/>
        <w:t>The specimen collection dates for these lab reports are within the last week. Because the positivity rate measures the number of positive lab tests as a percentage of the total number of lab reports received, the slower processing speed did not affect the accuracy of the positivity rate.  </w:t>
      </w:r>
    </w:p>
    <w:p w14:paraId="568C3DBF" w14:textId="77777777" w:rsidR="009B2BC8" w:rsidRPr="002C68AC" w:rsidRDefault="009B2BC8" w:rsidP="009B2BC8">
      <w:pPr>
        <w:numPr>
          <w:ilvl w:val="0"/>
          <w:numId w:val="30"/>
        </w:numPr>
        <w:shd w:val="clear" w:color="auto" w:fill="FFFFFF"/>
        <w:spacing w:after="0" w:line="240" w:lineRule="auto"/>
        <w:ind w:left="1200" w:right="360"/>
        <w:textAlignment w:val="baseline"/>
        <w:rPr>
          <w:rFonts w:cstheme="minorHAnsi"/>
        </w:rPr>
      </w:pPr>
      <w:r w:rsidRPr="002C68AC">
        <w:rPr>
          <w:rFonts w:cstheme="minorHAnsi"/>
        </w:rPr>
        <w:t>DSHS is reporting 8,971 cumulative confirmed cases that do not have a county due to an incomplete address. These are included in statewide totals of confirmed cases. </w:t>
      </w:r>
    </w:p>
    <w:p w14:paraId="5D29A539" w14:textId="77777777" w:rsidR="009B2BC8" w:rsidRPr="002C68AC" w:rsidRDefault="009B2BC8" w:rsidP="009B2BC8">
      <w:pPr>
        <w:numPr>
          <w:ilvl w:val="0"/>
          <w:numId w:val="30"/>
        </w:numPr>
        <w:shd w:val="clear" w:color="auto" w:fill="FFFFFF"/>
        <w:spacing w:after="0" w:line="240" w:lineRule="auto"/>
        <w:ind w:left="1200" w:right="360"/>
        <w:textAlignment w:val="baseline"/>
        <w:rPr>
          <w:rFonts w:cstheme="minorHAnsi"/>
        </w:rPr>
      </w:pPr>
      <w:r w:rsidRPr="002C68AC">
        <w:rPr>
          <w:rFonts w:cstheme="minorHAnsi"/>
        </w:rPr>
        <w:t>DSHS is reporting 382 cumulative probable cases that do not have a county due to an incomplete address. These are included in statewide totals of probable cases. </w:t>
      </w:r>
    </w:p>
    <w:p w14:paraId="562F49CC" w14:textId="77777777" w:rsidR="009B2BC8" w:rsidRPr="002C68AC" w:rsidRDefault="009B2BC8">
      <w:pPr>
        <w:rPr>
          <w:rFonts w:cstheme="minorHAnsi"/>
        </w:rPr>
      </w:pPr>
    </w:p>
    <w:sectPr w:rsidR="009B2BC8" w:rsidRPr="002C68AC" w:rsidSect="002C68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F806" w14:textId="77777777" w:rsidR="009D5799" w:rsidRDefault="009D5799" w:rsidP="009D5799">
      <w:pPr>
        <w:spacing w:after="0" w:line="240" w:lineRule="auto"/>
      </w:pPr>
      <w:r>
        <w:separator/>
      </w:r>
    </w:p>
  </w:endnote>
  <w:endnote w:type="continuationSeparator" w:id="0">
    <w:p w14:paraId="335CD058" w14:textId="77777777" w:rsidR="009D5799" w:rsidRDefault="009D5799" w:rsidP="009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5162" w14:textId="1233CC30" w:rsidR="009D5799" w:rsidRDefault="009D5799">
    <w:pPr>
      <w:pStyle w:val="Footer"/>
    </w:pPr>
    <w:r>
      <w:t>NOTE: Click arrows to expand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C7D4" w14:textId="77777777" w:rsidR="009D5799" w:rsidRDefault="009D5799" w:rsidP="009D5799">
      <w:pPr>
        <w:spacing w:after="0" w:line="240" w:lineRule="auto"/>
      </w:pPr>
      <w:r>
        <w:separator/>
      </w:r>
    </w:p>
  </w:footnote>
  <w:footnote w:type="continuationSeparator" w:id="0">
    <w:p w14:paraId="247D7462" w14:textId="77777777" w:rsidR="009D5799" w:rsidRDefault="009D5799" w:rsidP="009D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9D1F" w14:textId="2455A0C5" w:rsidR="009D5799" w:rsidRDefault="009D5799">
    <w:pPr>
      <w:pStyle w:val="Header"/>
    </w:pPr>
    <w:r>
      <w:t>COVID-19 Case Notes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93"/>
    <w:multiLevelType w:val="multilevel"/>
    <w:tmpl w:val="9F6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72989"/>
    <w:multiLevelType w:val="multilevel"/>
    <w:tmpl w:val="2C20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47805"/>
    <w:multiLevelType w:val="multilevel"/>
    <w:tmpl w:val="4368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0347C"/>
    <w:multiLevelType w:val="multilevel"/>
    <w:tmpl w:val="6A1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64B9F"/>
    <w:multiLevelType w:val="multilevel"/>
    <w:tmpl w:val="A472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940BC"/>
    <w:multiLevelType w:val="multilevel"/>
    <w:tmpl w:val="733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5D263C"/>
    <w:multiLevelType w:val="multilevel"/>
    <w:tmpl w:val="0DC2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C3F23"/>
    <w:multiLevelType w:val="multilevel"/>
    <w:tmpl w:val="D52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3624C"/>
    <w:multiLevelType w:val="multilevel"/>
    <w:tmpl w:val="AC6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D42A75"/>
    <w:multiLevelType w:val="multilevel"/>
    <w:tmpl w:val="0B8A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E697F"/>
    <w:multiLevelType w:val="multilevel"/>
    <w:tmpl w:val="0C2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D4493C"/>
    <w:multiLevelType w:val="multilevel"/>
    <w:tmpl w:val="A9CA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A66BF6"/>
    <w:multiLevelType w:val="multilevel"/>
    <w:tmpl w:val="31A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9075E7"/>
    <w:multiLevelType w:val="multilevel"/>
    <w:tmpl w:val="E1F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A38DD"/>
    <w:multiLevelType w:val="multilevel"/>
    <w:tmpl w:val="6D2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0E5B43"/>
    <w:multiLevelType w:val="multilevel"/>
    <w:tmpl w:val="B38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A86E19"/>
    <w:multiLevelType w:val="multilevel"/>
    <w:tmpl w:val="2CFE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A18DA"/>
    <w:multiLevelType w:val="multilevel"/>
    <w:tmpl w:val="4F5C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5D34AA"/>
    <w:multiLevelType w:val="multilevel"/>
    <w:tmpl w:val="271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E1A1F"/>
    <w:multiLevelType w:val="multilevel"/>
    <w:tmpl w:val="939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914FE1"/>
    <w:multiLevelType w:val="multilevel"/>
    <w:tmpl w:val="6C8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E81879"/>
    <w:multiLevelType w:val="multilevel"/>
    <w:tmpl w:val="2646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0148B3"/>
    <w:multiLevelType w:val="multilevel"/>
    <w:tmpl w:val="8362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65ECA"/>
    <w:multiLevelType w:val="multilevel"/>
    <w:tmpl w:val="758C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6D1301"/>
    <w:multiLevelType w:val="multilevel"/>
    <w:tmpl w:val="745E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CD4861"/>
    <w:multiLevelType w:val="multilevel"/>
    <w:tmpl w:val="DB90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662B73"/>
    <w:multiLevelType w:val="multilevel"/>
    <w:tmpl w:val="4BE2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1A74FE"/>
    <w:multiLevelType w:val="multilevel"/>
    <w:tmpl w:val="F8F2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32650E"/>
    <w:multiLevelType w:val="multilevel"/>
    <w:tmpl w:val="4DBA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4B46FC"/>
    <w:multiLevelType w:val="multilevel"/>
    <w:tmpl w:val="DF0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4D194A"/>
    <w:multiLevelType w:val="multilevel"/>
    <w:tmpl w:val="D018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4F2D9F"/>
    <w:multiLevelType w:val="multilevel"/>
    <w:tmpl w:val="D254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4E2225"/>
    <w:multiLevelType w:val="multilevel"/>
    <w:tmpl w:val="4050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9536B6"/>
    <w:multiLevelType w:val="multilevel"/>
    <w:tmpl w:val="5E1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FD4BF1"/>
    <w:multiLevelType w:val="multilevel"/>
    <w:tmpl w:val="6778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6E102E"/>
    <w:multiLevelType w:val="multilevel"/>
    <w:tmpl w:val="D52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4730E"/>
    <w:multiLevelType w:val="multilevel"/>
    <w:tmpl w:val="450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0655E4"/>
    <w:multiLevelType w:val="multilevel"/>
    <w:tmpl w:val="A3EC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6E022B"/>
    <w:multiLevelType w:val="multilevel"/>
    <w:tmpl w:val="D53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BB61B6"/>
    <w:multiLevelType w:val="multilevel"/>
    <w:tmpl w:val="ACF6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4C7145"/>
    <w:multiLevelType w:val="multilevel"/>
    <w:tmpl w:val="84E8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AF5DEF"/>
    <w:multiLevelType w:val="multilevel"/>
    <w:tmpl w:val="C92C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A475A6"/>
    <w:multiLevelType w:val="multilevel"/>
    <w:tmpl w:val="7F1C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5C56B8"/>
    <w:multiLevelType w:val="multilevel"/>
    <w:tmpl w:val="324C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7E7271"/>
    <w:multiLevelType w:val="multilevel"/>
    <w:tmpl w:val="3DD6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2E7A1E"/>
    <w:multiLevelType w:val="multilevel"/>
    <w:tmpl w:val="283A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3C2409"/>
    <w:multiLevelType w:val="multilevel"/>
    <w:tmpl w:val="4B7A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D66A7C"/>
    <w:multiLevelType w:val="multilevel"/>
    <w:tmpl w:val="D724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346786"/>
    <w:multiLevelType w:val="multilevel"/>
    <w:tmpl w:val="A5B2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E54882"/>
    <w:multiLevelType w:val="multilevel"/>
    <w:tmpl w:val="AA2E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8FC2DE8"/>
    <w:multiLevelType w:val="multilevel"/>
    <w:tmpl w:val="A8F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9806C4"/>
    <w:multiLevelType w:val="multilevel"/>
    <w:tmpl w:val="96FE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4A430D"/>
    <w:multiLevelType w:val="multilevel"/>
    <w:tmpl w:val="FA9C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9925D6"/>
    <w:multiLevelType w:val="multilevel"/>
    <w:tmpl w:val="6CA4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5012855">
    <w:abstractNumId w:val="12"/>
  </w:num>
  <w:num w:numId="2" w16cid:durableId="1845782591">
    <w:abstractNumId w:val="36"/>
  </w:num>
  <w:num w:numId="3" w16cid:durableId="291711295">
    <w:abstractNumId w:val="29"/>
  </w:num>
  <w:num w:numId="4" w16cid:durableId="1505171535">
    <w:abstractNumId w:val="45"/>
  </w:num>
  <w:num w:numId="5" w16cid:durableId="2093508439">
    <w:abstractNumId w:val="50"/>
  </w:num>
  <w:num w:numId="6" w16cid:durableId="1562213461">
    <w:abstractNumId w:val="1"/>
  </w:num>
  <w:num w:numId="7" w16cid:durableId="1348406966">
    <w:abstractNumId w:val="32"/>
  </w:num>
  <w:num w:numId="8" w16cid:durableId="2089305681">
    <w:abstractNumId w:val="7"/>
  </w:num>
  <w:num w:numId="9" w16cid:durableId="622224802">
    <w:abstractNumId w:val="35"/>
  </w:num>
  <w:num w:numId="10" w16cid:durableId="770316874">
    <w:abstractNumId w:val="40"/>
  </w:num>
  <w:num w:numId="11" w16cid:durableId="1823152162">
    <w:abstractNumId w:val="17"/>
  </w:num>
  <w:num w:numId="12" w16cid:durableId="1585146191">
    <w:abstractNumId w:val="18"/>
  </w:num>
  <w:num w:numId="13" w16cid:durableId="1551847193">
    <w:abstractNumId w:val="19"/>
  </w:num>
  <w:num w:numId="14" w16cid:durableId="309209153">
    <w:abstractNumId w:val="25"/>
  </w:num>
  <w:num w:numId="15" w16cid:durableId="1921720804">
    <w:abstractNumId w:val="44"/>
  </w:num>
  <w:num w:numId="16" w16cid:durableId="278145893">
    <w:abstractNumId w:val="31"/>
  </w:num>
  <w:num w:numId="17" w16cid:durableId="1550386473">
    <w:abstractNumId w:val="26"/>
  </w:num>
  <w:num w:numId="18" w16cid:durableId="409546452">
    <w:abstractNumId w:val="47"/>
  </w:num>
  <w:num w:numId="19" w16cid:durableId="343633935">
    <w:abstractNumId w:val="33"/>
  </w:num>
  <w:num w:numId="20" w16cid:durableId="1421563856">
    <w:abstractNumId w:val="37"/>
  </w:num>
  <w:num w:numId="21" w16cid:durableId="2018845639">
    <w:abstractNumId w:val="23"/>
  </w:num>
  <w:num w:numId="22" w16cid:durableId="1066339218">
    <w:abstractNumId w:val="41"/>
  </w:num>
  <w:num w:numId="23" w16cid:durableId="282733588">
    <w:abstractNumId w:val="30"/>
  </w:num>
  <w:num w:numId="24" w16cid:durableId="212889907">
    <w:abstractNumId w:val="9"/>
  </w:num>
  <w:num w:numId="25" w16cid:durableId="113015537">
    <w:abstractNumId w:val="6"/>
  </w:num>
  <w:num w:numId="26" w16cid:durableId="309945690">
    <w:abstractNumId w:val="13"/>
  </w:num>
  <w:num w:numId="27" w16cid:durableId="1297297923">
    <w:abstractNumId w:val="38"/>
  </w:num>
  <w:num w:numId="28" w16cid:durableId="588080713">
    <w:abstractNumId w:val="11"/>
  </w:num>
  <w:num w:numId="29" w16cid:durableId="617571657">
    <w:abstractNumId w:val="42"/>
  </w:num>
  <w:num w:numId="30" w16cid:durableId="1977835375">
    <w:abstractNumId w:val="2"/>
  </w:num>
  <w:num w:numId="31" w16cid:durableId="562373623">
    <w:abstractNumId w:val="53"/>
  </w:num>
  <w:num w:numId="32" w16cid:durableId="1271738241">
    <w:abstractNumId w:val="5"/>
  </w:num>
  <w:num w:numId="33" w16cid:durableId="194656725">
    <w:abstractNumId w:val="22"/>
  </w:num>
  <w:num w:numId="34" w16cid:durableId="1059324809">
    <w:abstractNumId w:val="39"/>
  </w:num>
  <w:num w:numId="35" w16cid:durableId="1287853032">
    <w:abstractNumId w:val="20"/>
  </w:num>
  <w:num w:numId="36" w16cid:durableId="1854296920">
    <w:abstractNumId w:val="34"/>
  </w:num>
  <w:num w:numId="37" w16cid:durableId="736444009">
    <w:abstractNumId w:val="48"/>
  </w:num>
  <w:num w:numId="38" w16cid:durableId="1062026171">
    <w:abstractNumId w:val="28"/>
  </w:num>
  <w:num w:numId="39" w16cid:durableId="1627084575">
    <w:abstractNumId w:val="43"/>
  </w:num>
  <w:num w:numId="40" w16cid:durableId="1261716511">
    <w:abstractNumId w:val="49"/>
  </w:num>
  <w:num w:numId="41" w16cid:durableId="1777599485">
    <w:abstractNumId w:val="16"/>
  </w:num>
  <w:num w:numId="42" w16cid:durableId="2116242834">
    <w:abstractNumId w:val="24"/>
  </w:num>
  <w:num w:numId="43" w16cid:durableId="1013650804">
    <w:abstractNumId w:val="27"/>
  </w:num>
  <w:num w:numId="44" w16cid:durableId="1983466428">
    <w:abstractNumId w:val="0"/>
  </w:num>
  <w:num w:numId="45" w16cid:durableId="438599009">
    <w:abstractNumId w:val="8"/>
  </w:num>
  <w:num w:numId="46" w16cid:durableId="1254240415">
    <w:abstractNumId w:val="4"/>
  </w:num>
  <w:num w:numId="47" w16cid:durableId="1908296772">
    <w:abstractNumId w:val="3"/>
  </w:num>
  <w:num w:numId="48" w16cid:durableId="562840017">
    <w:abstractNumId w:val="52"/>
  </w:num>
  <w:num w:numId="49" w16cid:durableId="1872183757">
    <w:abstractNumId w:val="15"/>
  </w:num>
  <w:num w:numId="50" w16cid:durableId="81799214">
    <w:abstractNumId w:val="21"/>
  </w:num>
  <w:num w:numId="51" w16cid:durableId="391084059">
    <w:abstractNumId w:val="14"/>
  </w:num>
  <w:num w:numId="52" w16cid:durableId="735275154">
    <w:abstractNumId w:val="51"/>
  </w:num>
  <w:num w:numId="53" w16cid:durableId="1690641583">
    <w:abstractNumId w:val="46"/>
  </w:num>
  <w:num w:numId="54" w16cid:durableId="1187331190">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2E"/>
    <w:rsid w:val="001728F7"/>
    <w:rsid w:val="002C68AC"/>
    <w:rsid w:val="0065152E"/>
    <w:rsid w:val="009B2BC8"/>
    <w:rsid w:val="009D5799"/>
    <w:rsid w:val="00A550D5"/>
    <w:rsid w:val="00B0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5395"/>
  <w15:chartTrackingRefBased/>
  <w15:docId w15:val="{C6987AB2-D7AD-463E-BEC5-FE5B94A2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2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B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2B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2BC8"/>
    <w:pPr>
      <w:ind w:left="720"/>
      <w:contextualSpacing/>
    </w:pPr>
  </w:style>
  <w:style w:type="paragraph" w:styleId="Header">
    <w:name w:val="header"/>
    <w:basedOn w:val="Normal"/>
    <w:link w:val="HeaderChar"/>
    <w:uiPriority w:val="99"/>
    <w:unhideWhenUsed/>
    <w:rsid w:val="009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799"/>
  </w:style>
  <w:style w:type="paragraph" w:styleId="Footer">
    <w:name w:val="footer"/>
    <w:basedOn w:val="Normal"/>
    <w:link w:val="FooterChar"/>
    <w:uiPriority w:val="99"/>
    <w:unhideWhenUsed/>
    <w:rsid w:val="009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799"/>
  </w:style>
  <w:style w:type="paragraph" w:customStyle="1" w:styleId="xmsonormal">
    <w:name w:val="x_msonormal"/>
    <w:basedOn w:val="Normal"/>
    <w:rsid w:val="00B0360C"/>
    <w:pPr>
      <w:spacing w:after="0" w:line="240" w:lineRule="auto"/>
    </w:pPr>
    <w:rPr>
      <w:rFonts w:ascii="Times New Roman" w:hAnsi="Times New Roman" w:cs="Times New Roman"/>
      <w:sz w:val="24"/>
      <w:szCs w:val="24"/>
    </w:rPr>
  </w:style>
  <w:style w:type="table" w:customStyle="1" w:styleId="Style1">
    <w:name w:val="Style1"/>
    <w:basedOn w:val="TableNormal"/>
    <w:uiPriority w:val="99"/>
    <w:rsid w:val="002C68AC"/>
    <w:pPr>
      <w:spacing w:after="0" w:line="240" w:lineRule="auto"/>
    </w:pPr>
    <w:tblPr/>
  </w:style>
  <w:style w:type="table" w:styleId="TableGrid">
    <w:name w:val="Table Grid"/>
    <w:basedOn w:val="TableNormal"/>
    <w:uiPriority w:val="39"/>
    <w:rsid w:val="002C6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14">
      <w:bodyDiv w:val="1"/>
      <w:marLeft w:val="0"/>
      <w:marRight w:val="0"/>
      <w:marTop w:val="0"/>
      <w:marBottom w:val="0"/>
      <w:divBdr>
        <w:top w:val="none" w:sz="0" w:space="0" w:color="auto"/>
        <w:left w:val="none" w:sz="0" w:space="0" w:color="auto"/>
        <w:bottom w:val="none" w:sz="0" w:space="0" w:color="auto"/>
        <w:right w:val="none" w:sz="0" w:space="0" w:color="auto"/>
      </w:divBdr>
    </w:div>
    <w:div w:id="121194792">
      <w:bodyDiv w:val="1"/>
      <w:marLeft w:val="0"/>
      <w:marRight w:val="0"/>
      <w:marTop w:val="0"/>
      <w:marBottom w:val="0"/>
      <w:divBdr>
        <w:top w:val="none" w:sz="0" w:space="0" w:color="auto"/>
        <w:left w:val="none" w:sz="0" w:space="0" w:color="auto"/>
        <w:bottom w:val="none" w:sz="0" w:space="0" w:color="auto"/>
        <w:right w:val="none" w:sz="0" w:space="0" w:color="auto"/>
      </w:divBdr>
    </w:div>
    <w:div w:id="485899239">
      <w:bodyDiv w:val="1"/>
      <w:marLeft w:val="0"/>
      <w:marRight w:val="0"/>
      <w:marTop w:val="0"/>
      <w:marBottom w:val="0"/>
      <w:divBdr>
        <w:top w:val="none" w:sz="0" w:space="0" w:color="auto"/>
        <w:left w:val="none" w:sz="0" w:space="0" w:color="auto"/>
        <w:bottom w:val="none" w:sz="0" w:space="0" w:color="auto"/>
        <w:right w:val="none" w:sz="0" w:space="0" w:color="auto"/>
      </w:divBdr>
    </w:div>
    <w:div w:id="508568201">
      <w:bodyDiv w:val="1"/>
      <w:marLeft w:val="0"/>
      <w:marRight w:val="0"/>
      <w:marTop w:val="0"/>
      <w:marBottom w:val="0"/>
      <w:divBdr>
        <w:top w:val="none" w:sz="0" w:space="0" w:color="auto"/>
        <w:left w:val="none" w:sz="0" w:space="0" w:color="auto"/>
        <w:bottom w:val="none" w:sz="0" w:space="0" w:color="auto"/>
        <w:right w:val="none" w:sz="0" w:space="0" w:color="auto"/>
      </w:divBdr>
    </w:div>
    <w:div w:id="578100157">
      <w:bodyDiv w:val="1"/>
      <w:marLeft w:val="0"/>
      <w:marRight w:val="0"/>
      <w:marTop w:val="0"/>
      <w:marBottom w:val="0"/>
      <w:divBdr>
        <w:top w:val="none" w:sz="0" w:space="0" w:color="auto"/>
        <w:left w:val="none" w:sz="0" w:space="0" w:color="auto"/>
        <w:bottom w:val="none" w:sz="0" w:space="0" w:color="auto"/>
        <w:right w:val="none" w:sz="0" w:space="0" w:color="auto"/>
      </w:divBdr>
    </w:div>
    <w:div w:id="584650114">
      <w:bodyDiv w:val="1"/>
      <w:marLeft w:val="0"/>
      <w:marRight w:val="0"/>
      <w:marTop w:val="0"/>
      <w:marBottom w:val="0"/>
      <w:divBdr>
        <w:top w:val="none" w:sz="0" w:space="0" w:color="auto"/>
        <w:left w:val="none" w:sz="0" w:space="0" w:color="auto"/>
        <w:bottom w:val="none" w:sz="0" w:space="0" w:color="auto"/>
        <w:right w:val="none" w:sz="0" w:space="0" w:color="auto"/>
      </w:divBdr>
    </w:div>
    <w:div w:id="720636173">
      <w:bodyDiv w:val="1"/>
      <w:marLeft w:val="0"/>
      <w:marRight w:val="0"/>
      <w:marTop w:val="0"/>
      <w:marBottom w:val="0"/>
      <w:divBdr>
        <w:top w:val="none" w:sz="0" w:space="0" w:color="auto"/>
        <w:left w:val="none" w:sz="0" w:space="0" w:color="auto"/>
        <w:bottom w:val="none" w:sz="0" w:space="0" w:color="auto"/>
        <w:right w:val="none" w:sz="0" w:space="0" w:color="auto"/>
      </w:divBdr>
    </w:div>
    <w:div w:id="919368456">
      <w:bodyDiv w:val="1"/>
      <w:marLeft w:val="0"/>
      <w:marRight w:val="0"/>
      <w:marTop w:val="0"/>
      <w:marBottom w:val="0"/>
      <w:divBdr>
        <w:top w:val="none" w:sz="0" w:space="0" w:color="auto"/>
        <w:left w:val="none" w:sz="0" w:space="0" w:color="auto"/>
        <w:bottom w:val="none" w:sz="0" w:space="0" w:color="auto"/>
        <w:right w:val="none" w:sz="0" w:space="0" w:color="auto"/>
      </w:divBdr>
    </w:div>
    <w:div w:id="924995450">
      <w:bodyDiv w:val="1"/>
      <w:marLeft w:val="0"/>
      <w:marRight w:val="0"/>
      <w:marTop w:val="0"/>
      <w:marBottom w:val="0"/>
      <w:divBdr>
        <w:top w:val="none" w:sz="0" w:space="0" w:color="auto"/>
        <w:left w:val="none" w:sz="0" w:space="0" w:color="auto"/>
        <w:bottom w:val="none" w:sz="0" w:space="0" w:color="auto"/>
        <w:right w:val="none" w:sz="0" w:space="0" w:color="auto"/>
      </w:divBdr>
    </w:div>
    <w:div w:id="1232354304">
      <w:bodyDiv w:val="1"/>
      <w:marLeft w:val="0"/>
      <w:marRight w:val="0"/>
      <w:marTop w:val="0"/>
      <w:marBottom w:val="0"/>
      <w:divBdr>
        <w:top w:val="none" w:sz="0" w:space="0" w:color="auto"/>
        <w:left w:val="none" w:sz="0" w:space="0" w:color="auto"/>
        <w:bottom w:val="none" w:sz="0" w:space="0" w:color="auto"/>
        <w:right w:val="none" w:sz="0" w:space="0" w:color="auto"/>
      </w:divBdr>
    </w:div>
    <w:div w:id="12707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2854</Words>
  <Characters>16273</Characters>
  <Application>Microsoft Office Word</Application>
  <DocSecurity>0</DocSecurity>
  <Lines>135</Lines>
  <Paragraphs>38</Paragraphs>
  <ScaleCrop>false</ScaleCrop>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Seidel,Sarah (DSHS)</dc:creator>
  <cp:keywords/>
  <dc:description/>
  <cp:lastModifiedBy>Seidel,Sarah (DSHS)</cp:lastModifiedBy>
  <cp:revision>7</cp:revision>
  <dcterms:created xsi:type="dcterms:W3CDTF">2022-11-21T16:00:00Z</dcterms:created>
  <dcterms:modified xsi:type="dcterms:W3CDTF">2023-04-10T13:20:00Z</dcterms:modified>
</cp:coreProperties>
</file>